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界面要求：**需包含所有监测日期并补充广州市街道数据的总库表**（即含该监测点的完整历史监测记录，用于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不重复区县名（东莞/中山“市辖区”合并为 1）；镇街数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`{地市+市}{区县}{街道}{监测地点}（{值}）`，区县为“市辖区”（东莞/中山）时删除区县段位；组内按值从高到低。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Excel（5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社区村居字段过长-供审核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整合表中其基础数据集“社区/村居”≥6 个汉字的记录，列同整合表、格式同整合表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区县按显示口径（去“市/县/区”后缀；东莞/中山“市辖区”显示“-”）。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背景同安全绿；**整合表中出现“nan”字样的行（可见列 地市/区县/街道/监测地点 字面含 `nan`，如源数据社区缺失导致的监测地点 `nan（核心区）`）整行背景标红（FF0000）**；BI表/ADI表字号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