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相同的连续子串（先删长者）；并删除残留的省级“广东省”（D67，如 `立德村（广东省）` → 应为 `立德村（坟埕巷（老厝））`）；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不重复区县名（东莞/中山“市辖区”合并为 1）；镇街数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则按 (地市-区/县/市-街道/乡/镇, 社区/村居, **监测方法**) 从 P1 处理前该点对应监测方法且监测指标值不为空的记录确定“最初监测日期”（最近一次中断后重新开始）到输入日期的间隔天数。**BI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