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DE5D9C">
      <w:pPr>
        <w:pStyle w:val="11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firstLine="0" w:firstLineChars="0"/>
        <w:jc w:val="center"/>
        <w:textAlignment w:val="auto"/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</w:pPr>
      <mc:AlternateContent>
        <mc:Choice Requires="wpsCustomData">
          <wpsCustomData:docfieldStart id="0" docfieldname="标题_1" hidden="0" print="1" readonly="0" index="3"/>
        </mc:Choice>
      </mc:AlternateContent>
      <mc:AlternateContent>
        <mc:Choice Requires="wpsCustomData">
          <wpsCustomData:docfieldEnd id="0"/>
        </mc:Choice>
      </mc:AlternateContent>
      <w:r>
        <w:rPr>
          <w:rFonts w:hint="eastAsia" w:ascii="方正小标宋简体" w:hAnsi="方正小标宋简体" w:eastAsia="方正小标宋简体" w:cs="方正小标宋简体"/>
          <w:sz w:val="44"/>
          <w:szCs w:val="44"/>
          <w:lang w:val="en-US" w:eastAsia="zh-CN"/>
        </w:rPr>
        <w:t>全省媒介伊蚊传染病相关蚊媒监测情况</w:t>
      </w:r>
    </w:p>
    <w:p w14:paraId="154CD251">
      <w:pPr>
        <w:pStyle w:val="11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firstLine="0" w:firstLineChars="0"/>
        <w:jc w:val="center"/>
        <w:textAlignment w:val="auto"/>
        <w:rPr>
          <w:rFonts w:hint="default" w:ascii="Times New Roman" w:hAnsi="Times New Roman" w:eastAsia="仿宋_GB2312" w:cs="Times New Roman"/>
          <w:sz w:val="32"/>
          <w:szCs w:val="32"/>
        </w:rPr>
      </w:pPr>
      <w:r>
        <w:rPr>
          <w:rFonts w:hint="default" w:ascii="Times New Roman" w:hAnsi="Times New Roman" w:eastAsia="仿宋_GB2312" w:cs="Times New Roman"/>
          <w:sz w:val="32"/>
          <w:szCs w:val="32"/>
        </w:rPr>
        <w:t>（省疾控中心  2026年8月</w:t>
      </w:r>
      <w:r>
        <w:rPr>
          <w:rFonts w:hint="default" w:ascii="Times New Roman" w:hAnsi="Times New Roman" w:cs="Times New Roman"/>
          <w:sz w:val="32"/>
          <w:szCs w:val="32"/>
          <w:lang w:val="en-US" w:eastAsia="zh-CN"/>
        </w:rPr>
        <w:t>12</w:t>
      </w:r>
      <w:r>
        <w:rPr>
          <w:rFonts w:hint="default" w:ascii="Times New Roman" w:hAnsi="Times New Roman" w:eastAsia="仿宋_GB2312" w:cs="Times New Roman"/>
          <w:sz w:val="32"/>
          <w:szCs w:val="32"/>
        </w:rPr>
        <w:t>日20</w:t>
      </w:r>
      <w:r>
        <w:rPr>
          <w:rFonts w:hint="default" w:ascii="Times New Roman" w:hAnsi="Times New Roman" w:cs="Times New Roman"/>
          <w:sz w:val="32"/>
          <w:szCs w:val="32"/>
          <w:lang w:val="en-US" w:eastAsia="zh-CN"/>
        </w:rPr>
        <w:t>:</w:t>
      </w:r>
      <w:r>
        <w:rPr>
          <w:rFonts w:hint="default" w:ascii="Times New Roman" w:hAnsi="Times New Roman" w:eastAsia="仿宋_GB2312" w:cs="Times New Roman"/>
          <w:sz w:val="32"/>
          <w:szCs w:val="32"/>
        </w:rPr>
        <w:t>00）</w:t>
      </w:r>
    </w:p>
    <w:p w14:paraId="7045C7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54" w:firstLineChars="200"/>
        <w:textAlignment w:val="auto"/>
        <w:rPr>
          <w:rFonts w:hint="default" w:ascii="Times New Roman" w:hAnsi="Times New Roman" w:eastAsia="仿宋_GB2312" w:cs="Times New Roman"/>
          <w:sz w:val="32"/>
          <w:szCs w:val="32"/>
        </w:rPr>
      </w:pPr>
    </w:p>
    <w:p w14:paraId="3A4E2CDE">
      <w:pPr>
        <w:pStyle w:val="2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firstLine="640" w:firstLineChars="0"/>
        <w:textAlignment w:val="auto"/>
        <w:rPr>
          <w:rFonts w:hint="default" w:ascii="Times New Roman" w:hAnsi="Times New Roman" w:cs="Times New Roman"/>
          <w:b w:val="0"/>
          <w:highlight w:val="none"/>
        </w:rPr>
      </w:pPr>
      <w:r>
        <w:rPr>
          <w:rFonts w:hint="default" w:ascii="Times New Roman" w:hAnsi="Times New Roman" w:cs="Times New Roman"/>
          <w:highlight w:val="none"/>
        </w:rPr>
        <w:t>布雷图指数（BI）调查评估。</w:t>
      </w:r>
    </w:p>
    <w:p w14:paraId="7FBC71D9">
      <w:pPr>
        <w:pStyle w:val="11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default" w:ascii="Times New Roman" w:hAnsi="Times New Roman" w:cs="Times New Roman"/>
          <w:highlight w:val="none"/>
        </w:rPr>
      </w:pPr>
      <w:r>
        <w:rPr>
          <w:rFonts w:hint="default" w:ascii="Times New Roman" w:hAnsi="Times New Roman" w:cs="Times New Roman"/>
          <w:highlight w:val="none"/>
        </w:rPr>
        <w:t>8月12日，对广州、珠海、汕头、佛山、韶关、东莞、中山、江门、阳江、肇庆、清远、揭阳</w:t>
      </w:r>
      <w:r>
        <w:rPr>
          <w:rFonts w:hint="default" w:ascii="Times New Roman" w:hAnsi="Times New Roman" w:cs="Times New Roman"/>
          <w:highlight w:val="none"/>
          <w:lang w:eastAsia="zh-CN"/>
        </w:rPr>
        <w:t>和</w:t>
      </w:r>
      <w:r>
        <w:rPr>
          <w:rFonts w:hint="default" w:ascii="Times New Roman" w:hAnsi="Times New Roman" w:cs="Times New Roman"/>
          <w:highlight w:val="none"/>
        </w:rPr>
        <w:t>云浮市共13个地市31个县区62个镇街13</w:t>
      </w:r>
      <w:r>
        <w:rPr>
          <w:rFonts w:hint="default" w:ascii="Times New Roman" w:hAnsi="Times New Roman" w:cs="Times New Roman"/>
          <w:highlight w:val="none"/>
          <w:lang w:val="en-US" w:eastAsia="zh-CN"/>
        </w:rPr>
        <w:t>8</w:t>
      </w:r>
      <w:r>
        <w:rPr>
          <w:rFonts w:hint="default" w:ascii="Times New Roman" w:hAnsi="Times New Roman" w:cs="Times New Roman"/>
          <w:highlight w:val="none"/>
        </w:rPr>
        <w:t>个村居/监测点开展了蚊媒密度应急监测。监测结果显示：118个监测点BI达标准要求，达标率为8</w:t>
      </w:r>
      <w:r>
        <w:rPr>
          <w:rFonts w:hint="default" w:ascii="Times New Roman" w:hAnsi="Times New Roman" w:cs="Times New Roman"/>
          <w:highlight w:val="none"/>
          <w:lang w:val="en-US" w:eastAsia="zh-CN"/>
        </w:rPr>
        <w:t>5</w:t>
      </w:r>
      <w:r>
        <w:rPr>
          <w:rFonts w:hint="default" w:ascii="Times New Roman" w:hAnsi="Times New Roman" w:cs="Times New Roman"/>
          <w:highlight w:val="none"/>
        </w:rPr>
        <w:t>.</w:t>
      </w:r>
      <w:r>
        <w:rPr>
          <w:rFonts w:hint="default" w:ascii="Times New Roman" w:hAnsi="Times New Roman" w:cs="Times New Roman"/>
          <w:highlight w:val="none"/>
          <w:lang w:val="en-US" w:eastAsia="zh-CN"/>
        </w:rPr>
        <w:t>5</w:t>
      </w:r>
      <w:r>
        <w:rPr>
          <w:rFonts w:hint="default" w:ascii="Times New Roman" w:hAnsi="Times New Roman" w:cs="Times New Roman"/>
          <w:highlight w:val="none"/>
        </w:rPr>
        <w:t>%（</w:t>
      </w:r>
      <w:r>
        <w:rPr>
          <w:rFonts w:hint="default" w:ascii="Times New Roman" w:hAnsi="Times New Roman" w:cs="Times New Roman"/>
          <w:spacing wpsCustomData:val="-6" w:val="-6"/>
          <w:highlight w:val="none"/>
        </w:rPr>
        <w:t>118/13</w:t>
      </w:r>
      <w:r>
        <w:rPr>
          <w:rFonts w:hint="default" w:ascii="Times New Roman" w:hAnsi="Times New Roman" w:cs="Times New Roman"/>
          <w:spacing wpsCustomData:val="-6" w:val="15"/>
          <w:highlight w:val="none"/>
          <w:lang w:val="en-US" w:eastAsia="zh-CN"/>
        </w:rPr>
        <w:t>8</w:t>
      </w:r>
      <w:r>
        <w:rPr>
          <w:rFonts w:hint="default" w:ascii="Times New Roman" w:hAnsi="Times New Roman" w:cs="Times New Roman"/>
          <w:spacing wpsCustomData:val="-6" w:val="14"/>
          <w:highlight w:val="none"/>
        </w:rPr>
        <w:t>）；</w:t>
      </w:r>
      <w:r>
        <w:rPr>
          <w:rFonts w:hint="default" w:ascii="Times New Roman" w:hAnsi="Times New Roman" w:cs="Times New Roman"/>
          <w:spacing wpsCustomData:val="-6" w:val="-6"/>
          <w:highlight w:val="none"/>
        </w:rPr>
        <w:t>2</w:t>
      </w:r>
      <w:r>
        <w:rPr>
          <w:rFonts w:hint="default" w:ascii="Times New Roman" w:hAnsi="Times New Roman" w:cs="Times New Roman"/>
          <w:spacing wpsCustomData:val="-6" w:val="-25"/>
          <w:highlight w:val="none"/>
        </w:rPr>
        <w:t>0</w:t>
      </w:r>
      <w:r>
        <w:rPr>
          <w:rFonts w:hint="default" w:ascii="Times New Roman" w:hAnsi="Times New Roman" w:cs="Times New Roman"/>
          <w:spacing wpsCustomData:val="-6" w:val="14"/>
          <w:highlight w:val="none"/>
        </w:rPr>
        <w:t>个监测点</w:t>
      </w:r>
      <w:r>
        <w:rPr>
          <w:rFonts w:hint="default" w:ascii="Times New Roman" w:hAnsi="Times New Roman" w:cs="Times New Roman"/>
          <w:spacing wpsCustomData:val="-6" w:val="-6"/>
          <w:highlight w:val="none"/>
        </w:rPr>
        <w:t>B</w:t>
      </w:r>
      <w:r>
        <w:rPr>
          <w:rFonts w:hint="default" w:ascii="Times New Roman" w:hAnsi="Times New Roman" w:cs="Times New Roman"/>
          <w:spacing wpsCustomData:val="-6" w:val="-25"/>
          <w:highlight w:val="none"/>
        </w:rPr>
        <w:t>I</w:t>
      </w:r>
      <w:r>
        <w:rPr>
          <w:rFonts w:hint="default" w:ascii="Times New Roman" w:hAnsi="Times New Roman" w:cs="Times New Roman"/>
          <w:spacing wpsCustomData:val="-6" w:val="14"/>
          <w:highlight w:val="none"/>
        </w:rPr>
        <w:t>为低中高风险，</w:t>
      </w:r>
      <w:r>
        <w:rPr>
          <w:rFonts w:hint="default" w:ascii="Times New Roman" w:hAnsi="Times New Roman" w:cs="Times New Roman"/>
          <w:spacing wpsCustomData:val="-6" w:val="15"/>
          <w:highlight w:val="none"/>
        </w:rPr>
        <w:t>占</w:t>
      </w:r>
      <w:r>
        <w:rPr>
          <w:rFonts w:hint="default" w:ascii="Times New Roman" w:hAnsi="Times New Roman" w:cs="Times New Roman"/>
          <w:spacing wpsCustomData:val="-6" w:val="-6"/>
          <w:highlight w:val="none"/>
        </w:rPr>
        <w:t>14.</w:t>
      </w:r>
      <w:r>
        <w:rPr>
          <w:rFonts w:hint="default" w:ascii="Times New Roman" w:hAnsi="Times New Roman" w:cs="Times New Roman"/>
          <w:spacing wpsCustomData:val="-6" w:val="-6"/>
          <w:highlight w:val="none"/>
          <w:lang w:val="en-US" w:eastAsia="zh-CN"/>
        </w:rPr>
        <w:t>5</w:t>
      </w:r>
      <w:r>
        <w:rPr>
          <w:rFonts w:hint="default" w:ascii="Times New Roman" w:hAnsi="Times New Roman" w:cs="Times New Roman"/>
          <w:spacing wpsCustomData:val="-6" w:val="-6"/>
          <w:highlight w:val="none"/>
        </w:rPr>
        <w:t>%</w:t>
      </w:r>
      <w:r>
        <w:rPr>
          <w:rFonts w:hint="default" w:ascii="Times New Roman" w:hAnsi="Times New Roman" w:cs="Times New Roman"/>
          <w:highlight w:val="none"/>
        </w:rPr>
        <w:t>（20/13</w:t>
      </w:r>
      <w:r>
        <w:rPr>
          <w:rFonts w:hint="default" w:ascii="Times New Roman" w:hAnsi="Times New Roman" w:cs="Times New Roman"/>
          <w:highlight w:val="none"/>
          <w:lang w:val="en-US" w:eastAsia="zh-CN"/>
        </w:rPr>
        <w:t>8</w:t>
      </w:r>
      <w:r>
        <w:rPr>
          <w:rFonts w:hint="default" w:ascii="Times New Roman" w:hAnsi="Times New Roman" w:cs="Times New Roman"/>
          <w:highlight w:val="none"/>
        </w:rPr>
        <w:t>）。</w:t>
      </w:r>
    </w:p>
    <w:p w14:paraId="557BD9E3">
      <w:pPr>
        <w:pStyle w:val="11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highlight w:val="none"/>
        </w:rPr>
      </w:pPr>
      <w:r>
        <w:rPr>
          <w:rFonts w:hint="default" w:ascii="Times New Roman" w:hAnsi="Times New Roman" w:cs="Times New Roman"/>
          <w:highlight w:val="none"/>
        </w:rPr>
        <w:t>高风险1个：江门市台山市都斛镇都斛工业集聚区（核心区）（23.3）。</w:t>
      </w:r>
    </w:p>
    <w:p w14:paraId="4E0D55C9">
      <w:pPr>
        <w:pStyle w:val="11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highlight w:val="none"/>
        </w:rPr>
      </w:pPr>
      <w:r>
        <w:rPr>
          <w:rFonts w:hint="default" w:ascii="Times New Roman" w:hAnsi="Times New Roman" w:cs="Times New Roman"/>
          <w:highlight w:val="none"/>
        </w:rPr>
        <w:t>中风险7个：清远市清城区龙塘镇井岭村委会（核心区）（19.2）、清远市清城区龙塘镇井岭村委会（警戒区）（18.0）、汕头市澄海区东里镇塘西村（核心区）（17.9）、江门市台山市都斛镇下莘村村委会（核心区）（17.7）、清远市清城区石角镇界牌村委会（警戒区）（13.9）、揭阳市普宁市里湖镇新松村（核心区）（12.0）、清远市清城区石角镇界牌村委会（核心区）（10.0）。</w:t>
      </w:r>
    </w:p>
    <w:p w14:paraId="451F1FA4">
      <w:pPr>
        <w:pStyle w:val="11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0" w:firstLineChars="200"/>
        <w:textAlignment w:val="auto"/>
        <w:rPr>
          <w:rFonts w:hint="default" w:ascii="Times New Roman" w:hAnsi="Times New Roman" w:cs="Times New Roman"/>
          <w:highlight w:val="none"/>
        </w:rPr>
      </w:pPr>
      <w:bookmarkStart w:id="0" w:name="_GoBack"/>
      <w:bookmarkEnd w:id="0"/>
      <w:r>
        <w:rPr>
          <w:rFonts w:hint="default" w:ascii="Times New Roman" w:hAnsi="Times New Roman" w:cs="Times New Roman"/>
          <w:highlight w:val="none"/>
        </w:rPr>
        <w:t>低风险12个：清远市清新区太和镇明霞社区新亚棕榈园（核心区）（9.9）、汕头市龙湖区外砂街道蓬中村（核心区）（8.2）、揭阳市揭西县河婆街道马头村（核心区）（8.0）、清远市清新区太和镇城北社区骄阳华庭（核心区）（7.8）、清远市清新区太和镇明霞社区新亚棕榈园（警戒区）（7.1）、清远市清城区洲心街道启明社区（警戒区）（7.0）、汕头市澄海区凤翔街道港口社区（核心区）（6.6）、清远市清新区太和镇城东社区（警戒区）（6.5）、清远市清城区东城街道金湖社区（警戒区）（6.0）、清远市清新区太和镇城西社区（警戒区）（5.9）、阳江市阳春市春湾镇青云居委会（核心区）（5.2）、清远市清城区洲心街道启明社区（核心区）（5.0）。</w:t>
      </w:r>
    </w:p>
    <w:p w14:paraId="6A8BD29B">
      <w:pPr>
        <w:pStyle w:val="2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40" w:firstLineChars="0"/>
        <w:textAlignment w:val="auto"/>
        <w:rPr>
          <w:rFonts w:hint="default" w:ascii="Times New Roman" w:hAnsi="Times New Roman" w:cs="Times New Roman"/>
          <w:b w:val="0"/>
          <w:highlight w:val="none"/>
        </w:rPr>
      </w:pPr>
      <w:r>
        <w:rPr>
          <w:rFonts w:hint="default" w:ascii="Times New Roman" w:hAnsi="Times New Roman" w:cs="Times New Roman"/>
          <w:highlight w:val="none"/>
        </w:rPr>
        <w:t>成蚊密度（ADI）快速评估。</w:t>
      </w:r>
    </w:p>
    <w:p w14:paraId="28D4BD6A">
      <w:pPr>
        <w:pStyle w:val="11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highlight w:val="none"/>
        </w:rPr>
      </w:pPr>
      <w:r>
        <w:rPr>
          <w:rFonts w:hint="default" w:ascii="Times New Roman" w:hAnsi="Times New Roman" w:cs="Times New Roman"/>
          <w:highlight w:val="none"/>
        </w:rPr>
        <w:t>8月12日，对广州、珠海、汕头、佛山、韶关、东莞、中山、江门、阳江、肇庆、清远、揭阳</w:t>
      </w:r>
      <w:r>
        <w:rPr>
          <w:rFonts w:hint="default" w:ascii="Times New Roman" w:hAnsi="Times New Roman" w:cs="Times New Roman"/>
          <w:highlight w:val="none"/>
          <w:lang w:eastAsia="zh-CN"/>
        </w:rPr>
        <w:t>和</w:t>
      </w:r>
      <w:r>
        <w:rPr>
          <w:rFonts w:hint="default" w:ascii="Times New Roman" w:hAnsi="Times New Roman" w:cs="Times New Roman"/>
          <w:highlight w:val="none"/>
        </w:rPr>
        <w:t>云浮市共13个地市31个县区62个镇街135个村居/监测点开展了蚊媒密度应急监测。监测结果显示：122个监测点ADI达标准要求，达标率为90.4%（</w:t>
      </w:r>
      <w:r>
        <w:rPr>
          <w:rFonts w:hint="default" w:ascii="Times New Roman" w:hAnsi="Times New Roman" w:cs="Times New Roman"/>
          <w:spacing wpsCustomData:val="-6" w:val="-6"/>
          <w:highlight w:val="none"/>
        </w:rPr>
        <w:t>122/13</w:t>
      </w:r>
      <w:r>
        <w:rPr>
          <w:rFonts w:hint="default" w:ascii="Times New Roman" w:hAnsi="Times New Roman" w:cs="Times New Roman"/>
          <w:spacing wpsCustomData:val="-6" w:val="14"/>
          <w:highlight w:val="none"/>
        </w:rPr>
        <w:t>5</w:t>
      </w:r>
      <w:r>
        <w:rPr>
          <w:rFonts w:hint="default" w:ascii="Times New Roman" w:hAnsi="Times New Roman" w:cs="Times New Roman"/>
          <w:spacing wpsCustomData:val="-6" w:val="13"/>
          <w:highlight w:val="none"/>
        </w:rPr>
        <w:t>）；</w:t>
      </w:r>
      <w:r>
        <w:rPr>
          <w:rFonts w:hint="default" w:ascii="Times New Roman" w:hAnsi="Times New Roman" w:cs="Times New Roman"/>
          <w:spacing wpsCustomData:val="-6" w:val="-6"/>
          <w:highlight w:val="none"/>
        </w:rPr>
        <w:t>1</w:t>
      </w:r>
      <w:r>
        <w:rPr>
          <w:rFonts w:hint="default" w:ascii="Times New Roman" w:hAnsi="Times New Roman" w:cs="Times New Roman"/>
          <w:spacing wpsCustomData:val="-6" w:val="-26"/>
          <w:highlight w:val="none"/>
        </w:rPr>
        <w:t>3</w:t>
      </w:r>
      <w:r>
        <w:rPr>
          <w:rFonts w:hint="default" w:ascii="Times New Roman" w:hAnsi="Times New Roman" w:cs="Times New Roman"/>
          <w:spacing wpsCustomData:val="-6" w:val="13"/>
          <w:highlight w:val="none"/>
        </w:rPr>
        <w:t>个监测点</w:t>
      </w:r>
      <w:r>
        <w:rPr>
          <w:rFonts w:hint="default" w:ascii="Times New Roman" w:hAnsi="Times New Roman" w:cs="Times New Roman"/>
          <w:spacing wpsCustomData:val="-6" w:val="-6"/>
          <w:highlight w:val="none"/>
        </w:rPr>
        <w:t>AD</w:t>
      </w:r>
      <w:r>
        <w:rPr>
          <w:rFonts w:hint="default" w:ascii="Times New Roman" w:hAnsi="Times New Roman" w:cs="Times New Roman"/>
          <w:spacing wpsCustomData:val="-6" w:val="-26"/>
          <w:highlight w:val="none"/>
        </w:rPr>
        <w:t>I</w:t>
      </w:r>
      <w:r>
        <w:rPr>
          <w:rFonts w:hint="default" w:ascii="Times New Roman" w:hAnsi="Times New Roman" w:cs="Times New Roman"/>
          <w:spacing wpsCustomData:val="-6" w:val="13"/>
          <w:highlight w:val="none"/>
        </w:rPr>
        <w:t>为低中高风险，占</w:t>
      </w:r>
      <w:r>
        <w:rPr>
          <w:rFonts w:hint="default" w:ascii="Times New Roman" w:hAnsi="Times New Roman" w:cs="Times New Roman"/>
          <w:spacing wpsCustomData:val="-6" w:val="-6"/>
          <w:highlight w:val="none"/>
        </w:rPr>
        <w:t>9.6%</w:t>
      </w:r>
      <w:r>
        <w:rPr>
          <w:rFonts w:hint="default" w:ascii="Times New Roman" w:hAnsi="Times New Roman" w:cs="Times New Roman"/>
          <w:highlight w:val="none"/>
        </w:rPr>
        <w:t>（13/135）。</w:t>
      </w:r>
    </w:p>
    <w:p w14:paraId="373B1007">
      <w:pPr>
        <w:pStyle w:val="11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highlight w:val="none"/>
        </w:rPr>
      </w:pPr>
      <w:r>
        <w:rPr>
          <w:rFonts w:hint="default" w:ascii="Times New Roman" w:hAnsi="Times New Roman" w:cs="Times New Roman"/>
          <w:highlight w:val="none"/>
        </w:rPr>
        <w:t>中风险3个：汕头市澄海区凤翔街道港口社区（核心区）（8.0）、汕头市澄海区东里镇塘西村（核心区）（6.0）、江门市台山市都斛镇都斛工业集聚区（核心区）（6.0）。</w:t>
      </w:r>
    </w:p>
    <w:p w14:paraId="4A2BE08D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textAlignment w:val="auto"/>
        <w:rPr>
          <w:rFonts w:hint="default" w:ascii="Times New Roman" w:hAnsi="Times New Roman" w:cs="Times New Roman"/>
          <w:highlight w:val="none"/>
        </w:rPr>
      </w:pPr>
      <w:r>
        <w:rPr>
          <w:rFonts w:hint="default" w:ascii="Times New Roman" w:hAnsi="Times New Roman" w:cs="Times New Roman"/>
          <w:highlight w:val="none"/>
        </w:rPr>
        <w:t>低风险10个：广州市黄埔区鱼珠街道茅岗社区（核心区）（4.0）、清远市清城区东城街道金湖社区（核心区）（3.2）、广州市花都区新雅街道云峰社区（核心区）（3.0）、广州市花都区新雅街道云峰社区（警戒区）（3.0）、江门市台山市都斛镇下莘村村委会（核心区）（3.0）、清远市清城区石角镇界牌村委会（警戒区）（2.8）、清远市清城区东城街道金湖社区（警戒区）（2.4）、清远市清城区龙塘镇井岭村委会（核心区）（2.4）、清远市清城区龙塘镇井岭村委会（警戒区）（2.4）、清远市清城区石角镇界牌村委会（核心区）（2.4）。</w:t>
      </w:r>
    </w:p>
    <w:p w14:paraId="42DCF033">
      <w:pPr>
        <w:pStyle w:val="11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highlight w:val="none"/>
        </w:rPr>
      </w:pPr>
    </w:p>
    <w:sectPr>
      <w:footerReference r:id="rId3" w:type="default"/>
      <w:footerReference r:id="rId4" w:type="even"/>
      <w:pgSz w:w="11906" w:h="16838"/>
      <w:pgMar w:top="2041" w:right="1531" w:bottom="2041" w:left="1531" w:header="851" w:footer="1559" w:gutter="0"/>
      <w:pgNumType w:fmt="decimal" w:start="1"/>
      <w:cols w:space="0" w:num="1"/>
      <w:rtlGutter w:val="0"/>
      <w:docGrid w:type="linesAndChars" w:linePitch="579" w:charSpace="1547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8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  <w:embedRegular r:id="rId1" w:fontKey="{FD8CE8E6-777D-4524-AB1E-9FE57BAA657B}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方正小标宋简体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2" w:fontKey="{0EE8E98F-8C68-4CCB-AC48-45308208B88E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9E64D6">
    <w:pPr>
      <w:pStyle w:val="1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posOffset>4641850</wp:posOffset>
              </wp:positionH>
              <wp:positionV relativeFrom="paragraph">
                <wp:posOffset>155575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4341892">
                          <w:pPr>
                            <w:pStyle w:val="12"/>
                            <w:rPr>
                              <w:rFonts w:ascii="宋体" w:hAnsi="宋体" w:eastAsia="宋体"/>
                              <w:sz w:val="28"/>
                            </w:rPr>
                          </w:pP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t>—</w:t>
                          </w:r>
                          <w:r>
                            <w:rPr>
                              <w:rFonts w:ascii="宋体" w:hAnsi="宋体" w:eastAsia="宋体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t>1</w:t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fldChar w:fldCharType="end"/>
                          </w:r>
                          <w:r>
                            <w:rPr>
                              <w:rFonts w:ascii="宋体" w:hAnsi="宋体" w:eastAsia="宋体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t>—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03200" tIns="0" rIns="20320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65.5pt;margin-top:12.25pt;height:144pt;width:144pt;mso-position-horizontal-relative:margin;mso-wrap-style:none;z-index:251659264;mso-width-relative:page;mso-height-relative:page;" filled="f" stroked="f" coordsize="21600,21600" o:gfxdata="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4bG9tsAAAALAQAADwAAAAAAAAABACAAAAAiAAAAZHJzL2Rv&#10;d25yZXYueG1sUEsBAhQAFAAAAAgAh07iQAyJkQw3AgAAawQAAA4AAAAAAAAAAQAgAAAAKgEAAGRy&#10;cy9lMm9Eb2MueG1sUEsFBgAAAAAGAAYAWQEAANMFAAAAAA==&#10;">
              <v:fill on="f" focussize="0,0"/>
              <v:stroke on="f" weight="0.5pt"/>
              <v:imagedata o:title=""/>
              <o:lock v:ext="edit" aspectratio="f"/>
              <v:textbox inset="16pt,0mm,16pt,0mm" style="mso-fit-shape-to-text:t;">
                <w:txbxContent>
                  <w:p w14:paraId="04341892">
                    <w:pPr>
                      <w:pStyle w:val="12"/>
                      <w:rPr>
                        <w:rFonts w:ascii="宋体" w:hAnsi="宋体" w:eastAsia="宋体"/>
                        <w:sz w:val="28"/>
                      </w:rPr>
                    </w:pPr>
                    <w:r>
                      <w:rPr>
                        <w:rFonts w:ascii="宋体" w:hAnsi="宋体" w:eastAsia="宋体"/>
                        <w:sz w:val="28"/>
                      </w:rPr>
                      <w:t>—</w:t>
                    </w:r>
                    <w:r>
                      <w:rPr>
                        <w:rFonts w:ascii="宋体" w:hAnsi="宋体" w:eastAsia="宋体"/>
                        <w:sz w:val="24"/>
                      </w:rPr>
                      <w:t xml:space="preserve"> </w:t>
                    </w:r>
                    <w:r>
                      <w:rPr>
                        <w:rFonts w:ascii="宋体" w:hAnsi="宋体" w:eastAsia="宋体"/>
                        <w:sz w:val="28"/>
                      </w:rPr>
                      <w:fldChar w:fldCharType="begin"/>
                    </w:r>
                    <w:r>
                      <w:rPr>
                        <w:rFonts w:ascii="宋体" w:hAnsi="宋体" w:eastAsia="宋体"/>
                        <w:sz w:val="28"/>
                      </w:rPr>
                      <w:instrText xml:space="preserve"> PAGE  \* MERGEFORMAT </w:instrText>
                    </w:r>
                    <w:r>
                      <w:rPr>
                        <w:rFonts w:ascii="宋体" w:hAnsi="宋体" w:eastAsia="宋体"/>
                        <w:sz w:val="28"/>
                      </w:rPr>
                      <w:fldChar w:fldCharType="separate"/>
                    </w:r>
                    <w:r>
                      <w:rPr>
                        <w:rFonts w:ascii="宋体" w:hAnsi="宋体" w:eastAsia="宋体"/>
                        <w:sz w:val="28"/>
                      </w:rPr>
                      <w:t>1</w:t>
                    </w:r>
                    <w:r>
                      <w:rPr>
                        <w:rFonts w:ascii="宋体" w:hAnsi="宋体" w:eastAsia="宋体"/>
                        <w:sz w:val="28"/>
                      </w:rPr>
                      <w:fldChar w:fldCharType="end"/>
                    </w:r>
                    <w:r>
                      <w:rPr>
                        <w:rFonts w:ascii="宋体" w:hAnsi="宋体" w:eastAsia="宋体"/>
                        <w:sz w:val="24"/>
                      </w:rPr>
                      <w:t xml:space="preserve"> </w:t>
                    </w:r>
                    <w:r>
                      <w:rPr>
                        <w:rFonts w:ascii="宋体" w:hAnsi="宋体" w:eastAsia="宋体"/>
                        <w:sz w:val="28"/>
                      </w:rPr>
                      <w:t>—</w:t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977D57">
    <w:pPr>
      <w:pStyle w:val="1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posOffset>5715</wp:posOffset>
              </wp:positionH>
              <wp:positionV relativeFrom="paragraph">
                <wp:posOffset>269240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1842E70">
                          <w:pPr>
                            <w:pStyle w:val="12"/>
                            <w:rPr>
                              <w:rFonts w:ascii="宋体" w:hAnsi="宋体" w:eastAsia="宋体"/>
                              <w:sz w:val="28"/>
                            </w:rPr>
                          </w:pP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t>—</w:t>
                          </w:r>
                          <w:r>
                            <w:rPr>
                              <w:rFonts w:ascii="宋体" w:hAnsi="宋体" w:eastAsia="宋体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t>2</w:t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fldChar w:fldCharType="end"/>
                          </w:r>
                          <w:r>
                            <w:rPr>
                              <w:rFonts w:ascii="宋体" w:hAnsi="宋体" w:eastAsia="宋体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t>—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03200" tIns="0" rIns="20320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0.45pt;margin-top:21.2pt;height:144pt;width:144pt;mso-position-horizontal-relative:margin;mso-wrap-style:none;z-index:251660288;mso-width-relative:page;mso-height-relative:page;" filled="f" stroked="f" coordsize="21600,21600" o:gfxdata="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">
              <v:fill on="f" focussize="0,0"/>
              <v:stroke on="f" weight="0.5pt"/>
              <v:imagedata o:title=""/>
              <o:lock v:ext="edit" aspectratio="f"/>
              <v:textbox inset="16pt,0mm,16pt,0mm" style="mso-fit-shape-to-text:t;">
                <w:txbxContent>
                  <w:p w14:paraId="11842E70">
                    <w:pPr>
                      <w:pStyle w:val="12"/>
                      <w:rPr>
                        <w:rFonts w:ascii="宋体" w:hAnsi="宋体" w:eastAsia="宋体"/>
                        <w:sz w:val="28"/>
                      </w:rPr>
                    </w:pPr>
                    <w:r>
                      <w:rPr>
                        <w:rFonts w:ascii="宋体" w:hAnsi="宋体" w:eastAsia="宋体"/>
                        <w:sz w:val="28"/>
                      </w:rPr>
                      <w:t>—</w:t>
                    </w:r>
                    <w:r>
                      <w:rPr>
                        <w:rFonts w:ascii="宋体" w:hAnsi="宋体" w:eastAsia="宋体"/>
                        <w:sz w:val="24"/>
                      </w:rPr>
                      <w:t xml:space="preserve"> </w:t>
                    </w:r>
                    <w:r>
                      <w:rPr>
                        <w:rFonts w:ascii="宋体" w:hAnsi="宋体" w:eastAsia="宋体"/>
                        <w:sz w:val="28"/>
                      </w:rPr>
                      <w:fldChar w:fldCharType="begin"/>
                    </w:r>
                    <w:r>
                      <w:rPr>
                        <w:rFonts w:ascii="宋体" w:hAnsi="宋体" w:eastAsia="宋体"/>
                        <w:sz w:val="28"/>
                      </w:rPr>
                      <w:instrText xml:space="preserve"> PAGE  \* MERGEFORMAT </w:instrText>
                    </w:r>
                    <w:r>
                      <w:rPr>
                        <w:rFonts w:ascii="宋体" w:hAnsi="宋体" w:eastAsia="宋体"/>
                        <w:sz w:val="28"/>
                      </w:rPr>
                      <w:fldChar w:fldCharType="separate"/>
                    </w:r>
                    <w:r>
                      <w:rPr>
                        <w:rFonts w:ascii="宋体" w:hAnsi="宋体" w:eastAsia="宋体"/>
                        <w:sz w:val="28"/>
                      </w:rPr>
                      <w:t>2</w:t>
                    </w:r>
                    <w:r>
                      <w:rPr>
                        <w:rFonts w:ascii="宋体" w:hAnsi="宋体" w:eastAsia="宋体"/>
                        <w:sz w:val="28"/>
                      </w:rPr>
                      <w:fldChar w:fldCharType="end"/>
                    </w:r>
                    <w:r>
                      <w:rPr>
                        <w:rFonts w:ascii="宋体" w:hAnsi="宋体" w:eastAsia="宋体"/>
                        <w:sz w:val="24"/>
                      </w:rPr>
                      <w:t xml:space="preserve"> </w:t>
                    </w:r>
                    <w:r>
                      <w:rPr>
                        <w:rFonts w:ascii="宋体" w:hAnsi="宋体" w:eastAsia="宋体"/>
                        <w:sz w:val="28"/>
                      </w:rPr>
                      <w:t>—</w:t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B932DD6"/>
    <w:multiLevelType w:val="singleLevel"/>
    <w:tmpl w:val="AB932DD6"/>
    <w:lvl w:ilvl="0" w:tentative="0">
      <w:start w:val="1"/>
      <w:numFmt w:val="taiwaneseCounting"/>
      <w:suff w:val="nothing"/>
      <w:lvlText w:val="%1、"/>
      <w:lvlJc w:val="left"/>
      <w:pPr>
        <w:ind w:left="0" w:firstLine="640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evenAndOddHeaders w:val="1"/>
  <w:drawingGridHorizontalSpacing w:val="164"/>
  <w:drawingGridVerticalSpacing w:val="290"/>
  <w:displayHorizontalDrawingGridEvery w:val="2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9A12A49"/>
    <w:rsid w:val="01267710"/>
    <w:rsid w:val="015357AE"/>
    <w:rsid w:val="033A1B8C"/>
    <w:rsid w:val="045E1AFD"/>
    <w:rsid w:val="06C47026"/>
    <w:rsid w:val="0874698D"/>
    <w:rsid w:val="094B2EC0"/>
    <w:rsid w:val="09C45C40"/>
    <w:rsid w:val="09F60B32"/>
    <w:rsid w:val="0A273A6A"/>
    <w:rsid w:val="0AF549F2"/>
    <w:rsid w:val="0B7804DB"/>
    <w:rsid w:val="0BE52299"/>
    <w:rsid w:val="0C2551EE"/>
    <w:rsid w:val="0CA710DF"/>
    <w:rsid w:val="0D0B3D64"/>
    <w:rsid w:val="0D6279CD"/>
    <w:rsid w:val="0D7277FD"/>
    <w:rsid w:val="0F421474"/>
    <w:rsid w:val="11052878"/>
    <w:rsid w:val="12944C14"/>
    <w:rsid w:val="17817EE0"/>
    <w:rsid w:val="197D777C"/>
    <w:rsid w:val="1A063108"/>
    <w:rsid w:val="1AF17CCF"/>
    <w:rsid w:val="1BB05AD7"/>
    <w:rsid w:val="1E1F1478"/>
    <w:rsid w:val="1F270F88"/>
    <w:rsid w:val="1FEE696A"/>
    <w:rsid w:val="2073362B"/>
    <w:rsid w:val="210B0C82"/>
    <w:rsid w:val="217A2E0F"/>
    <w:rsid w:val="23370C2C"/>
    <w:rsid w:val="236944BE"/>
    <w:rsid w:val="23B23646"/>
    <w:rsid w:val="23D1415E"/>
    <w:rsid w:val="24C951AB"/>
    <w:rsid w:val="25126A51"/>
    <w:rsid w:val="26941C18"/>
    <w:rsid w:val="2821787F"/>
    <w:rsid w:val="29A12A49"/>
    <w:rsid w:val="2A0200D1"/>
    <w:rsid w:val="2AA76BFC"/>
    <w:rsid w:val="2B555B6F"/>
    <w:rsid w:val="2BD34115"/>
    <w:rsid w:val="2C1A26AB"/>
    <w:rsid w:val="2EFD188F"/>
    <w:rsid w:val="2F5314EA"/>
    <w:rsid w:val="31247CC8"/>
    <w:rsid w:val="31BD2E5B"/>
    <w:rsid w:val="31FA62F1"/>
    <w:rsid w:val="31FD4DC4"/>
    <w:rsid w:val="3227735B"/>
    <w:rsid w:val="333B5B1E"/>
    <w:rsid w:val="37FE2403"/>
    <w:rsid w:val="38744A0A"/>
    <w:rsid w:val="38E3370F"/>
    <w:rsid w:val="3BE72B0A"/>
    <w:rsid w:val="3C2B322B"/>
    <w:rsid w:val="3C854738"/>
    <w:rsid w:val="414C5E07"/>
    <w:rsid w:val="42B51AA1"/>
    <w:rsid w:val="43926204"/>
    <w:rsid w:val="44505E84"/>
    <w:rsid w:val="44B56FE4"/>
    <w:rsid w:val="45774DEB"/>
    <w:rsid w:val="45B868FA"/>
    <w:rsid w:val="460C690C"/>
    <w:rsid w:val="46294190"/>
    <w:rsid w:val="47153CF8"/>
    <w:rsid w:val="48151C89"/>
    <w:rsid w:val="4C6B201D"/>
    <w:rsid w:val="4CA40B7C"/>
    <w:rsid w:val="4D5628E4"/>
    <w:rsid w:val="4E426DFA"/>
    <w:rsid w:val="4E741E80"/>
    <w:rsid w:val="50C93B32"/>
    <w:rsid w:val="51C5404F"/>
    <w:rsid w:val="51F10FD1"/>
    <w:rsid w:val="53270A17"/>
    <w:rsid w:val="54996B2C"/>
    <w:rsid w:val="556750D2"/>
    <w:rsid w:val="559F077D"/>
    <w:rsid w:val="565F10D6"/>
    <w:rsid w:val="57B82FBB"/>
    <w:rsid w:val="58CF3212"/>
    <w:rsid w:val="599B50E2"/>
    <w:rsid w:val="5BEB1633"/>
    <w:rsid w:val="5C6F24B8"/>
    <w:rsid w:val="5C9D27F8"/>
    <w:rsid w:val="5F64785C"/>
    <w:rsid w:val="5F867393"/>
    <w:rsid w:val="5FBB6BA3"/>
    <w:rsid w:val="60B36E9B"/>
    <w:rsid w:val="60CB1674"/>
    <w:rsid w:val="63052CBA"/>
    <w:rsid w:val="64524F4A"/>
    <w:rsid w:val="64A820E9"/>
    <w:rsid w:val="64B641B3"/>
    <w:rsid w:val="65267C6F"/>
    <w:rsid w:val="67D649C9"/>
    <w:rsid w:val="67F31880"/>
    <w:rsid w:val="68786281"/>
    <w:rsid w:val="68A36833"/>
    <w:rsid w:val="6BE73B5D"/>
    <w:rsid w:val="6C7BF7D9"/>
    <w:rsid w:val="6E3FB54F"/>
    <w:rsid w:val="6FA879B9"/>
    <w:rsid w:val="71843F95"/>
    <w:rsid w:val="71A92A38"/>
    <w:rsid w:val="72AA7645"/>
    <w:rsid w:val="72D10E6F"/>
    <w:rsid w:val="730307FE"/>
    <w:rsid w:val="74CB4AA1"/>
    <w:rsid w:val="756E18E1"/>
    <w:rsid w:val="7821160A"/>
    <w:rsid w:val="792F082C"/>
    <w:rsid w:val="7B021B84"/>
    <w:rsid w:val="7C8135EF"/>
    <w:rsid w:val="7CE70B9D"/>
    <w:rsid w:val="7E321F26"/>
    <w:rsid w:val="7F531E4A"/>
    <w:rsid w:val="9FDA1EDC"/>
    <w:rsid w:val="B3FF0083"/>
    <w:rsid w:val="BEF73C93"/>
    <w:rsid w:val="CFBF1C3E"/>
    <w:rsid w:val="D7F6AEA3"/>
    <w:rsid w:val="EDDEBBDF"/>
    <w:rsid w:val="F93BCAB4"/>
    <w:rsid w:val="FFD7CDDD"/>
    <w:rsid w:val="FFFFF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officialmode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仿宋_GB2312" w:cstheme="minorBidi"/>
      <w:kern w:val="2"/>
      <w:sz w:val="32"/>
      <w:szCs w:val="32"/>
      <w:lang w:val="en-US" w:eastAsia="zh-CN" w:bidi="ar-SA"/>
    </w:rPr>
  </w:style>
  <w:style w:type="paragraph" w:styleId="2">
    <w:name w:val="heading 1"/>
    <w:next w:val="1"/>
    <w:qFormat/>
    <w:uiPriority w:val="0"/>
    <w:pPr>
      <w:keepNext/>
      <w:keepLines/>
      <w:spacing w:beforeLines="0" w:beforeAutospacing="0" w:afterLines="0" w:afterAutospacing="0" w:line="560" w:lineRule="exact"/>
      <w:ind w:firstLine="894" w:firstLineChars="200"/>
      <w:outlineLvl w:val="0"/>
    </w:pPr>
    <w:rPr>
      <w:rFonts w:ascii="黑体" w:hAnsi="黑体" w:eastAsia="黑体" w:cs="黑体"/>
      <w:kern w:val="44"/>
      <w:sz w:val="32"/>
      <w:szCs w:val="32"/>
    </w:rPr>
  </w:style>
  <w:style w:type="paragraph" w:styleId="3">
    <w:name w:val="heading 2"/>
    <w:next w:val="1"/>
    <w:semiHidden/>
    <w:unhideWhenUsed/>
    <w:qFormat/>
    <w:uiPriority w:val="0"/>
    <w:pPr>
      <w:keepNext/>
      <w:keepLines/>
      <w:spacing w:beforeLines="0" w:beforeAutospacing="0" w:afterLines="0" w:afterAutospacing="0" w:line="560" w:lineRule="exact"/>
      <w:ind w:firstLine="894" w:firstLineChars="200"/>
      <w:outlineLvl w:val="1"/>
    </w:pPr>
    <w:rPr>
      <w:rFonts w:ascii="Times New Roman" w:hAnsi="Times New Roman" w:eastAsia="楷体_GB2312" w:cs="楷体_GB2312"/>
      <w:sz w:val="32"/>
      <w:szCs w:val="32"/>
    </w:rPr>
  </w:style>
  <w:style w:type="paragraph" w:styleId="4">
    <w:name w:val="heading 3"/>
    <w:next w:val="1"/>
    <w:semiHidden/>
    <w:unhideWhenUsed/>
    <w:qFormat/>
    <w:uiPriority w:val="0"/>
    <w:pPr>
      <w:keepNext/>
      <w:keepLines/>
      <w:spacing w:beforeLines="0" w:beforeAutospacing="0" w:afterLines="0" w:afterAutospacing="0" w:line="560" w:lineRule="exact"/>
      <w:ind w:firstLine="894" w:firstLineChars="200"/>
      <w:outlineLvl w:val="2"/>
    </w:pPr>
    <w:rPr>
      <w:rFonts w:ascii="Times New Roman" w:hAnsi="Times New Roman" w:eastAsia="仿宋_GB2312" w:cs="仿宋_GB2312"/>
      <w:sz w:val="32"/>
      <w:szCs w:val="32"/>
    </w:rPr>
  </w:style>
  <w:style w:type="paragraph" w:styleId="5">
    <w:name w:val="heading 4"/>
    <w:next w:val="1"/>
    <w:semiHidden/>
    <w:unhideWhenUsed/>
    <w:qFormat/>
    <w:uiPriority w:val="0"/>
    <w:pPr>
      <w:keepNext/>
      <w:keepLines/>
      <w:spacing w:beforeLines="0" w:beforeAutospacing="0" w:afterLines="0" w:afterAutospacing="0" w:line="560" w:lineRule="exact"/>
      <w:ind w:firstLine="894" w:firstLineChars="200"/>
      <w:outlineLvl w:val="3"/>
    </w:pPr>
    <w:rPr>
      <w:rFonts w:ascii="Times New Roman" w:hAnsi="Times New Roman" w:eastAsia="仿宋_GB2312" w:cs="仿宋_GB2312"/>
      <w:sz w:val="32"/>
      <w:szCs w:val="32"/>
    </w:rPr>
  </w:style>
  <w:style w:type="paragraph" w:styleId="6">
    <w:name w:val="heading 5"/>
    <w:next w:val="1"/>
    <w:semiHidden/>
    <w:unhideWhenUsed/>
    <w:qFormat/>
    <w:uiPriority w:val="0"/>
    <w:pPr>
      <w:spacing w:line="560" w:lineRule="exact"/>
      <w:ind w:firstLine="894" w:firstLineChars="200"/>
      <w:outlineLvl w:val="4"/>
    </w:pPr>
    <w:rPr>
      <w:rFonts w:ascii="Times New Roman" w:hAnsi="Times New Roman" w:eastAsia="仿宋_GB2312" w:cs="仿宋_GB2312"/>
      <w:sz w:val="32"/>
      <w:szCs w:val="32"/>
    </w:rPr>
  </w:style>
  <w:style w:type="paragraph" w:styleId="7">
    <w:name w:val="heading 6"/>
    <w:next w:val="1"/>
    <w:semiHidden/>
    <w:unhideWhenUsed/>
    <w:qFormat/>
    <w:uiPriority w:val="0"/>
    <w:pPr>
      <w:spacing w:line="560" w:lineRule="exact"/>
      <w:ind w:firstLine="894" w:firstLineChars="200"/>
      <w:outlineLvl w:val="5"/>
    </w:pPr>
    <w:rPr>
      <w:rFonts w:ascii="Times New Roman" w:hAnsi="Times New Roman" w:eastAsia="仿宋_GB2312" w:cs="仿宋_GB2312"/>
      <w:sz w:val="32"/>
      <w:szCs w:val="32"/>
    </w:rPr>
  </w:style>
  <w:style w:type="paragraph" w:styleId="8">
    <w:name w:val="heading 7"/>
    <w:next w:val="1"/>
    <w:semiHidden/>
    <w:unhideWhenUsed/>
    <w:qFormat/>
    <w:uiPriority w:val="0"/>
    <w:pPr>
      <w:spacing w:line="560" w:lineRule="exact"/>
      <w:ind w:firstLine="894" w:firstLineChars="200"/>
      <w:outlineLvl w:val="6"/>
    </w:pPr>
    <w:rPr>
      <w:rFonts w:ascii="Times New Roman" w:hAnsi="Times New Roman" w:eastAsia="仿宋_GB2312" w:cs="仿宋_GB2312"/>
      <w:sz w:val="32"/>
      <w:szCs w:val="32"/>
    </w:rPr>
  </w:style>
  <w:style w:type="paragraph" w:styleId="9">
    <w:name w:val="heading 8"/>
    <w:next w:val="1"/>
    <w:semiHidden/>
    <w:unhideWhenUsed/>
    <w:qFormat/>
    <w:uiPriority w:val="0"/>
    <w:pPr>
      <w:spacing w:line="560" w:lineRule="exact"/>
      <w:ind w:firstLine="894" w:firstLineChars="200"/>
      <w:outlineLvl w:val="7"/>
    </w:pPr>
    <w:rPr>
      <w:rFonts w:ascii="Times New Roman" w:hAnsi="Times New Roman" w:eastAsia="仿宋_GB2312" w:cs="仿宋_GB2312"/>
      <w:sz w:val="32"/>
      <w:szCs w:val="32"/>
    </w:rPr>
  </w:style>
  <w:style w:type="paragraph" w:styleId="10">
    <w:name w:val="heading 9"/>
    <w:next w:val="1"/>
    <w:semiHidden/>
    <w:unhideWhenUsed/>
    <w:qFormat/>
    <w:uiPriority w:val="0"/>
    <w:pPr>
      <w:spacing w:line="560" w:lineRule="exact"/>
      <w:ind w:firstLine="894" w:firstLineChars="200"/>
      <w:outlineLvl w:val="8"/>
    </w:pPr>
    <w:rPr>
      <w:rFonts w:ascii="Times New Roman" w:hAnsi="Times New Roman" w:eastAsia="仿宋_GB2312" w:cs="仿宋_GB2312"/>
      <w:sz w:val="32"/>
      <w:szCs w:val="32"/>
    </w:rPr>
  </w:style>
  <w:style w:type="character" w:default="1" w:styleId="17">
    <w:name w:val="Default Paragraph Font"/>
    <w:semiHidden/>
    <w:qFormat/>
    <w:uiPriority w:val="0"/>
  </w:style>
  <w:style w:type="table" w:default="1" w:styleId="1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qFormat/>
    <w:uiPriority w:val="0"/>
    <w:pPr>
      <w:spacing w:line="560" w:lineRule="exact"/>
      <w:ind w:firstLine="630" w:firstLineChars="200"/>
      <w:jc w:val="both"/>
    </w:pPr>
    <w:rPr>
      <w:rFonts w:ascii="Times New Roman" w:hAnsi="Times New Roman" w:eastAsia="仿宋_GB2312" w:cs="仿宋_GB2312"/>
      <w:spacing w:val="-6"/>
      <w:sz w:val="32"/>
      <w:szCs w:val="32"/>
    </w:rPr>
  </w:style>
  <w:style w:type="paragraph" w:styleId="1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4">
    <w:name w:val="Subtitle"/>
    <w:qFormat/>
    <w:uiPriority w:val="0"/>
    <w:pPr>
      <w:spacing w:beforeLines="0" w:beforeAutospacing="0" w:afterLines="0" w:afterAutospacing="0" w:line="720" w:lineRule="exact"/>
      <w:jc w:val="center"/>
      <w:outlineLvl w:val="9"/>
    </w:pPr>
    <w:rPr>
      <w:rFonts w:ascii="Times New Roman" w:hAnsi="Times New Roman" w:eastAsia="仿宋_GB2312" w:cs="仿宋_GB2312"/>
      <w:kern w:val="28"/>
      <w:sz w:val="32"/>
      <w:szCs w:val="32"/>
    </w:rPr>
  </w:style>
  <w:style w:type="paragraph" w:styleId="15">
    <w:name w:val="Title"/>
    <w:qFormat/>
    <w:uiPriority w:val="0"/>
    <w:pPr>
      <w:spacing w:line="720" w:lineRule="exact"/>
      <w:jc w:val="center"/>
      <w:outlineLvl w:val="9"/>
    </w:pPr>
    <w:rPr>
      <w:rFonts w:ascii="方正小标宋简体" w:hAnsi="方正小标宋简体" w:eastAsia="方正小标宋简体" w:cs="方正小标宋简体"/>
      <w:sz w:val="44"/>
      <w:szCs w:val="44"/>
    </w:rPr>
  </w:style>
  <w:style w:type="character" w:customStyle="1" w:styleId="18">
    <w:name w:val="font21"/>
    <w:basedOn w:val="17"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character" w:customStyle="1" w:styleId="19">
    <w:name w:val="font11"/>
    <w:basedOn w:val="17"/>
    <w:qFormat/>
    <w:uiPriority w:val="0"/>
    <w:rPr>
      <w:rFonts w:hint="default" w:ascii="Times New Roman" w:hAnsi="Times New Roman" w:cs="Times New Roman"/>
      <w:color w:val="000000"/>
      <w:sz w:val="28"/>
      <w:szCs w:val="28"/>
      <w:u w:val="none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1156</Words>
  <Characters>1314</Characters>
  <Lines>0</Lines>
  <Paragraphs>0</Paragraphs>
  <TotalTime>17</TotalTime>
  <ScaleCrop>false</ScaleCrop>
  <LinksUpToDate>false</LinksUpToDate>
  <CharactersWithSpaces>1372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2025-07-26T13:14:00Z</dcterms:created>
  <dc:creator>罗焕金</dc:creator>
  <cp:lastModifiedBy>郭文婷</cp:lastModifiedBy>
  <dcterms:modified xsi:type="dcterms:W3CDTF">2026-08-12T16:00:32Z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7053CA6CCB184C418990332F98B75502_13</vt:lpwstr>
  </property>
  <property fmtid="{D5CDD505-2E9C-101B-9397-08002B2CF9AE}" pid="4" name="KSOTemplateDocerSaveRecord">
    <vt:lpwstr>eyJoZGlkIjoiZTNiMmJjMGUyMDNhMGI0MjllZTc4OTE3ODRjOTBjMWQiLCJ1c2VySWQiOiI3NzM0NTA2MDkifQ==</vt:lpwstr>
  </property>
</Properties>
</file>