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相同的连续子串（先删长者）；并删除残留的省级“广东省”（D67，如 `立德村（广东省）` → 应为 `立德村（坟埕巷（老厝））`）；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不重复区县名（**东莞/中山“市辖区”不计算在内**，D69）；镇街数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区县按显示口径（去“市/县/区”后缀；东莞/中山“市辖区”显示“-”；**例外：原始区县为“城区”时保留“城区”，不去“区”字**，D68）。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则按 (地市-区/县/市-街道/乡/镇, 社区/村居, **监测方法**) 从 P1 处理前该点对应监测方法且监测指标值不为空的记录确定“最初监测日期”（最近一次中断后重新开始）到输入日期的间隔天数。**BI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