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程序读取**总库表**（必需）、**广州市表**（可选，总库中广州市数据以此为准，D70）与**飞行监测表**（可选），按输入的目标日期筛选处理，最终输出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/>
          <w:sz w:val="26"/>
        </w:rPr>
        <w:t>2.1.1 广州市表（可选输入，D70）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界面要求：**需包含所有监测日期**。</w:t>
      </w:r>
    </w:p>
    <w:p>
      <w:r>
        <w:rPr>
          <w:rFonts w:ascii="Times New Roman" w:hAnsi="Times New Roman" w:eastAsia="仿宋_GB2312"/>
          <w:b w:val="0"/>
          <w:sz w:val="24"/>
        </w:rPr>
        <w:t>提供后，**总库中“广州市”相关数据以广州市表为准**：先剔除总库中地市为广州的行（按“地市”列或“地市-区/县/市-街道/乡/镇”解析判定），再并入广州市表的行；**其余地市数据处理不变**。</w:t>
      </w:r>
    </w:p>
    <w:p>
      <w:r>
        <w:rPr>
          <w:rFonts w:ascii="Times New Roman" w:hAnsi="Times New Roman" w:eastAsia="仿宋_GB2312"/>
          <w:b w:val="0"/>
          <w:sz w:val="24"/>
        </w:rPr>
        <w:t>广州市表通常**没有**“距首例/末例天数（自动计算）”列，程序按下述规则补算（以输入的目标日期为基准）：</w:t>
      </w:r>
    </w:p>
    <w:p>
      <w:r>
        <w:rPr>
          <w:rFonts w:ascii="Times New Roman" w:hAnsi="Times New Roman" w:eastAsia="仿宋_GB2312"/>
          <w:b w:val="0"/>
          <w:sz w:val="24"/>
        </w:rPr>
        <w:t>1. 距末例天数 = 输入日期 − 末例病例报告时间（天）；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2. 无末例时间 → 距末例天数 = 输入日期 − 首例病例报告时间（天）；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3. 首末例时间都没有 → 距末例天数与距首例天数均置 **40001**（&gt;40000，触发 P6 乱码规则：按“该点最后病例报告时间”到输入日期的间隔判定，D71）；</w:t>
      </w:r>
    </w:p>
    <w:p>
      <w:r>
        <w:rPr>
          <w:rFonts w:ascii="Times New Roman" w:hAnsi="Times New Roman" w:eastAsia="仿宋_GB2312"/>
          <w:b w:val="0"/>
          <w:sz w:val="24"/>
        </w:rPr>
        <w:t>4. 距首例天数 = 输入日期 − 首例病例报告时间（天），无首例则置 40001；</w:t>
      </w:r>
    </w:p>
    <w:p>
      <w:r>
        <w:rPr>
          <w:rFonts w:ascii="Times New Roman" w:hAnsi="Times New Roman" w:eastAsia="仿宋_GB2312"/>
          <w:b w:val="0"/>
          <w:sz w:val="24"/>
        </w:rPr>
        <w:t>5. 最终按 P6 保留**距末例天数 ≤5**（或乱码规则下间隔 ≤5）的数据。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的记录按“该点最后病例报告时间”（D71，见下）判定，该点无任何病例报告时间时退回原方案并予保留（D72）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乱码规则（“最初监测时间”判定，D71）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的记录（两值均为异常大数，通常即该行 首例/末例病例报告时间为空）。</w:t>
      </w:r>
    </w:p>
    <w:p>
      <w:r>
        <w:rPr>
          <w:rFonts w:ascii="Times New Roman" w:hAnsi="Times New Roman" w:eastAsia="仿宋_GB2312"/>
          <w:b w:val="0"/>
          <w:sz w:val="24"/>
        </w:rPr>
        <w:t>判定（**优先方案，D71**）：</w:t>
      </w:r>
    </w:p>
    <w:p>
      <w:r>
        <w:rPr>
          <w:rFonts w:ascii="Times New Roman" w:hAnsi="Times New Roman" w:eastAsia="仿宋_GB2312"/>
          <w:b w:val="0"/>
          <w:sz w:val="24"/>
        </w:rPr>
        <w:t>1. 取**该点有记录的最后病例报告时间**：按 (地市-区/县/市-街道/乡/镇, 社区/村居) 归点，在该点全部记录的 `首例病例报告时间` 与 `末例病例报告时间` 两列中取**不晚于输入日期**的最大值，作为该点“最初监测时间”；</w:t>
      </w:r>
    </w:p>
    <w:p>
      <w:r>
        <w:rPr>
          <w:rFonts w:ascii="Times New Roman" w:hAnsi="Times New Roman" w:eastAsia="仿宋_GB2312"/>
          <w:b w:val="0"/>
          <w:sz w:val="24"/>
        </w:rPr>
        <w:t>2. 计算该时间到**输入日期**的间隔天数：**≤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兜底（该点在输入日期及之前没有任何病例报告时间，**经评审确认退回原方案、仍予保留，D72**）：退回原方案——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取这些记录监测日期序列中**最近一次中断（相邻日期差 &gt; 1 天）之后重新开始的日期**作为“最初监测日期”；</w:t>
      </w:r>
    </w:p>
    <w:p>
      <w:r>
        <w:rPr>
          <w:rFonts w:ascii="Times New Roman" w:hAnsi="Times New Roman" w:eastAsia="仿宋_GB2312"/>
          <w:b w:val="0"/>
          <w:sz w:val="24"/>
        </w:rPr>
        <w:t>3. 同样按 ≤5 天纳入、&gt;5 天放弃（即**不因缺少病例报告时间而整体排除该点**；多数此类点为仅一条记录的新点，最初监测日期＝输入日期、间隔 0，正常保留）。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中以**浅红色**标出（`最初监测日期` 列显示实际采用的“最初监测时间”）。</w:t>
      </w:r>
    </w:p>
    <w:p>
      <w:r>
        <w:rPr>
          <w:rFonts w:ascii="Times New Roman" w:hAnsi="Times New Roman" w:eastAsia="仿宋_GB2312"/>
          <w:b w:val="0"/>
          <w:sz w:val="24"/>
        </w:rPr>
        <w:t>规则依据：出现新病例后连续 5 天监测、之后每 3–5 天一次、总共至少 22 天；正常记录的纳入判据为“监测日期 − 末例日期 ≤ 5 天”，乱码记录因两列天数不可用，改以该点最后病例报告时间为基准等价判定。</w:t>
      </w:r>
    </w:p>
    <w:p>
      <w:r>
        <w:rPr>
          <w:rFonts w:ascii="Times New Roman" w:hAnsi="Times New Roman" w:eastAsia="仿宋_GB2312"/>
          <w:b w:val="0"/>
          <w:sz w:val="24"/>
        </w:rPr>
        <w:t>**与官方结果的已知差异（D73，9/24 实测）**：官方对“该行首末例病例报告时间均为空”的乱码行**一律保留**，本程序则按**点级**最后病例报告时间判定（&gt;5 天排除）。9/24 因此比官方少 1 个监测点：湛江麻章区湖光镇月岭村委会（核心区）（该点历史最后病例报告时间 2026-09-05、相距 19 天；官方保留，BI/ADI 均为 0.0）。经评审确认维持本口径，属已知且接受的差异；其余数值与风险清单逐条一致。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不重复区县名（**东莞/中山“市辖区”不计算在内**，D69）；镇街数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区县按显示口径（去“市/县/区”后缀；东莞/中山“市辖区”显示“-”；**例外：原始区县为“城区”时保留“城区”，不去“区”字**，D68）。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则用该点“最初监测时间”（D71：该点最后的病例报告时间；该点无病例报告时间时退回“最近一次中断后重新开始的监测日期”，D72）到输入日期的间隔天数。**BI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`最初监测日期`（D71：该点最后的病例报告时间；无病例报告时间时退回原方案，D72）、`距输入日期天数`；被放弃（间隔&gt;5）的行**浅红**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