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界面要求：**需包含所有监测日期并补充广州市街道数据的总库表**（即含该监测点的完整历史监测记录，用于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的记录按“最初监测日期”判定（见下）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乱码规则（“最初监测日期”判定）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的记录（两值均为异常大数，视为无病例/历史久远）。</w:t>
      </w:r>
    </w:p>
    <w:p>
      <w:r>
        <w:rPr>
          <w:rFonts w:ascii="Times New Roman" w:hAnsi="Times New Roman" w:eastAsia="仿宋_GB2312"/>
          <w:b w:val="0"/>
          <w:sz w:val="24"/>
        </w:rPr>
        <w:t>判定：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处理前**的源数据中，取该点（同一“地市-区/县/市-街道/乡/镇”+“社区/村居”）**对应监测方法**且**监测指标值不为空**的记录；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取这些记录的监测日期序列中，**最近一次中断（相邻日期差 &gt; 1 天）之后重新开始的日期**作为该点的“最初监测日期”（无中断则取最早监测日期）；</w:t>
      </w:r>
    </w:p>
    <w:p>
      <w:r>
        <w:rPr>
          <w:rFonts w:ascii="Times New Roman" w:hAnsi="Times New Roman" w:eastAsia="仿宋_GB2312"/>
          <w:b w:val="0"/>
          <w:sz w:val="24"/>
        </w:rPr>
        <w:t>3. 计算“最初监测日期”到**输入日期**的间隔天数：**≤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不重复区县名（东莞/中山“市辖区”合并为 1）；镇街数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区县/街道/社区村居 任一 ≥6 汉字；空一行后过短段：区县/街道/社区村居 字数≤1 含空（浅红 FFC7CE）；判定用原始字段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则按 (地市-区/县/市-街道/乡/镇, 社区/村居, **监测方法**) 从 P1 处理前该点对应监测方法且监测指标值不为空的记录确定“最初监测日期”（最近一次中断后重新开始）到输入日期的间隔天数。**BI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