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界面要求：**需包含所有监测日期并补充广州市街道数据的总库表**（即含该监测点的完整历史监测记录，用于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的记录按“最初监测日期”判定（见下）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乱码规则（“最初监测日期”判定）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的记录（两值均为异常大数，视为无病例/历史久远）。</w:t>
      </w:r>
    </w:p>
    <w:p>
      <w:r>
        <w:rPr>
          <w:rFonts w:ascii="Times New Roman" w:hAnsi="Times New Roman" w:eastAsia="仿宋_GB2312"/>
          <w:b w:val="0"/>
          <w:sz w:val="24"/>
        </w:rPr>
        <w:t>判定：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处理前**的源数据中，取该点（同一“地市-区/县/市-街道/乡/镇”+“社区/村居”）**对应监测方法**且**监测指标值不为空**的记录；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取这些记录的监测日期序列中，**最近一次中断（相邻日期差 &gt; 1 天）之后重新开始的日期**作为该点的“最初监测日期”（无中断则取最早监测日期）；</w:t>
      </w:r>
    </w:p>
    <w:p>
      <w:r>
        <w:rPr>
          <w:rFonts w:ascii="Times New Roman" w:hAnsi="Times New Roman" w:eastAsia="仿宋_GB2312"/>
          <w:b w:val="0"/>
          <w:sz w:val="24"/>
        </w:rPr>
        <w:t>3. 计算“最初监测日期”到**输入日期**的间隔天数：**≤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**回退（D64）**：上述主规则在街道名中含“区/县/市”字（如“……高新技术产业开发区”）时可能把整串误当区县、街道为空而失败；此时取去掉地市后剩余串中**最短**的“区/县/市”结尾前缀为区县，街道 = 剩余字段（例：`肇庆市四会市肇庆高新技术产业开发区` → 区县=四会市、街道=肇庆高新技术产业开发区）。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相同的连续子串（先删长者）；并删除残留的省级“广东省”（D67，如 `立德村（广东省）` → 应为 `立德村（坟埕巷（老厝））`）；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7. **删除“工作地：/居住地：”前缀（D66）**：两监测地址字段出现“工作地：/居住地：”前缀字样时，最终监测地点中删除此前缀（如 `大镇社区（工作地：智讯电子厂）（核心区）` → `大镇社区（智讯电子厂）（核心区）`）。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不重复区县名（东莞/中山“市辖区”合并为 1）；镇街数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`{地市+市}{区县}{街道}{监测地点}（{值}，第{N}天）`（N=监测天数，规则见 §12.1），区县为“市辖区”（东莞/中山）时删除区县段位；组内按值从高到低。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**nan 标红**：文本中出现 `nan` 字样（源数据社区/地址等字段缺失导致）时，对该“nan”文字单独设置红色背景（填充色 FF0000），其余文字正常。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Excel（6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地址字段过长过短-供审核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过长段：整合表中 社区/村居 ≥6 汉字 或最终 区县/街道 汉字数≥6；空一行后过短段：最终 区县或街道 字数≤1 含空（浅红 FFC7CE，区县“-”市辖区除外）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整合表中“地市/区县/社区村居”空白条目 + 经过最小地址区分处理（§11）的行，两部分之间空一行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地市、区县、街道、监测地点、ADI*、BI*、监测地点（地图）、监测地点（手填）、审核原因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区县按显示口径（去“市/县/区”后缀；东莞/中山“市辖区”显示“-”；**例外：原始区县为“城区”时保留“城区”，不去“区”字**，D68）。</w:t>
      </w:r>
    </w:p>
    <w:p>
      <w:r>
        <w:rPr>
          <w:rFonts w:ascii="Times New Roman" w:hAnsi="Times New Roman" w:eastAsia="仿宋_GB2312"/>
          <w:b w:val="0"/>
          <w:sz w:val="24"/>
        </w:rPr>
        <w:t>**监测天数**（D63）：监测天数 N 以**距末例天数**为准；若距末例天数&gt;40000 则以**距首例天数**；若距首例天数也&gt;40000 则按 (地市-区/县/市-街道/乡/镇, 社区/村居, **监测方法**) 从 P1 处理前该点对应监测方法且监测指标值不为空的记录确定“最初监测日期”（最近一次中断后重新开始）到输入日期的间隔天数。**BI 表（BI≥5）/ADI 表（ADI&gt;2）超限行**的“监测地点”追加“（第N天）”；**整合表**先按基础监测地点（不含天数）外连接，展示监测地点以“有监测天数的侧”为准——两侧都超限且天数不同取**天数较大**者，仅一侧超限用该侧，均不超限不带天数。</w:t>
      </w:r>
    </w:p>
    <w:p>
      <w:r>
        <w:rPr>
          <w:rFonts w:ascii="Times New Roman" w:hAnsi="Times New Roman" w:eastAsia="仿宋_GB2312"/>
          <w:b w:val="0"/>
          <w:sz w:val="24"/>
        </w:rPr>
        <w:t>**整合表同点合并（D65）**：BI 与 ADI 侧 (地市,区县,街道,社区/村居,防控区类型) 一致，且基础数据集“监测地址（地图定位版）”“监测地址（手填）”两列均一致，即使“监测地点”文本不同（如 BI“龙田社区（核心区）” vs ADI“龙田社区（阳光锦府）（核心区）”）也视为同一监测点合并到整合表同一行，该行监测地点取**字段较长**者。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背景同安全绿；**整合表中出现“nan”字样的行，其 区县/街道/监测地点 三列背景标红（FF0000），其余列保持原格式**；**地址-供审核**：空白条目审核原因“地址列存在空白”，最小地址区分行 区县/街道/监测地点 三列浅红 FFC7CE、审核原因“经过最小地址区分，需要审核”；BI表/ADI表字号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`最初监测日期`、`距输入日期天数`；被放弃（间隔&gt;5）的行**浅红**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