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92"/>
      </w:tblGrid>
      <w:tr>
        <w:tc>
          <w:tcPr>
            <w:tcW w:type="dxa" w:w="10092"/>
            <w:shd w:val="clear" w:fill="1F3864"/>
            <w:tcMar>
              <w:top w:w="170" w:type="dxa"/>
              <w:left w:w="200" w:type="dxa"/>
              <w:bottom w:w="170" w:type="dxa"/>
              <w:right w:w="20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F2C14E"/>
                <w:sz w:val="17"/>
                <w:spacing w:val="60"/>
              </w:rPr>
              <w:t>FACTSHEET 3  •  DATA ANALYSIS AND INTERPRETATION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38"/>
              </w:rPr>
              <w:t>The Denominator Rule</w:t>
            </w:r>
          </w:p>
          <w:p>
            <w:pPr>
              <w:spacing w:before="60" w:after="0"/>
            </w:pPr>
            <w:r>
              <w:rPr>
                <w:rFonts w:ascii="Calibri" w:hAnsi="Calibri"/>
                <w:i/>
                <w:color w:val="D6DFEA"/>
                <w:sz w:val="20"/>
              </w:rPr>
              <w:t>A percentage without its denominator is not a result. It is a rumour.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25"/>
        <w:gridCol w:w="9967"/>
      </w:tblGrid>
      <w:tr>
        <w:tc>
          <w:tcPr>
            <w:tcW w:type="dxa" w:w="125"/>
            <w:shd w:val="clear" w:fill="F2C14E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9967"/>
            <w:shd w:val="clear" w:fill="FFF6E0"/>
            <w:tcMar>
              <w:top w:w="120" w:type="dxa"/>
              <w:left w:w="170" w:type="dxa"/>
              <w:bottom w:w="120" w:type="dxa"/>
              <w:right w:w="17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B37A00"/>
                <w:sz w:val="24"/>
              </w:rPr>
              <w:t>The Rule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sz w:val="23"/>
              </w:rPr>
              <w:t>Never report a percentage without stating the denominator, and never choose the denominator after you have seen the answer.</w:t>
            </w:r>
          </w:p>
        </w:tc>
      </w:tr>
    </w:tbl>
    <w:p>
      <w:pPr>
        <w:spacing w:after="60"/>
      </w:pP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30"/>
        </w:rPr>
        <w:t>The same data. Three answers. All arithmetically correct.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 xml:space="preserve">In the practice dataset there are </w:t>
      </w:r>
      <w:r>
        <w:rPr>
          <w:rFonts w:ascii="Calibri" w:hAnsi="Calibri"/>
          <w:b/>
          <w:i w:val="0"/>
          <w:sz w:val="21"/>
        </w:rPr>
        <w:t>180 patients</w:t>
      </w:r>
      <w:r>
        <w:rPr>
          <w:rFonts w:ascii="Calibri" w:hAnsi="Calibri"/>
          <w:b w:val="0"/>
          <w:i w:val="0"/>
          <w:sz w:val="21"/>
        </w:rPr>
        <w:t xml:space="preserve"> registered for TB treatment. Of these, </w:t>
      </w:r>
      <w:r>
        <w:rPr>
          <w:rFonts w:ascii="Calibri" w:hAnsi="Calibri"/>
          <w:b/>
          <w:i w:val="0"/>
          <w:sz w:val="21"/>
        </w:rPr>
        <w:t>126 were cured or completed treatment</w:t>
      </w:r>
      <w:r>
        <w:rPr>
          <w:rFonts w:ascii="Calibri" w:hAnsi="Calibri"/>
          <w:b w:val="0"/>
          <w:i w:val="0"/>
          <w:sz w:val="21"/>
        </w:rPr>
        <w:t>. So what is the treatment success rate?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2523"/>
        <w:gridCol w:w="2523"/>
        <w:gridCol w:w="2523"/>
        <w:gridCol w:w="2523"/>
      </w:tblGrid>
      <w:tr>
        <w:trPr>
          <w:tblHeader w:val="true"/>
        </w:trPr>
        <w:tc>
          <w:tcPr>
            <w:tcW w:type="dxa" w:w="3330"/>
            <w:shd w:val="clear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Denominator you choose</w:t>
            </w:r>
          </w:p>
        </w:tc>
        <w:tc>
          <w:tcPr>
            <w:tcW w:type="dxa" w:w="807"/>
            <w:shd w:val="clear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n</w:t>
            </w:r>
          </w:p>
        </w:tc>
        <w:tc>
          <w:tcPr>
            <w:tcW w:type="dxa" w:w="1413"/>
            <w:shd w:val="clear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Success rate</w:t>
            </w:r>
          </w:p>
        </w:tc>
        <w:tc>
          <w:tcPr>
            <w:tcW w:type="dxa" w:w="4541"/>
            <w:shd w:val="clear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What you are actually saying</w:t>
            </w:r>
          </w:p>
        </w:tc>
      </w:tr>
      <w:tr>
        <w:tc>
          <w:tcPr>
            <w:tcW w:type="dxa" w:w="3330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sz w:val="19"/>
              </w:rPr>
              <w:t>A.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Everyone registered</w:t>
            </w:r>
          </w:p>
        </w:tc>
        <w:tc>
          <w:tcPr>
            <w:tcW w:type="dxa" w:w="807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180</w:t>
            </w:r>
          </w:p>
        </w:tc>
        <w:tc>
          <w:tcPr>
            <w:tcW w:type="dxa" w:w="141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sz w:val="19"/>
              </w:rPr>
              <w:t>70.0%</w:t>
            </w:r>
          </w:p>
        </w:tc>
        <w:tc>
          <w:tcPr>
            <w:tcW w:type="dxa" w:w="454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Includes 8 patients still on treatment, whose outcome is not yet known</w:t>
            </w:r>
          </w:p>
        </w:tc>
      </w:tr>
      <w:tr>
        <w:tc>
          <w:tcPr>
            <w:tcW w:type="dxa" w:w="3330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sz w:val="19"/>
              </w:rPr>
              <w:t>B.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Excluding those still on treatment</w:t>
            </w:r>
          </w:p>
        </w:tc>
        <w:tc>
          <w:tcPr>
            <w:tcW w:type="dxa" w:w="807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172</w:t>
            </w:r>
          </w:p>
        </w:tc>
        <w:tc>
          <w:tcPr>
            <w:tcW w:type="dxa" w:w="1413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sz w:val="19"/>
              </w:rPr>
              <w:t>73.3%</w:t>
            </w:r>
          </w:p>
        </w:tc>
        <w:tc>
          <w:tcPr>
            <w:tcW w:type="dxa" w:w="4541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Fairer — but still includes 12 patients transferred out and never followed up</w:t>
            </w:r>
          </w:p>
        </w:tc>
      </w:tr>
      <w:tr>
        <w:tc>
          <w:tcPr>
            <w:tcW w:type="dxa" w:w="3330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sz w:val="19"/>
              </w:rPr>
              <w:t>C.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Only patients with a known, evaluated outcome</w:t>
            </w:r>
          </w:p>
        </w:tc>
        <w:tc>
          <w:tcPr>
            <w:tcW w:type="dxa" w:w="807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160</w:t>
            </w:r>
          </w:p>
        </w:tc>
        <w:tc>
          <w:tcPr>
            <w:tcW w:type="dxa" w:w="141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sz w:val="19"/>
              </w:rPr>
              <w:t>78.8%</w:t>
            </w:r>
          </w:p>
        </w:tc>
        <w:tc>
          <w:tcPr>
            <w:tcW w:type="dxa" w:w="454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The WHO cohort definition — but hides the 12 you lost track of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25"/>
        <w:gridCol w:w="9967"/>
      </w:tblGrid>
      <w:tr>
        <w:tc>
          <w:tcPr>
            <w:tcW w:type="dxa" w:w="125"/>
            <w:shd w:val="clear" w:fill="B03A2E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9967"/>
            <w:shd w:val="clear" w:fill="FBEAE7"/>
            <w:tcMar>
              <w:top w:w="120" w:type="dxa"/>
              <w:left w:w="170" w:type="dxa"/>
              <w:bottom w:w="120" w:type="dxa"/>
              <w:right w:w="17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B03A2E"/>
                <w:sz w:val="21"/>
              </w:rPr>
              <w:t>Stop and look at that range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sz w:val="20"/>
              </w:rPr>
              <w:t>70.0% to 78.8%.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Nearly nine percentage points, from the same 180 patients, with no arithmetic error anywhere. If your national target is 75%, you have just 'passed' or 'failed' depending on a choice you made in a spreadsheet — and if you do not state which choice you made, no reader can tell.</w:t>
            </w:r>
          </w:p>
        </w:tc>
      </w:tr>
    </w:tbl>
    <w:p>
      <w:pPr>
        <w:spacing w:after="60"/>
      </w:pP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30"/>
        </w:rPr>
        <w:t>What to do instead</w:t>
      </w:r>
    </w:p>
    <w:p>
      <w:pPr>
        <w:spacing w:after="80"/>
        <w:ind w:left="397" w:hanging="397"/>
      </w:pPr>
      <w:r>
        <w:rPr>
          <w:rFonts w:ascii="Calibri" w:hAnsi="Calibri"/>
          <w:b/>
          <w:color w:val="0F7B7B"/>
          <w:sz w:val="21"/>
        </w:rPr>
        <w:t xml:space="preserve">1.  </w:t>
      </w:r>
      <w:r>
        <w:rPr>
          <w:rFonts w:ascii="Calibri" w:hAnsi="Calibri"/>
          <w:b/>
          <w:i w:val="0"/>
          <w:sz w:val="21"/>
        </w:rPr>
        <w:t>Decide your denominator in your protocol</w:t>
      </w:r>
      <w:r>
        <w:rPr>
          <w:rFonts w:ascii="Calibri" w:hAnsi="Calibri"/>
          <w:b w:val="0"/>
          <w:i w:val="0"/>
          <w:sz w:val="21"/>
        </w:rPr>
        <w:t>, before you see the results. Write it down. This is the whole reason we make you write an analysis plan.</w:t>
      </w:r>
    </w:p>
    <w:p>
      <w:pPr>
        <w:spacing w:after="80"/>
        <w:ind w:left="397" w:hanging="397"/>
      </w:pPr>
      <w:r>
        <w:rPr>
          <w:rFonts w:ascii="Calibri" w:hAnsi="Calibri"/>
          <w:b/>
          <w:color w:val="0F7B7B"/>
          <w:sz w:val="21"/>
        </w:rPr>
        <w:t xml:space="preserve">2.  </w:t>
      </w:r>
      <w:r>
        <w:rPr>
          <w:rFonts w:ascii="Calibri" w:hAnsi="Calibri"/>
          <w:b/>
          <w:i w:val="0"/>
          <w:sz w:val="21"/>
        </w:rPr>
        <w:t>Use the standard definition</w:t>
      </w:r>
      <w:r>
        <w:rPr>
          <w:rFonts w:ascii="Calibri" w:hAnsi="Calibri"/>
          <w:b w:val="0"/>
          <w:i w:val="0"/>
          <w:sz w:val="21"/>
        </w:rPr>
        <w:t xml:space="preserve"> for your disease programme where one exists. For TB outcomes, use the WHO cohort definition and say so.</w:t>
      </w:r>
    </w:p>
    <w:p>
      <w:pPr>
        <w:spacing w:after="80"/>
        <w:ind w:left="397" w:hanging="397"/>
      </w:pPr>
      <w:r>
        <w:rPr>
          <w:rFonts w:ascii="Calibri" w:hAnsi="Calibri"/>
          <w:b/>
          <w:color w:val="0F7B7B"/>
          <w:sz w:val="21"/>
        </w:rPr>
        <w:t xml:space="preserve">3.  </w:t>
      </w:r>
      <w:r>
        <w:rPr>
          <w:rFonts w:ascii="Calibri" w:hAnsi="Calibri"/>
          <w:b/>
          <w:i w:val="0"/>
          <w:sz w:val="21"/>
        </w:rPr>
        <w:t>Report n and N every single time.</w:t>
      </w:r>
      <w:r>
        <w:rPr>
          <w:rFonts w:ascii="Calibri" w:hAnsi="Calibri"/>
          <w:b w:val="0"/>
          <w:i w:val="0"/>
          <w:sz w:val="21"/>
        </w:rPr>
        <w:t xml:space="preserve"> Write '126/160 (78.8%)', never '78.8%' alone.</w:t>
      </w:r>
    </w:p>
    <w:p>
      <w:pPr>
        <w:spacing w:after="80"/>
        <w:ind w:left="397" w:hanging="397"/>
      </w:pPr>
      <w:r>
        <w:rPr>
          <w:rFonts w:ascii="Calibri" w:hAnsi="Calibri"/>
          <w:b/>
          <w:color w:val="0F7B7B"/>
          <w:sz w:val="21"/>
        </w:rPr>
        <w:t xml:space="preserve">4.  </w:t>
      </w:r>
      <w:r>
        <w:rPr>
          <w:rFonts w:ascii="Calibri" w:hAnsi="Calibri"/>
          <w:b/>
          <w:i w:val="0"/>
          <w:sz w:val="21"/>
        </w:rPr>
        <w:t>Account for everybody.</w:t>
      </w:r>
      <w:r>
        <w:rPr>
          <w:rFonts w:ascii="Calibri" w:hAnsi="Calibri"/>
          <w:b w:val="0"/>
          <w:i w:val="0"/>
          <w:sz w:val="21"/>
        </w:rPr>
        <w:t xml:space="preserve"> The patients you excluded do not disappear — they are a finding. '12 patients (6.7%) were transferred out and their outcome could not be traced' is often the most operationally useful sentence in the whole paper.</w:t>
      </w:r>
    </w:p>
    <w:p>
      <w:pPr>
        <w:spacing w:after="80"/>
        <w:ind w:left="397" w:hanging="397"/>
      </w:pPr>
      <w:r>
        <w:rPr>
          <w:rFonts w:ascii="Calibri" w:hAnsi="Calibri"/>
          <w:b/>
          <w:color w:val="0F7B7B"/>
          <w:sz w:val="21"/>
        </w:rPr>
        <w:t xml:space="preserve">5.  </w:t>
      </w:r>
      <w:r>
        <w:rPr>
          <w:rFonts w:ascii="Calibri" w:hAnsi="Calibri"/>
          <w:b/>
          <w:i w:val="0"/>
          <w:sz w:val="21"/>
        </w:rPr>
        <w:t>Show a flow diagram</w:t>
      </w:r>
      <w:r>
        <w:rPr>
          <w:rFonts w:ascii="Calibri" w:hAnsi="Calibri"/>
          <w:b w:val="0"/>
          <w:i w:val="0"/>
          <w:sz w:val="21"/>
        </w:rPr>
        <w:t xml:space="preserve"> if numbers were excluded at several stages, so the reader can follow every patient from N registered to n analysed.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30"/>
        </w:rPr>
        <w:t>The small-denominator trap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 xml:space="preserve">In the same dataset, treatment success among HIV-positive patients is </w:t>
      </w:r>
      <w:r>
        <w:rPr>
          <w:rFonts w:ascii="Calibri" w:hAnsi="Calibri"/>
          <w:b/>
          <w:i w:val="0"/>
          <w:sz w:val="21"/>
        </w:rPr>
        <w:t>13/13 = 100%</w:t>
      </w:r>
      <w:r>
        <w:rPr>
          <w:rFonts w:ascii="Calibri" w:hAnsi="Calibri"/>
          <w:b w:val="0"/>
          <w:i w:val="0"/>
          <w:sz w:val="21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25"/>
        <w:gridCol w:w="9967"/>
      </w:tblGrid>
      <w:tr>
        <w:tc>
          <w:tcPr>
            <w:tcW w:type="dxa" w:w="125"/>
            <w:shd w:val="clear" w:fill="B03A2E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9967"/>
            <w:shd w:val="clear" w:fill="FBEAE7"/>
            <w:tcMar>
              <w:top w:w="120" w:type="dxa"/>
              <w:left w:w="170" w:type="dxa"/>
              <w:bottom w:w="120" w:type="dxa"/>
              <w:right w:w="17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B03A2E"/>
                <w:sz w:val="21"/>
              </w:rPr>
              <w:t>A 100% success rate that means almost nothing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Do </w:t>
            </w:r>
            <w:r>
              <w:rPr>
                <w:rFonts w:ascii="Calibri" w:hAnsi="Calibri"/>
                <w:b/>
                <w:i w:val="0"/>
                <w:sz w:val="20"/>
              </w:rPr>
              <w:t>not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write 'HIV-positive patients had a 100% treatment success rate'. With a denominator of 13, one additional death would have moved that figure to 92.9%. Percentages calculated on fewer than about 20–30 people are extremely unstable. </w:t>
            </w:r>
            <w:r>
              <w:rPr>
                <w:rFonts w:ascii="Calibri" w:hAnsi="Calibri"/>
                <w:b/>
                <w:i w:val="0"/>
                <w:sz w:val="20"/>
              </w:rPr>
              <w:t>Below 20, report the raw counts and skip the percentage altogether.</w:t>
            </w:r>
          </w:p>
        </w:tc>
      </w:tr>
    </w:tbl>
    <w:p>
      <w:pPr>
        <w:spacing w:after="60"/>
      </w:pP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30"/>
        </w:rPr>
        <w:t>Denominator checklist — run this before every table you publish</w:t>
      </w:r>
    </w:p>
    <w:p>
      <w:pPr>
        <w:spacing w:after="60"/>
        <w:ind w:left="312" w:hanging="238"/>
      </w:pPr>
      <w:r>
        <w:rPr>
          <w:rFonts w:ascii="Calibri" w:hAnsi="Calibri"/>
          <w:b/>
          <w:color w:val="B03A2E"/>
          <w:sz w:val="21"/>
        </w:rPr>
        <w:t xml:space="preserve">▪  </w:t>
      </w:r>
      <w:r>
        <w:rPr>
          <w:rFonts w:ascii="Calibri" w:hAnsi="Calibri"/>
          <w:b w:val="0"/>
          <w:i w:val="0"/>
          <w:sz w:val="21"/>
        </w:rPr>
        <w:t>Does every percentage in my table have its n and N shown?</w:t>
      </w:r>
    </w:p>
    <w:p>
      <w:pPr>
        <w:spacing w:after="60"/>
        <w:ind w:left="312" w:hanging="238"/>
      </w:pPr>
      <w:r>
        <w:rPr>
          <w:rFonts w:ascii="Calibri" w:hAnsi="Calibri"/>
          <w:b/>
          <w:color w:val="B03A2E"/>
          <w:sz w:val="21"/>
        </w:rPr>
        <w:t xml:space="preserve">▪  </w:t>
      </w:r>
      <w:r>
        <w:rPr>
          <w:rFonts w:ascii="Calibri" w:hAnsi="Calibri"/>
          <w:b w:val="0"/>
          <w:i w:val="0"/>
          <w:sz w:val="21"/>
        </w:rPr>
        <w:t>Do my percentages add to 100% (or do I explain why they do not)?</w:t>
      </w:r>
    </w:p>
    <w:p>
      <w:pPr>
        <w:spacing w:after="60"/>
        <w:ind w:left="312" w:hanging="238"/>
      </w:pPr>
      <w:r>
        <w:rPr>
          <w:rFonts w:ascii="Calibri" w:hAnsi="Calibri"/>
          <w:b/>
          <w:color w:val="B03A2E"/>
          <w:sz w:val="21"/>
        </w:rPr>
        <w:t xml:space="preserve">▪  </w:t>
      </w:r>
      <w:r>
        <w:rPr>
          <w:rFonts w:ascii="Calibri" w:hAnsi="Calibri"/>
          <w:b w:val="0"/>
          <w:i w:val="0"/>
          <w:sz w:val="21"/>
        </w:rPr>
        <w:t>Is the denominator the same in every row, or does it change? If it changes, is that obvious to the reader?</w:t>
      </w:r>
    </w:p>
    <w:p>
      <w:pPr>
        <w:spacing w:after="60"/>
        <w:ind w:left="312" w:hanging="238"/>
      </w:pPr>
      <w:r>
        <w:rPr>
          <w:rFonts w:ascii="Calibri" w:hAnsi="Calibri"/>
          <w:b/>
          <w:color w:val="B03A2E"/>
          <w:sz w:val="21"/>
        </w:rPr>
        <w:t xml:space="preserve">▪  </w:t>
      </w:r>
      <w:r>
        <w:rPr>
          <w:rFonts w:ascii="Calibri" w:hAnsi="Calibri"/>
          <w:b w:val="0"/>
          <w:i w:val="0"/>
          <w:sz w:val="21"/>
        </w:rPr>
        <w:t>Have I stated how I handled missing values — excluded, or counted as a category?</w:t>
      </w:r>
    </w:p>
    <w:p>
      <w:pPr>
        <w:spacing w:after="60"/>
        <w:ind w:left="312" w:hanging="238"/>
      </w:pPr>
      <w:r>
        <w:rPr>
          <w:rFonts w:ascii="Calibri" w:hAnsi="Calibri"/>
          <w:b/>
          <w:color w:val="B03A2E"/>
          <w:sz w:val="21"/>
        </w:rPr>
        <w:t xml:space="preserve">▪  </w:t>
      </w:r>
      <w:r>
        <w:rPr>
          <w:rFonts w:ascii="Calibri" w:hAnsi="Calibri"/>
          <w:b w:val="0"/>
          <w:i w:val="0"/>
          <w:sz w:val="21"/>
        </w:rPr>
        <w:t>Is any denominator below 30? If so, have I reported counts instead of percentages?</w:t>
      </w:r>
    </w:p>
    <w:p>
      <w:pPr>
        <w:spacing w:after="60"/>
        <w:ind w:left="312" w:hanging="238"/>
      </w:pPr>
      <w:r>
        <w:rPr>
          <w:rFonts w:ascii="Calibri" w:hAnsi="Calibri"/>
          <w:b/>
          <w:color w:val="B03A2E"/>
          <w:sz w:val="21"/>
        </w:rPr>
        <w:t xml:space="preserve">▪  </w:t>
      </w:r>
      <w:r>
        <w:rPr>
          <w:rFonts w:ascii="Calibri" w:hAnsi="Calibri"/>
          <w:b w:val="0"/>
          <w:i w:val="0"/>
          <w:sz w:val="21"/>
        </w:rPr>
        <w:t>Would a reader who has never seen my dataset be able to reconstruct my table from my methods section?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25"/>
        <w:gridCol w:w="9967"/>
      </w:tblGrid>
      <w:tr>
        <w:tc>
          <w:tcPr>
            <w:tcW w:type="dxa" w:w="125"/>
            <w:shd w:val="clear" w:fill="1F3864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9967"/>
            <w:shd w:val="clear" w:fill="EDF2F7"/>
            <w:tcMar>
              <w:top w:w="110" w:type="dxa"/>
              <w:left w:w="170" w:type="dxa"/>
              <w:bottom w:w="110" w:type="dxa"/>
              <w:right w:w="17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3864"/>
                <w:sz w:val="19"/>
              </w:rPr>
              <w:t>Liafuan importante  •  Key words in Tetum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4983"/>
              <w:gridCol w:w="4983"/>
            </w:tblGrid>
            <w:tr>
              <w:tc>
                <w:tcPr>
                  <w:tcW w:type="dxa" w:w="3515"/>
                  <w:tcMar>
                    <w:top w:w="20" w:type="dxa"/>
                    <w:left w:w="0" w:type="dxa"/>
                    <w:bottom w:w="2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sz w:val="19"/>
                    </w:rPr>
                    <w:t>Denominator</w:t>
                  </w:r>
                </w:p>
              </w:tc>
              <w:tc>
                <w:tcPr>
                  <w:tcW w:type="dxa" w:w="5102"/>
                  <w:tcMar>
                    <w:top w:w="20" w:type="dxa"/>
                    <w:left w:w="0" w:type="dxa"/>
                    <w:bottom w:w="2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color w:val="0F7B7B"/>
                      <w:sz w:val="19"/>
                    </w:rPr>
                    <w:t>Denominadór</w:t>
                  </w:r>
                </w:p>
              </w:tc>
            </w:tr>
            <w:tr>
              <w:tc>
                <w:tcPr>
                  <w:tcW w:type="dxa" w:w="3515"/>
                  <w:tcMar>
                    <w:top w:w="20" w:type="dxa"/>
                    <w:left w:w="0" w:type="dxa"/>
                    <w:bottom w:w="2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sz w:val="19"/>
                    </w:rPr>
                    <w:t>Percentage</w:t>
                  </w:r>
                </w:p>
              </w:tc>
              <w:tc>
                <w:tcPr>
                  <w:tcW w:type="dxa" w:w="5102"/>
                  <w:tcMar>
                    <w:top w:w="20" w:type="dxa"/>
                    <w:left w:w="0" w:type="dxa"/>
                    <w:bottom w:w="2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color w:val="0F7B7B"/>
                      <w:sz w:val="19"/>
                    </w:rPr>
                    <w:t>Pursentu</w:t>
                  </w:r>
                </w:p>
              </w:tc>
            </w:tr>
            <w:tr>
              <w:tc>
                <w:tcPr>
                  <w:tcW w:type="dxa" w:w="3515"/>
                  <w:tcMar>
                    <w:top w:w="20" w:type="dxa"/>
                    <w:left w:w="0" w:type="dxa"/>
                    <w:bottom w:w="2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sz w:val="19"/>
                    </w:rPr>
                    <w:t>Total</w:t>
                  </w:r>
                </w:p>
              </w:tc>
              <w:tc>
                <w:tcPr>
                  <w:tcW w:type="dxa" w:w="5102"/>
                  <w:tcMar>
                    <w:top w:w="20" w:type="dxa"/>
                    <w:left w:w="0" w:type="dxa"/>
                    <w:bottom w:w="2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color w:val="0F7B7B"/>
                      <w:sz w:val="19"/>
                    </w:rPr>
                    <w:t>Totál</w:t>
                  </w:r>
                </w:p>
              </w:tc>
            </w:tr>
            <w:tr>
              <w:tc>
                <w:tcPr>
                  <w:tcW w:type="dxa" w:w="3515"/>
                  <w:tcMar>
                    <w:top w:w="20" w:type="dxa"/>
                    <w:left w:w="0" w:type="dxa"/>
                    <w:bottom w:w="2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sz w:val="19"/>
                    </w:rPr>
                    <w:t>Result</w:t>
                  </w:r>
                </w:p>
              </w:tc>
              <w:tc>
                <w:tcPr>
                  <w:tcW w:type="dxa" w:w="5102"/>
                  <w:tcMar>
                    <w:top w:w="20" w:type="dxa"/>
                    <w:left w:w="0" w:type="dxa"/>
                    <w:bottom w:w="2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color w:val="0F7B7B"/>
                      <w:sz w:val="19"/>
                    </w:rPr>
                    <w:t>Rezultadu</w:t>
                  </w:r>
                </w:p>
              </w:tc>
            </w:tr>
            <w:tr>
              <w:tc>
                <w:tcPr>
                  <w:tcW w:type="dxa" w:w="3515"/>
                  <w:tcMar>
                    <w:top w:w="20" w:type="dxa"/>
                    <w:left w:w="0" w:type="dxa"/>
                    <w:bottom w:w="2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sz w:val="19"/>
                    </w:rPr>
                    <w:t>Success</w:t>
                  </w:r>
                </w:p>
              </w:tc>
              <w:tc>
                <w:tcPr>
                  <w:tcW w:type="dxa" w:w="5102"/>
                  <w:tcMar>
                    <w:top w:w="20" w:type="dxa"/>
                    <w:left w:w="0" w:type="dxa"/>
                    <w:bottom w:w="2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color w:val="0F7B7B"/>
                      <w:sz w:val="19"/>
                    </w:rPr>
                    <w:t>Susesu</w:t>
                  </w:r>
                </w:p>
              </w:tc>
            </w:tr>
            <w:tr>
              <w:tc>
                <w:tcPr>
                  <w:tcW w:type="dxa" w:w="3515"/>
                  <w:tcMar>
                    <w:top w:w="20" w:type="dxa"/>
                    <w:left w:w="0" w:type="dxa"/>
                    <w:bottom w:w="2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sz w:val="19"/>
                    </w:rPr>
                    <w:t>Missing / not there</w:t>
                  </w:r>
                </w:p>
              </w:tc>
              <w:tc>
                <w:tcPr>
                  <w:tcW w:type="dxa" w:w="5102"/>
                  <w:tcMar>
                    <w:top w:w="20" w:type="dxa"/>
                    <w:left w:w="0" w:type="dxa"/>
                    <w:bottom w:w="2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color w:val="0F7B7B"/>
                      <w:sz w:val="19"/>
                    </w:rPr>
                    <w:t>La iha</w:t>
                  </w:r>
                </w:p>
              </w:tc>
            </w:tr>
            <w:tr>
              <w:tc>
                <w:tcPr>
                  <w:tcW w:type="dxa" w:w="3515"/>
                  <w:tcMar>
                    <w:top w:w="20" w:type="dxa"/>
                    <w:left w:w="0" w:type="dxa"/>
                    <w:bottom w:w="2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sz w:val="19"/>
                    </w:rPr>
                    <w:t>Patient</w:t>
                  </w:r>
                </w:p>
              </w:tc>
              <w:tc>
                <w:tcPr>
                  <w:tcW w:type="dxa" w:w="5102"/>
                  <w:tcMar>
                    <w:top w:w="20" w:type="dxa"/>
                    <w:left w:w="0" w:type="dxa"/>
                    <w:bottom w:w="2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color w:val="0F7B7B"/>
                      <w:sz w:val="19"/>
                    </w:rPr>
                    <w:t>Pasiente</w:t>
                  </w:r>
                </w:p>
              </w:tc>
            </w:tr>
          </w:tbl>
          <w:p/>
        </w:tc>
      </w:tr>
    </w:tbl>
    <w:p>
      <w:pPr>
        <w:spacing w:after="60"/>
      </w:pPr>
    </w:p>
    <w:sectPr w:rsidR="00FC693F" w:rsidRPr="0006063C" w:rsidSect="00034616">
      <w:footerReference w:type="default" r:id="rId9"/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Calibri" w:hAnsi="Calibri"/>
        <w:color w:val="595959"/>
        <w:sz w:val="15"/>
      </w:rPr>
      <w:t>SORT IT Module 3  •  Data analysis and interpretation of results  •  Timor-Leste  •  Practice data is simulated — not for reporting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69" w:lineRule="auto"/>
    </w:pPr>
    <w:rPr>
      <w:rFonts w:ascii="Calibri" w:hAnsi="Calibri" w:eastAsia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