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2"/>
            <w:shd w:val="clear" w:fill="1F3864"/>
            <w:tcMar>
              <w:top w:w="170" w:type="dxa"/>
              <w:left w:w="200" w:type="dxa"/>
              <w:bottom w:w="17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F2C14E"/>
                <w:sz w:val="17"/>
                <w:spacing w:val="60"/>
              </w:rPr>
              <w:t>RUNNING THEME  •  DAY 2 AND DAY 3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The Data Detective Passport</w:t>
            </w:r>
          </w:p>
          <w:p>
            <w:pPr>
              <w:spacing w:before="60" w:after="0"/>
            </w:pPr>
            <w:r>
              <w:rPr>
                <w:rFonts w:ascii="Calibri" w:hAnsi="Calibri"/>
                <w:i/>
                <w:color w:val="D6DFEA"/>
                <w:sz w:val="20"/>
              </w:rPr>
              <w:t>One card. Six stamps. Collect them all across the two days.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Print one per participant, ideally on card. Participants carry it through Day 2 and Day 3 and collect a stamp, signature or sticker from a facilitator each time they complete a case. It costs almost nothing, takes ten seconds per stamp, and it does three useful things: it gives quiet participants a reason to approach a mentor, it shows you at a glance who has fallen behind, and people genuinely want to complete it.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0F7B7B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4F2EF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7B7B"/>
                <w:sz w:val="21"/>
              </w:rPr>
              <w:t>TIP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Do not make it a competition between individuals — make completing it the standard. A small certificate or prize for everyone who fills the card works far better than a prize for the first to finish.</w:t>
            </w:r>
          </w:p>
        </w:tc>
      </w:tr>
    </w:tbl>
    <w:p>
      <w:pPr>
        <w:spacing w:after="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F3864"/>
          <w:left w:val="single" w:sz="8" w:color="1F3864"/>
          <w:bottom w:val="single" w:sz="8" w:color="1F3864"/>
          <w:right w:val="single" w:sz="8" w:color="1F3864"/>
          <w:insideH w:val="single" w:sz="8" w:color="1F3864"/>
          <w:insideV w:val="single" w:sz="8" w:color="1F3864"/>
        </w:tblBorders>
      </w:tblPr>
      <w:tblGrid>
        <w:gridCol w:w="8164"/>
        <w:gridCol w:w="1928"/>
      </w:tblGrid>
      <w:tr>
        <w:tc>
          <w:tcPr>
            <w:tcW w:type="dxa" w:w="8164"/>
            <w:tcMar>
              <w:top w:w="120" w:type="dxa"/>
              <w:left w:w="160" w:type="dxa"/>
              <w:bottom w:w="12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0F7B7B"/>
                <w:sz w:val="16"/>
              </w:rPr>
              <w:t>CASE 1</w:t>
            </w:r>
            <w:r>
              <w:rPr>
                <w:rFonts w:ascii="Calibri" w:hAnsi="Calibri"/>
                <w:i/>
                <w:color w:val="595959"/>
                <w:sz w:val="15"/>
              </w:rPr>
              <w:t xml:space="preserve">     Activity 1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6"/>
              </w:rPr>
              <w:t>The Suspect Variable</w:t>
            </w:r>
          </w:p>
          <w:p>
            <w:pPr>
              <w:spacing w:after="0"/>
            </w:pPr>
            <w:r>
              <w:rPr>
                <w:rFonts w:ascii="Calibri" w:hAnsi="Calibri"/>
                <w:sz w:val="19"/>
              </w:rPr>
              <w:t>I can classify any variable as nominal, ordinal, discrete or continuous — and say why.</w:t>
            </w:r>
          </w:p>
        </w:tc>
        <w:tc>
          <w:tcPr>
            <w:tcW w:type="dxa" w:w="1928"/>
            <w:tcMar>
              <w:top w:w="120" w:type="dxa"/>
              <w:left w:w="60" w:type="dxa"/>
              <w:bottom w:w="120" w:type="dxa"/>
              <w:right w:w="60" w:type="dxa"/>
            </w:tcMar>
            <w:vAlign w:val="center"/>
            <w:shd w:val="clear" w:fill="F7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595959"/>
                <w:sz w:val="15"/>
              </w:rPr>
              <w:t>SOLVED</w:t>
            </w:r>
          </w:p>
          <w:p>
            <w:pPr>
              <w:spacing w:after="0"/>
            </w:pPr>
            <w:r>
              <w:rPr>
                <w:sz w:val="22"/>
              </w:rPr>
            </w:r>
          </w:p>
          <w:p>
            <w:pPr>
              <w:spacing w:after="0"/>
            </w:pPr>
            <w:r>
              <w:rPr>
                <w:sz w:val="22"/>
              </w:rPr>
            </w:r>
          </w:p>
        </w:tc>
      </w:tr>
    </w:tbl>
    <w:p>
      <w:pPr>
        <w:spacing w:after="10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F3864"/>
          <w:left w:val="single" w:sz="8" w:color="1F3864"/>
          <w:bottom w:val="single" w:sz="8" w:color="1F3864"/>
          <w:right w:val="single" w:sz="8" w:color="1F3864"/>
          <w:insideH w:val="single" w:sz="8" w:color="1F3864"/>
          <w:insideV w:val="single" w:sz="8" w:color="1F3864"/>
        </w:tblBorders>
      </w:tblPr>
      <w:tblGrid>
        <w:gridCol w:w="8164"/>
        <w:gridCol w:w="1928"/>
      </w:tblGrid>
      <w:tr>
        <w:tc>
          <w:tcPr>
            <w:tcW w:type="dxa" w:w="8164"/>
            <w:tcMar>
              <w:top w:w="120" w:type="dxa"/>
              <w:left w:w="160" w:type="dxa"/>
              <w:bottom w:w="12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0F7B7B"/>
                <w:sz w:val="16"/>
              </w:rPr>
              <w:t>CASE 2</w:t>
            </w:r>
            <w:r>
              <w:rPr>
                <w:rFonts w:ascii="Calibri" w:hAnsi="Calibri"/>
                <w:i/>
                <w:color w:val="595959"/>
                <w:sz w:val="15"/>
              </w:rPr>
              <w:t xml:space="preserve">     Activity 2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6"/>
              </w:rPr>
              <w:t>The Missing Denominator</w:t>
            </w:r>
          </w:p>
          <w:p>
            <w:pPr>
              <w:spacing w:after="0"/>
            </w:pPr>
            <w:r>
              <w:rPr>
                <w:rFonts w:ascii="Calibri" w:hAnsi="Calibri"/>
                <w:sz w:val="19"/>
              </w:rPr>
              <w:t>I never report a percentage without its n and N, and I decide my denominator before I see the answer.</w:t>
            </w:r>
          </w:p>
        </w:tc>
        <w:tc>
          <w:tcPr>
            <w:tcW w:type="dxa" w:w="1928"/>
            <w:tcMar>
              <w:top w:w="120" w:type="dxa"/>
              <w:left w:w="60" w:type="dxa"/>
              <w:bottom w:w="120" w:type="dxa"/>
              <w:right w:w="60" w:type="dxa"/>
            </w:tcMar>
            <w:vAlign w:val="center"/>
            <w:shd w:val="clear" w:fill="F7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595959"/>
                <w:sz w:val="15"/>
              </w:rPr>
              <w:t>SOLVED</w:t>
            </w:r>
          </w:p>
          <w:p>
            <w:pPr>
              <w:spacing w:after="0"/>
            </w:pPr>
            <w:r>
              <w:rPr>
                <w:sz w:val="22"/>
              </w:rPr>
            </w:r>
          </w:p>
          <w:p>
            <w:pPr>
              <w:spacing w:after="0"/>
            </w:pPr>
            <w:r>
              <w:rPr>
                <w:sz w:val="22"/>
              </w:rPr>
            </w:r>
          </w:p>
        </w:tc>
      </w:tr>
    </w:tbl>
    <w:p>
      <w:pPr>
        <w:spacing w:after="10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F3864"/>
          <w:left w:val="single" w:sz="8" w:color="1F3864"/>
          <w:bottom w:val="single" w:sz="8" w:color="1F3864"/>
          <w:right w:val="single" w:sz="8" w:color="1F3864"/>
          <w:insideH w:val="single" w:sz="8" w:color="1F3864"/>
          <w:insideV w:val="single" w:sz="8" w:color="1F3864"/>
        </w:tblBorders>
      </w:tblPr>
      <w:tblGrid>
        <w:gridCol w:w="8164"/>
        <w:gridCol w:w="1928"/>
      </w:tblGrid>
      <w:tr>
        <w:tc>
          <w:tcPr>
            <w:tcW w:type="dxa" w:w="8164"/>
            <w:tcMar>
              <w:top w:w="120" w:type="dxa"/>
              <w:left w:w="160" w:type="dxa"/>
              <w:bottom w:w="12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0F7B7B"/>
                <w:sz w:val="16"/>
              </w:rPr>
              <w:t>CASE 3</w:t>
            </w:r>
            <w:r>
              <w:rPr>
                <w:rFonts w:ascii="Calibri" w:hAnsi="Calibri"/>
                <w:i/>
                <w:color w:val="595959"/>
                <w:sz w:val="15"/>
              </w:rPr>
              <w:t xml:space="preserve">     Activity 3 / Factsheet 2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6"/>
              </w:rPr>
              <w:t>The Lying Average</w:t>
            </w:r>
          </w:p>
          <w:p>
            <w:pPr>
              <w:spacing w:after="0"/>
            </w:pPr>
            <w:r>
              <w:rPr>
                <w:rFonts w:ascii="Calibri" w:hAnsi="Calibri"/>
                <w:sz w:val="19"/>
              </w:rPr>
              <w:t>I check whether my data are skewed, and I choose mean or median for a reason I can state out loud.</w:t>
            </w:r>
          </w:p>
        </w:tc>
        <w:tc>
          <w:tcPr>
            <w:tcW w:type="dxa" w:w="1928"/>
            <w:tcMar>
              <w:top w:w="120" w:type="dxa"/>
              <w:left w:w="60" w:type="dxa"/>
              <w:bottom w:w="120" w:type="dxa"/>
              <w:right w:w="60" w:type="dxa"/>
            </w:tcMar>
            <w:vAlign w:val="center"/>
            <w:shd w:val="clear" w:fill="F7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595959"/>
                <w:sz w:val="15"/>
              </w:rPr>
              <w:t>SOLVED</w:t>
            </w:r>
          </w:p>
          <w:p>
            <w:pPr>
              <w:spacing w:after="0"/>
            </w:pPr>
            <w:r>
              <w:rPr>
                <w:sz w:val="22"/>
              </w:rPr>
            </w:r>
          </w:p>
          <w:p>
            <w:pPr>
              <w:spacing w:after="0"/>
            </w:pPr>
            <w:r>
              <w:rPr>
                <w:sz w:val="22"/>
              </w:rPr>
            </w:r>
          </w:p>
        </w:tc>
      </w:tr>
    </w:tbl>
    <w:p>
      <w:pPr>
        <w:spacing w:after="10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F3864"/>
          <w:left w:val="single" w:sz="8" w:color="1F3864"/>
          <w:bottom w:val="single" w:sz="8" w:color="1F3864"/>
          <w:right w:val="single" w:sz="8" w:color="1F3864"/>
          <w:insideH w:val="single" w:sz="8" w:color="1F3864"/>
          <w:insideV w:val="single" w:sz="8" w:color="1F3864"/>
        </w:tblBorders>
      </w:tblPr>
      <w:tblGrid>
        <w:gridCol w:w="8164"/>
        <w:gridCol w:w="1928"/>
      </w:tblGrid>
      <w:tr>
        <w:tc>
          <w:tcPr>
            <w:tcW w:type="dxa" w:w="8164"/>
            <w:tcMar>
              <w:top w:w="120" w:type="dxa"/>
              <w:left w:w="160" w:type="dxa"/>
              <w:bottom w:w="12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0F7B7B"/>
                <w:sz w:val="16"/>
              </w:rPr>
              <w:t>CASE 4</w:t>
            </w:r>
            <w:r>
              <w:rPr>
                <w:rFonts w:ascii="Calibri" w:hAnsi="Calibri"/>
                <w:i/>
                <w:color w:val="595959"/>
                <w:sz w:val="15"/>
              </w:rPr>
              <w:t xml:space="preserve">     Activity 8, Part 1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6"/>
              </w:rPr>
              <w:t>The Dirty Dataset</w:t>
            </w:r>
          </w:p>
          <w:p>
            <w:pPr>
              <w:spacing w:after="0"/>
            </w:pPr>
            <w:r>
              <w:rPr>
                <w:rFonts w:ascii="Calibri" w:hAnsi="Calibri"/>
                <w:sz w:val="19"/>
              </w:rPr>
              <w:t>I ran all seven cleaning checks and found the planted errors.</w:t>
            </w:r>
          </w:p>
        </w:tc>
        <w:tc>
          <w:tcPr>
            <w:tcW w:type="dxa" w:w="1928"/>
            <w:tcMar>
              <w:top w:w="120" w:type="dxa"/>
              <w:left w:w="60" w:type="dxa"/>
              <w:bottom w:w="120" w:type="dxa"/>
              <w:right w:w="60" w:type="dxa"/>
            </w:tcMar>
            <w:vAlign w:val="center"/>
            <w:shd w:val="clear" w:fill="F7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595959"/>
                <w:sz w:val="15"/>
              </w:rPr>
              <w:t>SOLVED</w:t>
            </w:r>
          </w:p>
          <w:p>
            <w:pPr>
              <w:spacing w:after="0"/>
            </w:pPr>
            <w:r>
              <w:rPr>
                <w:sz w:val="22"/>
              </w:rPr>
            </w:r>
          </w:p>
          <w:p>
            <w:pPr>
              <w:spacing w:after="0"/>
            </w:pPr>
            <w:r>
              <w:rPr>
                <w:sz w:val="22"/>
              </w:rPr>
            </w:r>
          </w:p>
        </w:tc>
      </w:tr>
    </w:tbl>
    <w:p>
      <w:pPr>
        <w:spacing w:after="10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F3864"/>
          <w:left w:val="single" w:sz="8" w:color="1F3864"/>
          <w:bottom w:val="single" w:sz="8" w:color="1F3864"/>
          <w:right w:val="single" w:sz="8" w:color="1F3864"/>
          <w:insideH w:val="single" w:sz="8" w:color="1F3864"/>
          <w:insideV w:val="single" w:sz="8" w:color="1F3864"/>
        </w:tblBorders>
      </w:tblPr>
      <w:tblGrid>
        <w:gridCol w:w="8164"/>
        <w:gridCol w:w="1928"/>
      </w:tblGrid>
      <w:tr>
        <w:tc>
          <w:tcPr>
            <w:tcW w:type="dxa" w:w="8164"/>
            <w:tcMar>
              <w:top w:w="120" w:type="dxa"/>
              <w:left w:w="160" w:type="dxa"/>
              <w:bottom w:w="12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0F7B7B"/>
                <w:sz w:val="16"/>
              </w:rPr>
              <w:t>CASE 5</w:t>
            </w:r>
            <w:r>
              <w:rPr>
                <w:rFonts w:ascii="Calibri" w:hAnsi="Calibri"/>
                <w:i/>
                <w:color w:val="595959"/>
                <w:sz w:val="15"/>
              </w:rPr>
              <w:t xml:space="preserve">     Activity 4 / Activity 8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6"/>
              </w:rPr>
              <w:t>The Misleading Chart</w:t>
            </w:r>
          </w:p>
          <w:p>
            <w:pPr>
              <w:spacing w:after="0"/>
            </w:pPr>
            <w:r>
              <w:rPr>
                <w:rFonts w:ascii="Calibri" w:hAnsi="Calibri"/>
                <w:sz w:val="19"/>
              </w:rPr>
              <w:t>I can diagnose a misleading graph — and I have fixed one of my own.</w:t>
            </w:r>
          </w:p>
        </w:tc>
        <w:tc>
          <w:tcPr>
            <w:tcW w:type="dxa" w:w="1928"/>
            <w:tcMar>
              <w:top w:w="120" w:type="dxa"/>
              <w:left w:w="60" w:type="dxa"/>
              <w:bottom w:w="120" w:type="dxa"/>
              <w:right w:w="60" w:type="dxa"/>
            </w:tcMar>
            <w:vAlign w:val="center"/>
            <w:shd w:val="clear" w:fill="F7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595959"/>
                <w:sz w:val="15"/>
              </w:rPr>
              <w:t>SOLVED</w:t>
            </w:r>
          </w:p>
          <w:p>
            <w:pPr>
              <w:spacing w:after="0"/>
            </w:pPr>
            <w:r>
              <w:rPr>
                <w:sz w:val="22"/>
              </w:rPr>
            </w:r>
          </w:p>
          <w:p>
            <w:pPr>
              <w:spacing w:after="0"/>
            </w:pPr>
            <w:r>
              <w:rPr>
                <w:sz w:val="22"/>
              </w:rPr>
            </w:r>
          </w:p>
        </w:tc>
      </w:tr>
    </w:tbl>
    <w:p>
      <w:pPr>
        <w:spacing w:after="10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F3864"/>
          <w:left w:val="single" w:sz="8" w:color="1F3864"/>
          <w:bottom w:val="single" w:sz="8" w:color="1F3864"/>
          <w:right w:val="single" w:sz="8" w:color="1F3864"/>
          <w:insideH w:val="single" w:sz="8" w:color="1F3864"/>
          <w:insideV w:val="single" w:sz="8" w:color="1F3864"/>
        </w:tblBorders>
      </w:tblPr>
      <w:tblGrid>
        <w:gridCol w:w="8164"/>
        <w:gridCol w:w="1928"/>
      </w:tblGrid>
      <w:tr>
        <w:tc>
          <w:tcPr>
            <w:tcW w:type="dxa" w:w="8164"/>
            <w:tcMar>
              <w:top w:w="120" w:type="dxa"/>
              <w:left w:w="160" w:type="dxa"/>
              <w:bottom w:w="12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0F7B7B"/>
                <w:sz w:val="16"/>
              </w:rPr>
              <w:t>CASE 6</w:t>
            </w:r>
            <w:r>
              <w:rPr>
                <w:rFonts w:ascii="Calibri" w:hAnsi="Calibri"/>
                <w:i/>
                <w:color w:val="595959"/>
                <w:sz w:val="15"/>
              </w:rPr>
              <w:t xml:space="preserve">     Activity 6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6"/>
              </w:rPr>
              <w:t>The Silent Result</w:t>
            </w:r>
          </w:p>
          <w:p>
            <w:pPr>
              <w:spacing w:after="0"/>
            </w:pPr>
            <w:r>
              <w:rPr>
                <w:rFonts w:ascii="Calibri" w:hAnsi="Calibri"/>
                <w:sz w:val="19"/>
              </w:rPr>
              <w:t>I can turn a number into a sentence a District Health Officer would act on, without using the word 'significant'.</w:t>
            </w:r>
          </w:p>
        </w:tc>
        <w:tc>
          <w:tcPr>
            <w:tcW w:type="dxa" w:w="1928"/>
            <w:tcMar>
              <w:top w:w="120" w:type="dxa"/>
              <w:left w:w="60" w:type="dxa"/>
              <w:bottom w:w="120" w:type="dxa"/>
              <w:right w:w="60" w:type="dxa"/>
            </w:tcMar>
            <w:vAlign w:val="center"/>
            <w:shd w:val="clear" w:fill="F7FAF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595959"/>
                <w:sz w:val="15"/>
              </w:rPr>
              <w:t>SOLVED</w:t>
            </w:r>
          </w:p>
          <w:p>
            <w:pPr>
              <w:spacing w:after="0"/>
            </w:pPr>
            <w:r>
              <w:rPr>
                <w:sz w:val="22"/>
              </w:rPr>
            </w:r>
          </w:p>
          <w:p>
            <w:pPr>
              <w:spacing w:after="0"/>
            </w:pPr>
            <w:r>
              <w:rPr>
                <w:sz w:val="22"/>
              </w:rPr>
            </w:r>
          </w:p>
        </w:tc>
      </w:tr>
    </w:tbl>
    <w:p>
      <w:pPr>
        <w:spacing w:after="100"/>
      </w:pPr>
    </w:p>
    <w:p>
      <w:pPr>
        <w:spacing w:before="120" w:after="120"/>
        <w:pBdr>
          <w:bottom w:val="single" w:sz="6" w:space="1" w:color="D0D7DE"/>
        </w:pBdr>
      </w:pPr>
    </w:p>
    <w:p>
      <w:pPr>
        <w:spacing w:after="80" w:before="0"/>
      </w:pPr>
      <w:r>
        <w:rPr>
          <w:rFonts w:ascii="Calibri" w:hAnsi="Calibri"/>
          <w:b w:val="0"/>
          <w:i w:val="0"/>
          <w:sz w:val="22"/>
        </w:rPr>
        <w:t>Detective name: ________________________________     Municipality: ________________________________</w:t>
      </w:r>
    </w:p>
    <w:p>
      <w:pPr>
        <w:spacing w:after="120" w:before="0"/>
      </w:pPr>
      <w:r>
        <w:rPr>
          <w:rFonts w:ascii="Calibri" w:hAnsi="Calibri"/>
          <w:b/>
          <w:i w:val="0"/>
          <w:sz w:val="22"/>
        </w:rPr>
        <w:t>All six cases solved — facilitator signature: ________________________________</w:t>
      </w:r>
    </w:p>
    <w:sectPr w:rsidR="00FC693F" w:rsidRPr="0006063C" w:rsidSect="00034616">
      <w:footerReference w:type="default" r:id="rId9"/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color w:val="595959"/>
        <w:sz w:val="15"/>
      </w:rPr>
      <w:t>SORT IT Module 3  •  Data Detective Passport  •  print one per participant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