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092"/>
      </w:tblGrid>
      <w:tr>
        <w:tc>
          <w:tcPr>
            <w:tcW w:type="dxa" w:w="10092"/>
            <w:shd w:val="clear" w:fill="0F7B7B"/>
            <w:tcMar>
              <w:top w:w="170" w:type="dxa"/>
              <w:left w:w="200" w:type="dxa"/>
              <w:bottom w:w="170" w:type="dxa"/>
              <w:right w:w="200" w:type="dxa"/>
            </w:tcMar>
          </w:tcPr>
          <w:p>
            <w:pPr>
              <w:spacing w:after="40"/>
            </w:pPr>
            <w:r>
              <w:rPr>
                <w:rFonts w:ascii="Calibri" w:hAnsi="Calibri"/>
                <w:b/>
                <w:color w:val="FFE9A8"/>
                <w:sz w:val="17"/>
                <w:spacing w:val="60"/>
              </w:rPr>
              <w:t>FACTSHEET 7  •  INTERPRETATION OF RESULTS</w:t>
            </w:r>
          </w:p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38"/>
              </w:rPr>
              <w:t>Say what it means, not what it is</w:t>
            </w:r>
          </w:p>
          <w:p>
            <w:pPr>
              <w:spacing w:before="60" w:after="0"/>
            </w:pPr>
            <w:r>
              <w:rPr>
                <w:rFonts w:ascii="Calibri" w:hAnsi="Calibri"/>
                <w:i/>
                <w:color w:val="D6DFEA"/>
                <w:sz w:val="20"/>
              </w:rPr>
              <w:t>Describing a number is not interpreting it. Your reader can read the table themselves.</w:t>
            </w:r>
          </w:p>
        </w:tc>
      </w:tr>
    </w:tbl>
    <w:p>
      <w:pPr>
        <w:spacing w:after="80"/>
      </w:pP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30"/>
        </w:rPr>
        <w:t>The difference, in one example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0D7DE"/>
          <w:left w:val="single" w:sz="4" w:color="D0D7DE"/>
          <w:bottom w:val="single" w:sz="4" w:color="D0D7DE"/>
          <w:right w:val="single" w:sz="4" w:color="D0D7DE"/>
          <w:insideH w:val="single" w:sz="4" w:color="D0D7DE"/>
          <w:insideV w:val="single" w:sz="4" w:color="D0D7DE"/>
        </w:tblBorders>
      </w:tblPr>
      <w:tblGrid>
        <w:gridCol w:w="5046"/>
        <w:gridCol w:w="5046"/>
      </w:tblGrid>
      <w:tr>
        <w:trPr>
          <w:tblHeader w:val="true"/>
        </w:trPr>
        <w:tc>
          <w:tcPr>
            <w:tcW w:type="dxa" w:w="2220"/>
            <w:shd w:val="clear" w:fill="1F3864"/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20"/>
              </w:rPr>
            </w:r>
          </w:p>
        </w:tc>
        <w:tc>
          <w:tcPr>
            <w:tcW w:type="dxa" w:w="7872"/>
            <w:shd w:val="clear" w:fill="1F3864"/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20"/>
              </w:rPr>
              <w:t>What it sounds like</w:t>
            </w:r>
          </w:p>
        </w:tc>
      </w:tr>
      <w:tr>
        <w:tc>
          <w:tcPr>
            <w:tcW w:type="dxa" w:w="2220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sz w:val="20"/>
              </w:rPr>
              <w:t>Describing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(not enough)</w:t>
            </w:r>
          </w:p>
        </w:tc>
        <w:tc>
          <w:tcPr>
            <w:tcW w:type="dxa" w:w="7872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sz w:val="20"/>
              </w:rPr>
              <w:t>“Treatment success was 78.8%, and 8.9% of patients were lost to follow-up.”</w:t>
            </w:r>
          </w:p>
        </w:tc>
      </w:tr>
      <w:tr>
        <w:tc>
          <w:tcPr>
            <w:tcW w:type="dxa" w:w="2220"/>
            <w:tcMar>
              <w:top w:w="70" w:type="dxa"/>
              <w:left w:w="110" w:type="dxa"/>
              <w:bottom w:w="70" w:type="dxa"/>
              <w:right w:w="110" w:type="dxa"/>
            </w:tcMar>
            <w:shd w:val="clear" w:fill="F5F8FA"/>
          </w:tcPr>
          <w:p>
            <w:pPr>
              <w:spacing w:after="0"/>
            </w:pPr>
            <w:r>
              <w:rPr>
                <w:rFonts w:ascii="Calibri" w:hAnsi="Calibri"/>
                <w:b/>
                <w:i w:val="0"/>
                <w:sz w:val="20"/>
              </w:rPr>
              <w:t>Interpreting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(what we want)</w:t>
            </w:r>
          </w:p>
        </w:tc>
        <w:tc>
          <w:tcPr>
            <w:tcW w:type="dxa" w:w="7872"/>
            <w:tcMar>
              <w:top w:w="70" w:type="dxa"/>
              <w:left w:w="110" w:type="dxa"/>
              <w:bottom w:w="70" w:type="dxa"/>
              <w:right w:w="110" w:type="dxa"/>
            </w:tcMar>
            <w:shd w:val="clear" w:fill="F5F8FA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sz w:val="20"/>
              </w:rPr>
              <w:t>“Almost four in five patients with an evaluated outcome completed treatment successfully, close to the national target of 80%. However, nearly one in ten was lost to follow-up, and a further 12 patients were transferred out and never traced. Together these 28 patients — more than one in six of the cohort — represent the gap between the reported success rate and the true one, and are where any effort to improve outcomes should be directed.”</w:t>
            </w:r>
          </w:p>
        </w:tc>
      </w:tr>
    </w:tbl>
    <w:p>
      <w:pPr>
        <w:keepNext/>
        <w:spacing w:before="240" w:after="80"/>
      </w:pPr>
      <w:r>
        <w:rPr>
          <w:rFonts w:ascii="Calibri" w:hAnsi="Calibri"/>
          <w:b/>
          <w:color w:val="1F3864"/>
          <w:sz w:val="30"/>
        </w:rPr>
        <w:t>The four questions that turn a number into a finding</w:t>
      </w:r>
    </w:p>
    <w:p>
      <w:pPr>
        <w:spacing w:after="80"/>
        <w:ind w:left="397" w:hanging="397"/>
      </w:pPr>
      <w:r>
        <w:rPr>
          <w:rFonts w:ascii="Calibri" w:hAnsi="Calibri"/>
          <w:b/>
          <w:color w:val="0F7B7B"/>
          <w:sz w:val="21"/>
        </w:rPr>
        <w:t xml:space="preserve">1.  </w:t>
      </w:r>
      <w:r>
        <w:rPr>
          <w:rFonts w:ascii="Calibri" w:hAnsi="Calibri"/>
          <w:b/>
          <w:i w:val="0"/>
          <w:sz w:val="21"/>
        </w:rPr>
        <w:t>So what?</w:t>
      </w:r>
      <w:r>
        <w:rPr>
          <w:rFonts w:ascii="Calibri" w:hAnsi="Calibri"/>
          <w:b w:val="0"/>
          <w:i w:val="0"/>
          <w:sz w:val="21"/>
        </w:rPr>
        <w:t xml:space="preserve">  Why should a busy programme manager care about this number? If you cannot answer, it may not belong in your results at all.</w:t>
      </w:r>
    </w:p>
    <w:p>
      <w:pPr>
        <w:spacing w:after="80"/>
        <w:ind w:left="397" w:hanging="397"/>
      </w:pPr>
      <w:r>
        <w:rPr>
          <w:rFonts w:ascii="Calibri" w:hAnsi="Calibri"/>
          <w:b/>
          <w:color w:val="0F7B7B"/>
          <w:sz w:val="21"/>
        </w:rPr>
        <w:t xml:space="preserve">2.  </w:t>
      </w:r>
      <w:r>
        <w:rPr>
          <w:rFonts w:ascii="Calibri" w:hAnsi="Calibri"/>
          <w:b/>
          <w:i w:val="0"/>
          <w:sz w:val="21"/>
        </w:rPr>
        <w:t>Compared to what?</w:t>
      </w:r>
      <w:r>
        <w:rPr>
          <w:rFonts w:ascii="Calibri" w:hAnsi="Calibri"/>
          <w:b w:val="0"/>
          <w:i w:val="0"/>
          <w:sz w:val="21"/>
        </w:rPr>
        <w:t xml:space="preserve">  A number alone means nothing. Compare to the national target, to last year, to another district, to the published literature, or to another group in your own study.</w:t>
      </w:r>
    </w:p>
    <w:p>
      <w:pPr>
        <w:spacing w:after="80"/>
        <w:ind w:left="397" w:hanging="397"/>
      </w:pPr>
      <w:r>
        <w:rPr>
          <w:rFonts w:ascii="Calibri" w:hAnsi="Calibri"/>
          <w:b/>
          <w:color w:val="0F7B7B"/>
          <w:sz w:val="21"/>
        </w:rPr>
        <w:t xml:space="preserve">3.  </w:t>
      </w:r>
      <w:r>
        <w:rPr>
          <w:rFonts w:ascii="Calibri" w:hAnsi="Calibri"/>
          <w:b/>
          <w:i w:val="0"/>
          <w:sz w:val="21"/>
        </w:rPr>
        <w:t>Is it real, or could it be chance / bias / error?</w:t>
      </w:r>
      <w:r>
        <w:rPr>
          <w:rFonts w:ascii="Calibri" w:hAnsi="Calibri"/>
          <w:b w:val="0"/>
          <w:i w:val="0"/>
          <w:sz w:val="21"/>
        </w:rPr>
        <w:t xml:space="preserve">  Consider the size of your denominator, how you selected patients, and how much data were missing before you believe your own result.</w:t>
      </w:r>
    </w:p>
    <w:p>
      <w:pPr>
        <w:spacing w:after="80"/>
        <w:ind w:left="397" w:hanging="397"/>
      </w:pPr>
      <w:r>
        <w:rPr>
          <w:rFonts w:ascii="Calibri" w:hAnsi="Calibri"/>
          <w:b/>
          <w:color w:val="0F7B7B"/>
          <w:sz w:val="21"/>
        </w:rPr>
        <w:t xml:space="preserve">4.  </w:t>
      </w:r>
      <w:r>
        <w:rPr>
          <w:rFonts w:ascii="Calibri" w:hAnsi="Calibri"/>
          <w:b/>
          <w:i w:val="0"/>
          <w:sz w:val="21"/>
        </w:rPr>
        <w:t>What should change on Monday morning?</w:t>
      </w:r>
      <w:r>
        <w:rPr>
          <w:rFonts w:ascii="Calibri" w:hAnsi="Calibri"/>
          <w:b w:val="0"/>
          <w:i w:val="0"/>
          <w:sz w:val="21"/>
        </w:rPr>
        <w:t xml:space="preserve">  Operational research earns its name here. Name the action, and name who would take it.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30"/>
        </w:rPr>
        <w:t>Phrases to use, and phrases to retire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0D7DE"/>
          <w:left w:val="single" w:sz="4" w:color="D0D7DE"/>
          <w:bottom w:val="single" w:sz="4" w:color="D0D7DE"/>
          <w:right w:val="single" w:sz="4" w:color="D0D7DE"/>
          <w:insideH w:val="single" w:sz="4" w:color="D0D7DE"/>
          <w:insideV w:val="single" w:sz="4" w:color="D0D7DE"/>
        </w:tblBorders>
      </w:tblPr>
      <w:tblGrid>
        <w:gridCol w:w="5046"/>
        <w:gridCol w:w="5046"/>
      </w:tblGrid>
      <w:tr>
        <w:trPr>
          <w:tblHeader w:val="true"/>
        </w:trPr>
        <w:tc>
          <w:tcPr>
            <w:tcW w:type="dxa" w:w="3229"/>
            <w:shd w:val="clear" w:fill="1F3864"/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9"/>
              </w:rPr>
              <w:t>Instead of writing…</w:t>
            </w:r>
          </w:p>
        </w:tc>
        <w:tc>
          <w:tcPr>
            <w:tcW w:type="dxa" w:w="6863"/>
            <w:shd w:val="clear" w:fill="1F3864"/>
            <w:tcMar>
              <w:top w:w="80" w:type="dxa"/>
              <w:left w:w="110" w:type="dxa"/>
              <w:bottom w:w="8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/>
                <w:color w:val="FFFFFF"/>
                <w:sz w:val="19"/>
              </w:rPr>
              <w:t>Write…</w:t>
            </w:r>
          </w:p>
        </w:tc>
      </w:tr>
      <w:tr>
        <w:tc>
          <w:tcPr>
            <w:tcW w:type="dxa" w:w="3229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sz w:val="19"/>
              </w:rPr>
              <w:t>“The results were significant.”</w:t>
            </w:r>
          </w:p>
        </w:tc>
        <w:tc>
          <w:tcPr>
            <w:tcW w:type="dxa" w:w="6863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sz w:val="19"/>
              </w:rPr>
              <w:t>“Treatment success was 9 percentage points lower in women than men (73.5% vs 82.6%, p = 0.23) — a gap large enough to matter operationally, although our sample was too small to rule out chance.”</w:t>
            </w:r>
          </w:p>
        </w:tc>
      </w:tr>
      <w:tr>
        <w:tc>
          <w:tcPr>
            <w:tcW w:type="dxa" w:w="3229"/>
            <w:tcMar>
              <w:top w:w="70" w:type="dxa"/>
              <w:left w:w="110" w:type="dxa"/>
              <w:bottom w:w="70" w:type="dxa"/>
              <w:right w:w="110" w:type="dxa"/>
            </w:tcMar>
            <w:shd w:val="clear" w:fill="F5F8FA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sz w:val="19"/>
              </w:rPr>
              <w:t>“There was a correlation between distance and loss to follow-up.”</w:t>
            </w:r>
          </w:p>
        </w:tc>
        <w:tc>
          <w:tcPr>
            <w:tcW w:type="dxa" w:w="6863"/>
            <w:tcMar>
              <w:top w:w="70" w:type="dxa"/>
              <w:left w:w="110" w:type="dxa"/>
              <w:bottom w:w="70" w:type="dxa"/>
              <w:right w:w="110" w:type="dxa"/>
            </w:tcMar>
            <w:shd w:val="clear" w:fill="F5F8FA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sz w:val="19"/>
              </w:rPr>
              <w:t xml:space="preserve">“Patients lost to follow-up lived a mean of 16.5 km from their facility compared with 9.9 km among those completing treatment — but the </w:t>
            </w:r>
            <w:r>
              <w:rPr>
                <w:rFonts w:ascii="Calibri" w:hAnsi="Calibri"/>
                <w:b w:val="0"/>
                <w:i/>
                <w:sz w:val="19"/>
              </w:rPr>
              <w:t>medians</w:t>
            </w:r>
            <w:r>
              <w:rPr>
                <w:rFonts w:ascii="Calibri" w:hAnsi="Calibri"/>
                <w:b w:val="0"/>
                <w:i w:val="0"/>
                <w:sz w:val="19"/>
              </w:rPr>
              <w:t xml:space="preserve"> were almost identical (7.6 km vs 6.9 km). The gap reflects a few very remote patients, not a general pattern.”</w:t>
            </w:r>
          </w:p>
        </w:tc>
      </w:tr>
      <w:tr>
        <w:tc>
          <w:tcPr>
            <w:tcW w:type="dxa" w:w="3229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sz w:val="19"/>
              </w:rPr>
              <w:t>“More research is needed.”</w:t>
            </w:r>
          </w:p>
        </w:tc>
        <w:tc>
          <w:tcPr>
            <w:tcW w:type="dxa" w:w="6863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sz w:val="19"/>
              </w:rPr>
              <w:t>“Whether decentralised drug pick-up would reduce these losses should be tested before it is scaled up nationally.”</w:t>
            </w:r>
          </w:p>
        </w:tc>
      </w:tr>
      <w:tr>
        <w:tc>
          <w:tcPr>
            <w:tcW w:type="dxa" w:w="3229"/>
            <w:tcMar>
              <w:top w:w="70" w:type="dxa"/>
              <w:left w:w="110" w:type="dxa"/>
              <w:bottom w:w="70" w:type="dxa"/>
              <w:right w:w="110" w:type="dxa"/>
            </w:tcMar>
            <w:shd w:val="clear" w:fill="F5F8FA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sz w:val="19"/>
              </w:rPr>
              <w:t>“The data showed…”</w:t>
            </w:r>
          </w:p>
        </w:tc>
        <w:tc>
          <w:tcPr>
            <w:tcW w:type="dxa" w:w="6863"/>
            <w:tcMar>
              <w:top w:w="70" w:type="dxa"/>
              <w:left w:w="110" w:type="dxa"/>
              <w:bottom w:w="70" w:type="dxa"/>
              <w:right w:w="110" w:type="dxa"/>
            </w:tcMar>
            <w:shd w:val="clear" w:fill="F5F8FA"/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sz w:val="19"/>
              </w:rPr>
              <w:t>“We found…”  (Data do not show things. You found them.)</w:t>
            </w:r>
          </w:p>
        </w:tc>
      </w:tr>
      <w:tr>
        <w:tc>
          <w:tcPr>
            <w:tcW w:type="dxa" w:w="3229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sz w:val="19"/>
              </w:rPr>
              <w:t>“It is well known that…”</w:t>
            </w:r>
          </w:p>
        </w:tc>
        <w:tc>
          <w:tcPr>
            <w:tcW w:type="dxa" w:w="6863"/>
            <w:tcMar>
              <w:top w:w="70" w:type="dxa"/>
              <w:left w:w="110" w:type="dxa"/>
              <w:bottom w:w="70" w:type="dxa"/>
              <w:right w:w="11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sz w:val="19"/>
              </w:rPr>
              <w:t>“X et al. reported…  In our setting we found…”</w:t>
            </w:r>
          </w:p>
        </w:tc>
      </w:tr>
    </w:tbl>
    <w:p>
      <w:pPr>
        <w:keepNext/>
        <w:spacing w:before="240" w:after="80"/>
      </w:pPr>
      <w:r>
        <w:rPr>
          <w:rFonts w:ascii="Calibri" w:hAnsi="Calibri"/>
          <w:b/>
          <w:color w:val="1F3864"/>
          <w:sz w:val="30"/>
        </w:rPr>
        <w:t>Three interpretation traps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25"/>
        <w:gridCol w:w="9967"/>
      </w:tblGrid>
      <w:tr>
        <w:tc>
          <w:tcPr>
            <w:tcW w:type="dxa" w:w="125"/>
            <w:shd w:val="clear" w:fill="B03A2E"/>
            <w:tcMar>
              <w:top w:w="0" w:type="dxa"/>
              <w:left w:w="0" w:type="dxa"/>
              <w:bottom w:w="0" w:type="dxa"/>
              <w:right w:w="0" w:type="dxa"/>
            </w:tcMar>
          </w:tcPr>
          <w:p/>
        </w:tc>
        <w:tc>
          <w:tcPr>
            <w:tcW w:type="dxa" w:w="9967"/>
            <w:shd w:val="clear" w:fill="FBEAE7"/>
            <w:tcMar>
              <w:top w:w="120" w:type="dxa"/>
              <w:left w:w="170" w:type="dxa"/>
              <w:bottom w:w="120" w:type="dxa"/>
              <w:right w:w="170" w:type="dxa"/>
            </w:tcMar>
          </w:tcPr>
          <w:p>
            <w:pPr>
              <w:spacing w:after="40"/>
            </w:pPr>
            <w:r>
              <w:rPr>
                <w:rFonts w:ascii="Calibri" w:hAnsi="Calibri"/>
                <w:b/>
                <w:color w:val="B03A2E"/>
                <w:sz w:val="21"/>
              </w:rPr>
              <w:t>Trap 1 — Confusing statistical and operational importance</w:t>
            </w:r>
          </w:p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A difference can be statistically significant and operationally trivial (a 0.3 kg weight difference), or non-significant and operationally vital (a 9-point gap in treatment success in a small district). </w:t>
            </w:r>
            <w:r>
              <w:rPr>
                <w:rFonts w:ascii="Calibri" w:hAnsi="Calibri"/>
                <w:b/>
                <w:i w:val="0"/>
                <w:sz w:val="20"/>
              </w:rPr>
              <w:t>Always interpret the size of the difference, not only the p-value.</w:t>
            </w:r>
          </w:p>
        </w:tc>
      </w:tr>
    </w:tbl>
    <w:p>
      <w:pPr>
        <w:spacing w:after="60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25"/>
        <w:gridCol w:w="9967"/>
      </w:tblGrid>
      <w:tr>
        <w:tc>
          <w:tcPr>
            <w:tcW w:type="dxa" w:w="125"/>
            <w:shd w:val="clear" w:fill="B03A2E"/>
            <w:tcMar>
              <w:top w:w="0" w:type="dxa"/>
              <w:left w:w="0" w:type="dxa"/>
              <w:bottom w:w="0" w:type="dxa"/>
              <w:right w:w="0" w:type="dxa"/>
            </w:tcMar>
          </w:tcPr>
          <w:p/>
        </w:tc>
        <w:tc>
          <w:tcPr>
            <w:tcW w:type="dxa" w:w="9967"/>
            <w:shd w:val="clear" w:fill="FBEAE7"/>
            <w:tcMar>
              <w:top w:w="120" w:type="dxa"/>
              <w:left w:w="170" w:type="dxa"/>
              <w:bottom w:w="120" w:type="dxa"/>
              <w:right w:w="170" w:type="dxa"/>
            </w:tcMar>
          </w:tcPr>
          <w:p>
            <w:pPr>
              <w:spacing w:after="40"/>
            </w:pPr>
            <w:r>
              <w:rPr>
                <w:rFonts w:ascii="Calibri" w:hAnsi="Calibri"/>
                <w:b/>
                <w:color w:val="B03A2E"/>
                <w:sz w:val="21"/>
              </w:rPr>
              <w:t>Trap 2 — Claiming cause from association</w:t>
            </w:r>
          </w:p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Patients who live further away are lost more often. That does </w:t>
            </w:r>
            <w:r>
              <w:rPr>
                <w:rFonts w:ascii="Calibri" w:hAnsi="Calibri"/>
                <w:b w:val="0"/>
                <w:i/>
                <w:sz w:val="20"/>
              </w:rPr>
              <w:t>not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prove distance causes loss — remote patients may also be poorer, or have less contact with health workers. Use </w:t>
            </w:r>
            <w:r>
              <w:rPr>
                <w:rFonts w:ascii="Calibri" w:hAnsi="Calibri"/>
                <w:b/>
                <w:i w:val="0"/>
                <w:sz w:val="20"/>
              </w:rPr>
              <w:t>‘was associated with’</w:t>
            </w:r>
            <w:r>
              <w:rPr>
                <w:rFonts w:ascii="Calibri" w:hAnsi="Calibri"/>
                <w:b w:val="0"/>
                <w:i w:val="0"/>
                <w:sz w:val="20"/>
              </w:rPr>
              <w:t>, and keep ‘caused’ for experiments.</w:t>
            </w:r>
          </w:p>
        </w:tc>
      </w:tr>
    </w:tbl>
    <w:p>
      <w:pPr>
        <w:spacing w:after="60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25"/>
        <w:gridCol w:w="9967"/>
      </w:tblGrid>
      <w:tr>
        <w:tc>
          <w:tcPr>
            <w:tcW w:type="dxa" w:w="125"/>
            <w:shd w:val="clear" w:fill="B03A2E"/>
            <w:tcMar>
              <w:top w:w="0" w:type="dxa"/>
              <w:left w:w="0" w:type="dxa"/>
              <w:bottom w:w="0" w:type="dxa"/>
              <w:right w:w="0" w:type="dxa"/>
            </w:tcMar>
          </w:tcPr>
          <w:p/>
        </w:tc>
        <w:tc>
          <w:tcPr>
            <w:tcW w:type="dxa" w:w="9967"/>
            <w:shd w:val="clear" w:fill="FBEAE7"/>
            <w:tcMar>
              <w:top w:w="120" w:type="dxa"/>
              <w:left w:w="170" w:type="dxa"/>
              <w:bottom w:w="120" w:type="dxa"/>
              <w:right w:w="170" w:type="dxa"/>
            </w:tcMar>
          </w:tcPr>
          <w:p>
            <w:pPr>
              <w:spacing w:after="40"/>
            </w:pPr>
            <w:r>
              <w:rPr>
                <w:rFonts w:ascii="Calibri" w:hAnsi="Calibri"/>
                <w:b/>
                <w:color w:val="B03A2E"/>
                <w:sz w:val="21"/>
              </w:rPr>
              <w:t>Trap 3 — Interpreting what you did not measure</w:t>
            </w:r>
          </w:p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If 29% of your patients have unknown HIV status, you cannot make a confident statement about HIV and outcomes. </w:t>
            </w:r>
            <w:r>
              <w:rPr>
                <w:rFonts w:ascii="Calibri" w:hAnsi="Calibri"/>
                <w:b/>
                <w:i w:val="0"/>
                <w:sz w:val="20"/>
              </w:rPr>
              <w:t>The missing data are themselves your finding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— and often the more actionable one.</w:t>
            </w:r>
          </w:p>
        </w:tc>
      </w:tr>
    </w:tbl>
    <w:p>
      <w:pPr>
        <w:spacing w:after="60"/>
      </w:pP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30"/>
        </w:rPr>
        <w:t>The interpretation sentence — a template you can fill in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25"/>
        <w:gridCol w:w="9967"/>
      </w:tblGrid>
      <w:tr>
        <w:tc>
          <w:tcPr>
            <w:tcW w:type="dxa" w:w="125"/>
            <w:shd w:val="clear" w:fill="F2C14E"/>
            <w:tcMar>
              <w:top w:w="0" w:type="dxa"/>
              <w:left w:w="0" w:type="dxa"/>
              <w:bottom w:w="0" w:type="dxa"/>
              <w:right w:w="0" w:type="dxa"/>
            </w:tcMar>
          </w:tcPr>
          <w:p/>
        </w:tc>
        <w:tc>
          <w:tcPr>
            <w:tcW w:type="dxa" w:w="9967"/>
            <w:shd w:val="clear" w:fill="FFF6E0"/>
            <w:tcMar>
              <w:top w:w="120" w:type="dxa"/>
              <w:left w:w="170" w:type="dxa"/>
              <w:bottom w:w="120" w:type="dxa"/>
              <w:right w:w="170" w:type="dxa"/>
            </w:tcMar>
          </w:tcPr>
          <w:p>
            <w:pPr>
              <w:spacing w:after="40"/>
            </w:pPr>
            <w:r>
              <w:rPr>
                <w:rFonts w:ascii="Calibri" w:hAnsi="Calibri"/>
                <w:b/>
                <w:color w:val="B37A00"/>
                <w:sz w:val="21"/>
              </w:rPr>
              <w:t>Fill this in for each of your main results</w:t>
            </w:r>
          </w:p>
          <w:p>
            <w:pPr>
              <w:spacing w:after="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“Among </w:t>
            </w:r>
            <w:r>
              <w:rPr>
                <w:rFonts w:ascii="Calibri" w:hAnsi="Calibri"/>
                <w:b/>
                <w:i w:val="0"/>
                <w:sz w:val="20"/>
              </w:rPr>
              <w:t>[who, N]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in </w:t>
            </w:r>
            <w:r>
              <w:rPr>
                <w:rFonts w:ascii="Calibri" w:hAnsi="Calibri"/>
                <w:b/>
                <w:i w:val="0"/>
                <w:sz w:val="20"/>
              </w:rPr>
              <w:t>[where, when]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, we found </w:t>
            </w:r>
            <w:r>
              <w:rPr>
                <w:rFonts w:ascii="Calibri" w:hAnsi="Calibri"/>
                <w:b/>
                <w:i w:val="0"/>
                <w:sz w:val="20"/>
              </w:rPr>
              <w:t>[the finding, with numbers]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. This is </w:t>
            </w:r>
            <w:r>
              <w:rPr>
                <w:rFonts w:ascii="Calibri" w:hAnsi="Calibri"/>
                <w:b/>
                <w:i w:val="0"/>
                <w:sz w:val="20"/>
              </w:rPr>
              <w:t>[higher / lower / similar]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than </w:t>
            </w:r>
            <w:r>
              <w:rPr>
                <w:rFonts w:ascii="Calibri" w:hAnsi="Calibri"/>
                <w:b/>
                <w:i w:val="0"/>
                <w:sz w:val="20"/>
              </w:rPr>
              <w:t>[the comparison]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. A likely explanation is </w:t>
            </w:r>
            <w:r>
              <w:rPr>
                <w:rFonts w:ascii="Calibri" w:hAnsi="Calibri"/>
                <w:b/>
                <w:i w:val="0"/>
                <w:sz w:val="20"/>
              </w:rPr>
              <w:t>[reason]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, although </w:t>
            </w:r>
            <w:r>
              <w:rPr>
                <w:rFonts w:ascii="Calibri" w:hAnsi="Calibri"/>
                <w:b/>
                <w:i w:val="0"/>
                <w:sz w:val="20"/>
              </w:rPr>
              <w:t>[limitation]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. This suggests that </w:t>
            </w:r>
            <w:r>
              <w:rPr>
                <w:rFonts w:ascii="Calibri" w:hAnsi="Calibri"/>
                <w:b/>
                <w:i w:val="0"/>
                <w:sz w:val="20"/>
              </w:rPr>
              <w:t>[who]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should </w:t>
            </w:r>
            <w:r>
              <w:rPr>
                <w:rFonts w:ascii="Calibri" w:hAnsi="Calibri"/>
                <w:b/>
                <w:i w:val="0"/>
                <w:sz w:val="20"/>
              </w:rPr>
              <w:t>[do what]</w:t>
            </w:r>
            <w:r>
              <w:rPr>
                <w:rFonts w:ascii="Calibri" w:hAnsi="Calibri"/>
                <w:b w:val="0"/>
                <w:i w:val="0"/>
                <w:sz w:val="20"/>
              </w:rPr>
              <w:t>.”</w:t>
            </w:r>
          </w:p>
        </w:tc>
      </w:tr>
    </w:tbl>
    <w:p>
      <w:pPr>
        <w:spacing w:after="60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25"/>
        <w:gridCol w:w="9967"/>
      </w:tblGrid>
      <w:tr>
        <w:tc>
          <w:tcPr>
            <w:tcW w:type="dxa" w:w="125"/>
            <w:shd w:val="clear" w:fill="1F3864"/>
            <w:tcMar>
              <w:top w:w="0" w:type="dxa"/>
              <w:left w:w="0" w:type="dxa"/>
              <w:bottom w:w="0" w:type="dxa"/>
              <w:right w:w="0" w:type="dxa"/>
            </w:tcMar>
          </w:tcPr>
          <w:p/>
        </w:tc>
        <w:tc>
          <w:tcPr>
            <w:tcW w:type="dxa" w:w="9967"/>
            <w:shd w:val="clear" w:fill="EDF2F7"/>
            <w:tcMar>
              <w:top w:w="110" w:type="dxa"/>
              <w:left w:w="170" w:type="dxa"/>
              <w:bottom w:w="110" w:type="dxa"/>
              <w:right w:w="170" w:type="dxa"/>
            </w:tcMar>
          </w:tcPr>
          <w:p>
            <w:pPr>
              <w:spacing w:after="60"/>
            </w:pPr>
            <w:r>
              <w:rPr>
                <w:rFonts w:ascii="Calibri" w:hAnsi="Calibri"/>
                <w:b/>
                <w:color w:val="1F3864"/>
                <w:sz w:val="19"/>
              </w:rPr>
              <w:t>Liafuan importante  •  Key words in Tetum</w:t>
            </w:r>
          </w:p>
          <w:tbl>
            <w:tblPr>
              <w:tblW w:type="auto" w:w="0"/>
              <w:tblLook w:firstColumn="1" w:firstRow="1" w:lastColumn="0" w:lastRow="0" w:noHBand="0" w:noVBand="1" w:val="04A0"/>
              <w:tblBorders>
                <w:top w:val="none" w:sz="0"/>
                <w:left w:val="none" w:sz="0"/>
                <w:bottom w:val="none" w:sz="0"/>
                <w:right w:val="none" w:sz="0"/>
                <w:insideH w:val="none" w:sz="0"/>
                <w:insideV w:val="none" w:sz="0"/>
              </w:tblBorders>
            </w:tblPr>
            <w:tblGrid>
              <w:gridCol w:w="4983"/>
              <w:gridCol w:w="4983"/>
            </w:tblGrid>
            <w:tr>
              <w:tc>
                <w:tcPr>
                  <w:tcW w:type="dxa" w:w="3515"/>
                  <w:tcMar>
                    <w:top w:w="20" w:type="dxa"/>
                    <w:left w:w="0" w:type="dxa"/>
                    <w:bottom w:w="20" w:type="dxa"/>
                    <w:right w:w="6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Calibri" w:hAnsi="Calibri"/>
                      <w:sz w:val="19"/>
                    </w:rPr>
                    <w:t>Result</w:t>
                  </w:r>
                </w:p>
              </w:tc>
              <w:tc>
                <w:tcPr>
                  <w:tcW w:type="dxa" w:w="5102"/>
                  <w:tcMar>
                    <w:top w:w="20" w:type="dxa"/>
                    <w:left w:w="0" w:type="dxa"/>
                    <w:bottom w:w="20" w:type="dxa"/>
                    <w:right w:w="6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Calibri" w:hAnsi="Calibri"/>
                      <w:b/>
                      <w:color w:val="0F7B7B"/>
                      <w:sz w:val="19"/>
                    </w:rPr>
                    <w:t>Rezultadu</w:t>
                  </w:r>
                </w:p>
              </w:tc>
            </w:tr>
            <w:tr>
              <w:tc>
                <w:tcPr>
                  <w:tcW w:type="dxa" w:w="3515"/>
                  <w:tcMar>
                    <w:top w:w="20" w:type="dxa"/>
                    <w:left w:w="0" w:type="dxa"/>
                    <w:bottom w:w="20" w:type="dxa"/>
                    <w:right w:w="6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Calibri" w:hAnsi="Calibri"/>
                      <w:sz w:val="19"/>
                    </w:rPr>
                    <w:t>Meaning</w:t>
                  </w:r>
                </w:p>
              </w:tc>
              <w:tc>
                <w:tcPr>
                  <w:tcW w:type="dxa" w:w="5102"/>
                  <w:tcMar>
                    <w:top w:w="20" w:type="dxa"/>
                    <w:left w:w="0" w:type="dxa"/>
                    <w:bottom w:w="20" w:type="dxa"/>
                    <w:right w:w="6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Calibri" w:hAnsi="Calibri"/>
                      <w:b/>
                      <w:color w:val="0F7B7B"/>
                      <w:sz w:val="19"/>
                    </w:rPr>
                    <w:t>Signifikadu</w:t>
                  </w:r>
                </w:p>
              </w:tc>
            </w:tr>
            <w:tr>
              <w:tc>
                <w:tcPr>
                  <w:tcW w:type="dxa" w:w="3515"/>
                  <w:tcMar>
                    <w:top w:w="20" w:type="dxa"/>
                    <w:left w:w="0" w:type="dxa"/>
                    <w:bottom w:w="20" w:type="dxa"/>
                    <w:right w:w="6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Calibri" w:hAnsi="Calibri"/>
                      <w:sz w:val="19"/>
                    </w:rPr>
                    <w:t>Explain</w:t>
                  </w:r>
                </w:p>
              </w:tc>
              <w:tc>
                <w:tcPr>
                  <w:tcW w:type="dxa" w:w="5102"/>
                  <w:tcMar>
                    <w:top w:w="20" w:type="dxa"/>
                    <w:left w:w="0" w:type="dxa"/>
                    <w:bottom w:w="20" w:type="dxa"/>
                    <w:right w:w="6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Calibri" w:hAnsi="Calibri"/>
                      <w:b/>
                      <w:color w:val="0F7B7B"/>
                      <w:sz w:val="19"/>
                    </w:rPr>
                    <w:t>Esplika</w:t>
                  </w:r>
                </w:p>
              </w:tc>
            </w:tr>
            <w:tr>
              <w:tc>
                <w:tcPr>
                  <w:tcW w:type="dxa" w:w="3515"/>
                  <w:tcMar>
                    <w:top w:w="20" w:type="dxa"/>
                    <w:left w:w="0" w:type="dxa"/>
                    <w:bottom w:w="20" w:type="dxa"/>
                    <w:right w:w="6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Calibri" w:hAnsi="Calibri"/>
                      <w:sz w:val="19"/>
                    </w:rPr>
                    <w:t>Compare with</w:t>
                  </w:r>
                </w:p>
              </w:tc>
              <w:tc>
                <w:tcPr>
                  <w:tcW w:type="dxa" w:w="5102"/>
                  <w:tcMar>
                    <w:top w:w="20" w:type="dxa"/>
                    <w:left w:w="0" w:type="dxa"/>
                    <w:bottom w:w="20" w:type="dxa"/>
                    <w:right w:w="6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Calibri" w:hAnsi="Calibri"/>
                      <w:b/>
                      <w:color w:val="0F7B7B"/>
                      <w:sz w:val="19"/>
                    </w:rPr>
                    <w:t>Kompara ho</w:t>
                  </w:r>
                </w:p>
              </w:tc>
            </w:tr>
            <w:tr>
              <w:tc>
                <w:tcPr>
                  <w:tcW w:type="dxa" w:w="3515"/>
                  <w:tcMar>
                    <w:top w:w="20" w:type="dxa"/>
                    <w:left w:w="0" w:type="dxa"/>
                    <w:bottom w:w="20" w:type="dxa"/>
                    <w:right w:w="6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Calibri" w:hAnsi="Calibri"/>
                      <w:sz w:val="19"/>
                    </w:rPr>
                    <w:t>Because of</w:t>
                  </w:r>
                </w:p>
              </w:tc>
              <w:tc>
                <w:tcPr>
                  <w:tcW w:type="dxa" w:w="5102"/>
                  <w:tcMar>
                    <w:top w:w="20" w:type="dxa"/>
                    <w:left w:w="0" w:type="dxa"/>
                    <w:bottom w:w="20" w:type="dxa"/>
                    <w:right w:w="6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Calibri" w:hAnsi="Calibri"/>
                      <w:b/>
                      <w:color w:val="0F7B7B"/>
                      <w:sz w:val="19"/>
                    </w:rPr>
                    <w:t>Tanba</w:t>
                  </w:r>
                </w:p>
              </w:tc>
            </w:tr>
            <w:tr>
              <w:tc>
                <w:tcPr>
                  <w:tcW w:type="dxa" w:w="3515"/>
                  <w:tcMar>
                    <w:top w:w="20" w:type="dxa"/>
                    <w:left w:w="0" w:type="dxa"/>
                    <w:bottom w:w="20" w:type="dxa"/>
                    <w:right w:w="6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Calibri" w:hAnsi="Calibri"/>
                      <w:sz w:val="19"/>
                    </w:rPr>
                    <w:t>Recommendation</w:t>
                  </w:r>
                </w:p>
              </w:tc>
              <w:tc>
                <w:tcPr>
                  <w:tcW w:type="dxa" w:w="5102"/>
                  <w:tcMar>
                    <w:top w:w="20" w:type="dxa"/>
                    <w:left w:w="0" w:type="dxa"/>
                    <w:bottom w:w="20" w:type="dxa"/>
                    <w:right w:w="6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Calibri" w:hAnsi="Calibri"/>
                      <w:b/>
                      <w:color w:val="0F7B7B"/>
                      <w:sz w:val="19"/>
                    </w:rPr>
                    <w:t>Rekomendasaun</w:t>
                  </w:r>
                </w:p>
              </w:tc>
            </w:tr>
            <w:tr>
              <w:tc>
                <w:tcPr>
                  <w:tcW w:type="dxa" w:w="3515"/>
                  <w:tcMar>
                    <w:top w:w="20" w:type="dxa"/>
                    <w:left w:w="0" w:type="dxa"/>
                    <w:bottom w:w="20" w:type="dxa"/>
                    <w:right w:w="6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Calibri" w:hAnsi="Calibri"/>
                      <w:sz w:val="19"/>
                    </w:rPr>
                    <w:t>Conclusion</w:t>
                  </w:r>
                </w:p>
              </w:tc>
              <w:tc>
                <w:tcPr>
                  <w:tcW w:type="dxa" w:w="5102"/>
                  <w:tcMar>
                    <w:top w:w="20" w:type="dxa"/>
                    <w:left w:w="0" w:type="dxa"/>
                    <w:bottom w:w="20" w:type="dxa"/>
                    <w:right w:w="6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Calibri" w:hAnsi="Calibri"/>
                      <w:b/>
                      <w:color w:val="0F7B7B"/>
                      <w:sz w:val="19"/>
                    </w:rPr>
                    <w:t>Konkluzaun</w:t>
                  </w:r>
                </w:p>
              </w:tc>
            </w:tr>
          </w:tbl>
          <w:p/>
        </w:tc>
      </w:tr>
    </w:tbl>
    <w:p>
      <w:pPr>
        <w:spacing w:after="60"/>
      </w:pPr>
    </w:p>
    <w:sectPr w:rsidR="00FC693F" w:rsidRPr="0006063C" w:rsidSect="00034616">
      <w:footerReference w:type="default" r:id="rId9"/>
      <w:pgSz w:w="11906" w:h="16838"/>
      <w:pgMar w:top="737" w:right="907" w:bottom="73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center"/>
    </w:pPr>
    <w:r>
      <w:rPr>
        <w:rFonts w:ascii="Calibri" w:hAnsi="Calibri"/>
        <w:color w:val="595959"/>
        <w:sz w:val="15"/>
      </w:rPr>
      <w:t>SORT IT Module 3  •  Data analysis and interpretation of results  •  Timor-Leste  •  Practice data is simulated — not for reporting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before="0" w:line="269" w:lineRule="auto"/>
    </w:pPr>
    <w:rPr>
      <w:rFonts w:ascii="Calibri" w:hAnsi="Calibri" w:eastAsia="Calibr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