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92"/>
      </w:tblGrid>
      <w:tr>
        <w:tc>
          <w:tcPr>
            <w:tcW w:type="dxa" w:w="10092"/>
            <w:shd w:val="clear" w:fill="0F7B7B"/>
            <w:tcMar>
              <w:top w:w="170" w:type="dxa"/>
              <w:left w:w="200" w:type="dxa"/>
              <w:bottom w:w="17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FFE9A8"/>
                <w:sz w:val="17"/>
                <w:spacing w:val="60"/>
              </w:rPr>
              <w:t>FACTSHEET 7  •  INTERPRETATION OF RESULTS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38"/>
              </w:rPr>
              <w:t>Say what it means, not what it is</w:t>
            </w:r>
          </w:p>
          <w:p>
            <w:pPr>
              <w:spacing w:before="60" w:after="0"/>
            </w:pPr>
            <w:r>
              <w:rPr>
                <w:rFonts w:ascii="Calibri" w:hAnsi="Calibri"/>
                <w:i/>
                <w:color w:val="D6DFEA"/>
                <w:sz w:val="20"/>
              </w:rPr>
              <w:t>Describing a number is not interpreting it. Your reader can read the table themselves.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The difference, in one 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5046"/>
        <w:gridCol w:w="5046"/>
      </w:tblGrid>
      <w:tr>
        <w:trPr>
          <w:tblHeader w:val="true"/>
        </w:trPr>
        <w:tc>
          <w:tcPr>
            <w:tcW w:type="dxa" w:w="2220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7872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What it sounds like</w:t>
            </w:r>
          </w:p>
        </w:tc>
      </w:tr>
      <w:tr>
        <w:tc>
          <w:tcPr>
            <w:tcW w:type="dxa" w:w="22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20"/>
              </w:rPr>
              <w:t>Describing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(not enough)</w:t>
            </w:r>
          </w:p>
        </w:tc>
        <w:tc>
          <w:tcPr>
            <w:tcW w:type="dxa" w:w="7872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“Treatment success was 78.8%, and 8.9% of patients were lost to follow-up.”</w:t>
            </w:r>
          </w:p>
        </w:tc>
      </w:tr>
      <w:tr>
        <w:tc>
          <w:tcPr>
            <w:tcW w:type="dxa" w:w="2220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20"/>
              </w:rPr>
              <w:t>Interpreting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(what we want)</w:t>
            </w:r>
          </w:p>
        </w:tc>
        <w:tc>
          <w:tcPr>
            <w:tcW w:type="dxa" w:w="7872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“Almost four in five patients with an evaluated outcome completed treatment successfully, close to the national target of 80%. However, nearly one in ten was lost to follow-up, and a further 12 patients were transferred out and never traced. Together these 28 patients — more than one in six of the cohort — represent the gap between the reported success rate and the true one, and are where any effort to improve outcomes should be directed.”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The four questions that turn a number into a finding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1.  </w:t>
      </w:r>
      <w:r>
        <w:rPr>
          <w:rFonts w:ascii="Calibri" w:hAnsi="Calibri"/>
          <w:b/>
          <w:i w:val="0"/>
          <w:sz w:val="21"/>
        </w:rPr>
        <w:t>So what?</w:t>
      </w:r>
      <w:r>
        <w:rPr>
          <w:rFonts w:ascii="Calibri" w:hAnsi="Calibri"/>
          <w:b w:val="0"/>
          <w:i w:val="0"/>
          <w:sz w:val="21"/>
        </w:rPr>
        <w:t xml:space="preserve">  Why should a busy programme manager care about this number? If you cannot answer, it may not belong in your results at all.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2.  </w:t>
      </w:r>
      <w:r>
        <w:rPr>
          <w:rFonts w:ascii="Calibri" w:hAnsi="Calibri"/>
          <w:b/>
          <w:i w:val="0"/>
          <w:sz w:val="21"/>
        </w:rPr>
        <w:t>Compared to what?</w:t>
      </w:r>
      <w:r>
        <w:rPr>
          <w:rFonts w:ascii="Calibri" w:hAnsi="Calibri"/>
          <w:b w:val="0"/>
          <w:i w:val="0"/>
          <w:sz w:val="21"/>
        </w:rPr>
        <w:t xml:space="preserve">  A number alone means nothing. Compare to the national target, to last year, to another district, to the published literature, or to another group in your own study.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3.  </w:t>
      </w:r>
      <w:r>
        <w:rPr>
          <w:rFonts w:ascii="Calibri" w:hAnsi="Calibri"/>
          <w:b/>
          <w:i w:val="0"/>
          <w:sz w:val="21"/>
        </w:rPr>
        <w:t>Is it real, or could it be chance / bias / error?</w:t>
      </w:r>
      <w:r>
        <w:rPr>
          <w:rFonts w:ascii="Calibri" w:hAnsi="Calibri"/>
          <w:b w:val="0"/>
          <w:i w:val="0"/>
          <w:sz w:val="21"/>
        </w:rPr>
        <w:t xml:space="preserve">  Consider the size of your denominator, how you selected patients, and how much data were missing before you believe your own result.</w:t>
      </w:r>
    </w:p>
    <w:p>
      <w:pPr>
        <w:spacing w:after="80"/>
        <w:ind w:left="397" w:hanging="397"/>
      </w:pPr>
      <w:r>
        <w:rPr>
          <w:rFonts w:ascii="Calibri" w:hAnsi="Calibri"/>
          <w:b/>
          <w:color w:val="0F7B7B"/>
          <w:sz w:val="21"/>
        </w:rPr>
        <w:t xml:space="preserve">4.  </w:t>
      </w:r>
      <w:r>
        <w:rPr>
          <w:rFonts w:ascii="Calibri" w:hAnsi="Calibri"/>
          <w:b/>
          <w:i w:val="0"/>
          <w:sz w:val="21"/>
        </w:rPr>
        <w:t>What should change on Monday morning?</w:t>
      </w:r>
      <w:r>
        <w:rPr>
          <w:rFonts w:ascii="Calibri" w:hAnsi="Calibri"/>
          <w:b w:val="0"/>
          <w:i w:val="0"/>
          <w:sz w:val="21"/>
        </w:rPr>
        <w:t xml:space="preserve">  Operational research earns its name here. Name the action, and name who would take it.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Phrases to use, and phrases to retire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5046"/>
        <w:gridCol w:w="5046"/>
      </w:tblGrid>
      <w:tr>
        <w:trPr>
          <w:tblHeader w:val="true"/>
        </w:trPr>
        <w:tc>
          <w:tcPr>
            <w:tcW w:type="dxa" w:w="3229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Instead of writing…</w:t>
            </w:r>
          </w:p>
        </w:tc>
        <w:tc>
          <w:tcPr>
            <w:tcW w:type="dxa" w:w="6863"/>
            <w:shd w:val="clear" w:fill="1F3864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Write…</w:t>
            </w:r>
          </w:p>
        </w:tc>
      </w:tr>
      <w:tr>
        <w:tc>
          <w:tcPr>
            <w:tcW w:type="dxa" w:w="322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“The results were significant.”</w:t>
            </w:r>
          </w:p>
        </w:tc>
        <w:tc>
          <w:tcPr>
            <w:tcW w:type="dxa" w:w="686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“Treatment success was 9 percentage points lower in women than men (73.5% vs 82.6%, p = 0.23) — a gap large enough to matter operationally, although our sample was too small to rule out chance.”</w:t>
            </w:r>
          </w:p>
        </w:tc>
      </w:tr>
      <w:tr>
        <w:tc>
          <w:tcPr>
            <w:tcW w:type="dxa" w:w="3229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“There was a correlation between distance and loss to follow-up.”</w:t>
            </w:r>
          </w:p>
        </w:tc>
        <w:tc>
          <w:tcPr>
            <w:tcW w:type="dxa" w:w="6863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 xml:space="preserve">“Patients lost to follow-up lived a mean of 16.5 km from their facility compared with 9.9 km among those completing treatment — but the </w:t>
            </w:r>
            <w:r>
              <w:rPr>
                <w:rFonts w:ascii="Calibri" w:hAnsi="Calibri"/>
                <w:b w:val="0"/>
                <w:i/>
                <w:sz w:val="19"/>
              </w:rPr>
              <w:t>medians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were almost identical (7.6 km vs 6.9 km). The gap reflects a few very remote patients, not a general pattern.”</w:t>
            </w:r>
          </w:p>
        </w:tc>
      </w:tr>
      <w:tr>
        <w:tc>
          <w:tcPr>
            <w:tcW w:type="dxa" w:w="322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“More research is needed.”</w:t>
            </w:r>
          </w:p>
        </w:tc>
        <w:tc>
          <w:tcPr>
            <w:tcW w:type="dxa" w:w="686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“Whether decentralised drug pick-up would reduce these losses should be tested before it is scaled up nationally.”</w:t>
            </w:r>
          </w:p>
        </w:tc>
      </w:tr>
      <w:tr>
        <w:tc>
          <w:tcPr>
            <w:tcW w:type="dxa" w:w="3229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“The data showed…”</w:t>
            </w:r>
          </w:p>
        </w:tc>
        <w:tc>
          <w:tcPr>
            <w:tcW w:type="dxa" w:w="6863"/>
            <w:tcMar>
              <w:top w:w="70" w:type="dxa"/>
              <w:left w:w="110" w:type="dxa"/>
              <w:bottom w:w="70" w:type="dxa"/>
              <w:right w:w="110" w:type="dxa"/>
            </w:tcMar>
            <w:shd w:val="clear" w:fill="F5F8FA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“We found…”  (Data do not show things. You found them.)</w:t>
            </w:r>
          </w:p>
        </w:tc>
      </w:tr>
      <w:tr>
        <w:tc>
          <w:tcPr>
            <w:tcW w:type="dxa" w:w="322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“It is well known that…”</w:t>
            </w:r>
          </w:p>
        </w:tc>
        <w:tc>
          <w:tcPr>
            <w:tcW w:type="dxa" w:w="686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19"/>
              </w:rPr>
              <w:t>“X et al. reported…  In our setting we found…”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Three interpretation traps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B03A2E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FBEAE7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B03A2E"/>
                <w:sz w:val="21"/>
              </w:rPr>
              <w:t>Trap 1 — Confusing statistical and operational importance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 difference can be statistically significant and operationally trivial (a 0.3 kg weight difference), or non-significant and operationally vital (a 9-point gap in treatment success in a small district). </w:t>
            </w:r>
            <w:r>
              <w:rPr>
                <w:rFonts w:ascii="Calibri" w:hAnsi="Calibri"/>
                <w:b/>
                <w:i w:val="0"/>
                <w:sz w:val="20"/>
              </w:rPr>
              <w:t>Always interpret the size of the difference, not only the p-value.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B03A2E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FBEAE7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B03A2E"/>
                <w:sz w:val="21"/>
              </w:rPr>
              <w:t>Trap 2 — Claiming cause from association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Patients who live further away are lost more often. That does </w:t>
            </w:r>
            <w:r>
              <w:rPr>
                <w:rFonts w:ascii="Calibri" w:hAnsi="Calibri"/>
                <w:b w:val="0"/>
                <w:i/>
                <w:sz w:val="20"/>
              </w:rPr>
              <w:t>not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prove distance causes loss — remote patients may also be poorer, or have less contact with health workers. Use </w:t>
            </w:r>
            <w:r>
              <w:rPr>
                <w:rFonts w:ascii="Calibri" w:hAnsi="Calibri"/>
                <w:b/>
                <w:i w:val="0"/>
                <w:sz w:val="20"/>
              </w:rPr>
              <w:t>‘was associated with’</w:t>
            </w:r>
            <w:r>
              <w:rPr>
                <w:rFonts w:ascii="Calibri" w:hAnsi="Calibri"/>
                <w:b w:val="0"/>
                <w:i w:val="0"/>
                <w:sz w:val="20"/>
              </w:rPr>
              <w:t>, and keep ‘caused’ for experiments.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B03A2E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FBEAE7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B03A2E"/>
                <w:sz w:val="21"/>
              </w:rPr>
              <w:t>Trap 3 — Interpreting what you did not measure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If 29% of your patients have unknown HIV status, you cannot make a confident statement about HIV and outcomes. </w:t>
            </w:r>
            <w:r>
              <w:rPr>
                <w:rFonts w:ascii="Calibri" w:hAnsi="Calibri"/>
                <w:b/>
                <w:i w:val="0"/>
                <w:sz w:val="20"/>
              </w:rPr>
              <w:t>The missing data are themselves your finding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and often the more actionable one.</w:t>
            </w:r>
          </w:p>
        </w:tc>
      </w:tr>
    </w:tbl>
    <w:p>
      <w:pPr>
        <w:spacing w:after="6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The interpretation sentence — a template you can fill in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F2C14E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FFF6E0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B37A00"/>
                <w:sz w:val="21"/>
              </w:rPr>
              <w:t>Fill this in for each of your main results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“Among </w:t>
            </w:r>
            <w:r>
              <w:rPr>
                <w:rFonts w:ascii="Calibri" w:hAnsi="Calibri"/>
                <w:b/>
                <w:i w:val="0"/>
                <w:sz w:val="20"/>
              </w:rPr>
              <w:t>[who, N]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in </w:t>
            </w:r>
            <w:r>
              <w:rPr>
                <w:rFonts w:ascii="Calibri" w:hAnsi="Calibri"/>
                <w:b/>
                <w:i w:val="0"/>
                <w:sz w:val="20"/>
              </w:rPr>
              <w:t>[where, when]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we found </w:t>
            </w:r>
            <w:r>
              <w:rPr>
                <w:rFonts w:ascii="Calibri" w:hAnsi="Calibri"/>
                <w:b/>
                <w:i w:val="0"/>
                <w:sz w:val="20"/>
              </w:rPr>
              <w:t>[the finding, with numbers]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. This is </w:t>
            </w:r>
            <w:r>
              <w:rPr>
                <w:rFonts w:ascii="Calibri" w:hAnsi="Calibri"/>
                <w:b/>
                <w:i w:val="0"/>
                <w:sz w:val="20"/>
              </w:rPr>
              <w:t>[higher / lower / similar]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than </w:t>
            </w:r>
            <w:r>
              <w:rPr>
                <w:rFonts w:ascii="Calibri" w:hAnsi="Calibri"/>
                <w:b/>
                <w:i w:val="0"/>
                <w:sz w:val="20"/>
              </w:rPr>
              <w:t>[the comparison]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. A likely explanation is </w:t>
            </w:r>
            <w:r>
              <w:rPr>
                <w:rFonts w:ascii="Calibri" w:hAnsi="Calibri"/>
                <w:b/>
                <w:i w:val="0"/>
                <w:sz w:val="20"/>
              </w:rPr>
              <w:t>[reason]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although </w:t>
            </w:r>
            <w:r>
              <w:rPr>
                <w:rFonts w:ascii="Calibri" w:hAnsi="Calibri"/>
                <w:b/>
                <w:i w:val="0"/>
                <w:sz w:val="20"/>
              </w:rPr>
              <w:t>[limitation]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. This suggests that </w:t>
            </w:r>
            <w:r>
              <w:rPr>
                <w:rFonts w:ascii="Calibri" w:hAnsi="Calibri"/>
                <w:b/>
                <w:i w:val="0"/>
                <w:sz w:val="20"/>
              </w:rPr>
              <w:t>[who]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should </w:t>
            </w:r>
            <w:r>
              <w:rPr>
                <w:rFonts w:ascii="Calibri" w:hAnsi="Calibri"/>
                <w:b/>
                <w:i w:val="0"/>
                <w:sz w:val="20"/>
              </w:rPr>
              <w:t>[do what]</w:t>
            </w:r>
            <w:r>
              <w:rPr>
                <w:rFonts w:ascii="Calibri" w:hAnsi="Calibri"/>
                <w:b w:val="0"/>
                <w:i w:val="0"/>
                <w:sz w:val="20"/>
              </w:rPr>
              <w:t>.”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1F3864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EDF2F7"/>
            <w:tcMar>
              <w:top w:w="110" w:type="dxa"/>
              <w:left w:w="170" w:type="dxa"/>
              <w:bottom w:w="110" w:type="dxa"/>
              <w:right w:w="17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3864"/>
                <w:sz w:val="19"/>
              </w:rPr>
              <w:t>Liafuan importante  •  Key words in Tetum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4983"/>
              <w:gridCol w:w="4983"/>
            </w:tblGrid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Result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Rezultadu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Meaning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Signifikadu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Explain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Esplika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Compare with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Kompara ho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Because of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Tanba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Recommendation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Rekomendasaun</w:t>
                  </w:r>
                </w:p>
              </w:tc>
            </w:tr>
            <w:tr>
              <w:tc>
                <w:tcPr>
                  <w:tcW w:type="dxa" w:w="3515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sz w:val="19"/>
                    </w:rPr>
                    <w:t>Conclusion</w:t>
                  </w:r>
                </w:p>
              </w:tc>
              <w:tc>
                <w:tcPr>
                  <w:tcW w:type="dxa" w:w="5102"/>
                  <w:tcMar>
                    <w:top w:w="20" w:type="dxa"/>
                    <w:left w:w="0" w:type="dxa"/>
                    <w:bottom w:w="20" w:type="dxa"/>
                    <w:right w:w="6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color w:val="0F7B7B"/>
                      <w:sz w:val="19"/>
                    </w:rPr>
                    <w:t>Konkluzaun</w:t>
                  </w:r>
                </w:p>
              </w:tc>
            </w:tr>
          </w:tbl>
          <w:p/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95959"/>
        <w:sz w:val="15"/>
      </w:rPr>
      <w:t>SORT IT Module 3  •  Data analysis and interpretation of results  •  Timor-Leste  •  Practice data is simulated — not for reporting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