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1F3864"/>
            <w:tcMar>
              <w:top w:w="170" w:type="dxa"/>
              <w:left w:w="200" w:type="dxa"/>
              <w:bottom w:w="170" w:type="dxa"/>
              <w:right w:w="20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F2C14E"/>
                <w:sz w:val="17"/>
                <w:spacing w:val="60"/>
              </w:rPr>
              <w:t>FACTSHEET 9  •  TOOLS (OPTIONAL)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38"/>
              </w:rPr>
              <w:t>R starter sheet for descriptive analysis</w:t>
            </w:r>
          </w:p>
          <w:p>
            <w:pPr>
              <w:spacing w:before="60" w:after="0"/>
            </w:pPr>
            <w:r>
              <w:rPr>
                <w:rFonts w:ascii="Calibri" w:hAnsi="Calibri"/>
                <w:i/>
                <w:color w:val="D6DFEA"/>
                <w:sz w:val="20"/>
              </w:rPr>
              <w:t>If you are ready to move beyond Excel — every command you need for Day 2 and Day 3.</w:t>
            </w:r>
          </w:p>
        </w:tc>
      </w:tr>
    </w:tbl>
    <w:p>
      <w:pPr>
        <w:spacing w:after="80"/>
      </w:pPr>
    </w:p>
    <w:p>
      <w:pPr>
        <w:spacing w:after="120" w:before="0"/>
      </w:pPr>
      <w:r>
        <w:rPr>
          <w:rFonts w:ascii="Calibri" w:hAnsi="Calibri"/>
          <w:b w:val="0"/>
          <w:i w:val="0"/>
          <w:sz w:val="20"/>
        </w:rPr>
        <w:t xml:space="preserve">You do not need R to complete this course. But R gives you something Excel cannot: a </w:t>
      </w:r>
      <w:r>
        <w:rPr>
          <w:rFonts w:ascii="Calibri" w:hAnsi="Calibri"/>
          <w:b/>
          <w:i w:val="0"/>
          <w:sz w:val="20"/>
        </w:rPr>
        <w:t>script</w:t>
      </w:r>
      <w:r>
        <w:rPr>
          <w:rFonts w:ascii="Calibri" w:hAnsi="Calibri"/>
          <w:b w:val="0"/>
          <w:i w:val="0"/>
          <w:sz w:val="20"/>
        </w:rPr>
        <w:t>, which is a permanent, re-runnable record of every decision you made. When a reviewer asks what you did, you send them the file.</w:t>
      </w: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Getting started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Install once, then load every session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install.packages(c("tidyverse", "janitor"))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library(tidyverse)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library(janitor)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Read your data (put the CSV in your working folder)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tb &lt;- read_csv("tb_cohort_timor_leste_2024_RAW.csv")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First look - ALWAYS do these three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glimpse(tb)      # what columns, what types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summary(tb)      # min, max, median, missing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nrow(tb)         # how many rows - does it match your register?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Cleaning — the same seven checks as Factsheet 4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1 &amp; 2. Duplicates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sum(duplicated(tb$record_id))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tb &lt;- distinct(tb, record_id, .keep_all = TRUE)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3. Every distinct value in a category column (with NA shown)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tb %&gt;% count(sex)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tb &lt;- tb %&gt;% mutate(sex = case_when(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sex %in% c("M","Male","male","1") ~ "Male",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sex %in% c("F","Female","female") ~ "Female",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TRUE ~ NA_character_))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4. Impossible values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range(tb$age_years, na.rm = TRUE)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tb &lt;- tb %&gt;% mutate(age_years = if_else(age_years &gt; 110, NA_real_, age_years))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6. Missing data per column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colSums(is.na(tb))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Describing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Continuous: mean, median, spread, and how much is missing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tb %&gt;% summarise(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n       = sum(!is.na(distance_to_facility_km)),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missing = sum(is.na(distance_to_facility_km)),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mean    = mean(distance_to_facility_km, na.rm = TRUE),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median  = median(distance_to_facility_km, na.rm = TRUE),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q1      = quantile(distance_to_facility_km, .25, na.rm = TRUE),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q3      = quantile(distance_to_facility_km, .75, na.rm = TRUE))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Categorical: counts AND percentages, with the denominator visible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tb %&gt;% tabyl(outcome) %&gt;% adorn_pct_formatting(digits = 1)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Cross-tabulation with row percentages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tb %&gt;% tabyl(sex, outcome) %&gt;%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adorn_percentages("row") %&gt;%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adorn_pct_formatting(digits = 1) %&gt;%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adorn_ns()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Treatment success — and why the denominator is a line of code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Be explicit about who you are counting. This is your denominator decision,</w:t>
            </w:r>
          </w:p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written down permanently, where a reviewer can see it.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evaluated &lt;- tb %&gt;% filter(!is.na(outcome), outcome != "Not evaluated")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evaluated %&gt;% summarise(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successes = sum(outcome %in% c("Cured","Treatment completed")),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N         = n(),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pct       = round(100 * successes / N, 1))</w:t>
            </w:r>
          </w:p>
        </w:tc>
      </w:tr>
    </w:tbl>
    <w:p>
      <w:pPr>
        <w:spacing w:after="60"/>
      </w:pPr>
    </w:p>
    <w:p>
      <w:pPr>
        <w:keepNext/>
        <w:spacing w:before="240" w:after="80"/>
      </w:pPr>
      <w:r>
        <w:rPr>
          <w:rFonts w:ascii="Calibri" w:hAnsi="Calibri"/>
          <w:b/>
          <w:color w:val="1F3864"/>
          <w:sz w:val="30"/>
        </w:rPr>
        <w:t>Plotting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92"/>
      </w:tblGrid>
      <w:tr>
        <w:tc>
          <w:tcPr>
            <w:tcW w:type="dxa" w:w="10092"/>
            <w:shd w:val="clear" w:fill="F4F6F8"/>
            <w:tcMar>
              <w:top w:w="100" w:type="dxa"/>
              <w:left w:w="150" w:type="dxa"/>
              <w:bottom w:w="100" w:type="dxa"/>
              <w:right w:w="150" w:type="dxa"/>
            </w:tcMar>
          </w:tcPr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Histogram of a continuous variable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ggplot(tb, aes(x = distance_to_facility_km)) +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geom_histogram(binwidth = 5, fill = "#0F7B7B", colour = "white") +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labs(title = "Distance from home to treatment facility",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   subtitle = "TB patients, Timor-Leste, 2024 (n = 180)",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     x = "Distance (km)", y = "Number of patients") +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theme_minimal()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Bar chart of a category, sorted largest to smallest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tb %&gt;% count(municipality) %&gt;%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ggplot(aes(x = reorder(municipality, n), y = n)) +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geom_col(fill = "#1F3864") + coord_flip() +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labs(x = NULL, y = "Number of patients registered") +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theme_minimal()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Box plot - shows spread, which a bar of means hides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ggplot(tb, aes(x = outcome, y = distance_to_facility_km)) +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geom_boxplot(fill = "#E4F2EF") + coord_flip() +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labs(x = NULL, y = "Distance to facility (km)") +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 xml:space="preserve">  theme_minimal()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</w:r>
          </w:p>
          <w:p>
            <w:pPr>
              <w:spacing w:after="0"/>
            </w:pPr>
            <w:r>
              <w:rPr>
                <w:rFonts w:ascii="Consolas" w:hAnsi="Consolas"/>
                <w:color w:val="595959"/>
                <w:sz w:val="17"/>
              </w:rPr>
              <w:t># Save at publication quality</w:t>
            </w:r>
          </w:p>
          <w:p>
            <w:pPr>
              <w:spacing w:after="0"/>
            </w:pPr>
            <w:r>
              <w:rPr>
                <w:rFonts w:ascii="Consolas" w:hAnsi="Consolas"/>
                <w:color w:val="1B4B55"/>
                <w:sz w:val="17"/>
              </w:rPr>
              <w:t>ggsave("figure1.png", width = 18, height = 11, units = "cm", dpi = 300)</w:t>
            </w:r>
          </w:p>
        </w:tc>
      </w:tr>
    </w:tbl>
    <w:p>
      <w:pPr>
        <w:spacing w:after="6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25"/>
        <w:gridCol w:w="9967"/>
      </w:tblGrid>
      <w:tr>
        <w:tc>
          <w:tcPr>
            <w:tcW w:type="dxa" w:w="125"/>
            <w:shd w:val="clear" w:fill="0F7B7B"/>
            <w:tcMar>
              <w:top w:w="0" w:type="dxa"/>
              <w:left w:w="0" w:type="dxa"/>
              <w:bottom w:w="0" w:type="dxa"/>
              <w:right w:w="0" w:type="dxa"/>
            </w:tcMar>
          </w:tcPr>
          <w:p/>
        </w:tc>
        <w:tc>
          <w:tcPr>
            <w:tcW w:type="dxa" w:w="9967"/>
            <w:shd w:val="clear" w:fill="E4F2EF"/>
            <w:tcMar>
              <w:top w:w="120" w:type="dxa"/>
              <w:left w:w="170" w:type="dxa"/>
              <w:bottom w:w="120" w:type="dxa"/>
              <w:right w:w="170" w:type="dxa"/>
            </w:tcMar>
          </w:tcPr>
          <w:p>
            <w:pPr>
              <w:spacing w:after="40"/>
            </w:pPr>
            <w:r>
              <w:rPr>
                <w:rFonts w:ascii="Calibri" w:hAnsi="Calibri"/>
                <w:b/>
                <w:color w:val="0F7B7B"/>
                <w:sz w:val="21"/>
              </w:rPr>
              <w:t>TIP</w:t>
            </w:r>
          </w:p>
          <w:p>
            <w:pPr>
              <w:spacing w:after="0"/>
            </w:pPr>
            <w:r>
              <w:rPr>
                <w:rFonts w:ascii="Calibri" w:hAnsi="Calibri"/>
                <w:b/>
                <w:i w:val="0"/>
                <w:sz w:val="20"/>
              </w:rPr>
              <w:t>na.rm = TRUE tells R to ignore missing values.</w:t>
            </w:r>
            <w:r>
              <w:rPr>
                <w:rFonts w:ascii="Calibri" w:hAnsi="Calibri"/>
                <w:b w:val="0"/>
                <w:i w:val="0"/>
                <w:sz w:val="20"/>
              </w:rPr>
              <w:t xml:space="preserve"> That is convenient, but it also silently changes your denominator. Always run colSums(is.na(tb)) first so you know exactly how many records you are dropping, and report that number.</w:t>
            </w:r>
          </w:p>
        </w:tc>
      </w:tr>
    </w:tbl>
    <w:p>
      <w:pPr>
        <w:spacing w:after="60"/>
      </w:pPr>
    </w:p>
    <w:sectPr w:rsidR="00FC693F" w:rsidRPr="0006063C" w:rsidSect="00034616">
      <w:footerReference w:type="default" r:id="rId9"/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color w:val="595959"/>
        <w:sz w:val="15"/>
      </w:rPr>
      <w:t>SORT IT Module 3  •  Data analysis and interpretation of results  •  Timor-Leste  •  Practice data is simulated — not for reporting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eastAsia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