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21"/>
      </w:pPr>
      <w:r>
        <w:t xml:space="preserve">智安护居——多模态居家老人智能风险防控平台</w:t>
      </w:r>
    </w:p>
    <w:p>
      <w:pPr>
        <w:pStyle w:val="17"/>
      </w:pPr>
      <w:r>
        <w:t xml:space="preserve">验证设计说明</w:t>
      </w:r>
    </w:p>
    <w:p>
      <w:pPr>
        <w:pStyle w:val="Author"/>
      </w:pPr>
      <w:r>
        <w:t xml:space="preserve">学校—团队负责人姓名—手机号</w:t>
      </w:r>
    </w:p>
    <w:p>
      <w:pPr>
        <w:pStyle w:val="10"/>
      </w:pPr>
      <w:r>
        <w:t xml:space="preserve">2026年9月</w:t>
      </w:r>
    </w:p>
    <w:p>
      <w:r>
        <w:br w:type="page"/>
      </w:r>
    </w:p>
    <w:bookmarkStart w:id="20" w:name="目录"/>
    <w:p>
      <w:pPr>
        <w:pStyle w:val="2"/>
      </w:pPr>
      <w:r>
        <w:t xml:space="preserve">目录</w:t>
      </w:r>
    </w:p>
    <w:p>
      <w:pPr>
        <w:numPr>
          <w:ilvl w:val="0"/>
          <w:numId w:val="1001"/>
        </w:numPr>
        <w:pStyle w:val="Compact"/>
      </w:pPr>
      <w:r>
        <w:t xml:space="preserve">验证原则</w:t>
      </w:r>
    </w:p>
    <w:p>
      <w:pPr>
        <w:numPr>
          <w:ilvl w:val="0"/>
          <w:numId w:val="1001"/>
        </w:numPr>
        <w:pStyle w:val="Compact"/>
      </w:pPr>
      <w:r>
        <w:t xml:space="preserve">验证环境与前置条件</w:t>
      </w:r>
    </w:p>
    <w:p>
      <w:pPr>
        <w:numPr>
          <w:ilvl w:val="0"/>
          <w:numId w:val="1001"/>
        </w:numPr>
        <w:pStyle w:val="Compact"/>
      </w:pPr>
      <w:r>
        <w:t xml:space="preserve">总体验证矩阵</w:t>
      </w:r>
    </w:p>
    <w:p>
      <w:pPr>
        <w:numPr>
          <w:ilvl w:val="0"/>
          <w:numId w:val="1001"/>
        </w:numPr>
        <w:pStyle w:val="Compact"/>
      </w:pPr>
      <w:r>
        <w:t xml:space="preserve">详细验证步骤</w:t>
      </w:r>
    </w:p>
    <w:p>
      <w:pPr>
        <w:numPr>
          <w:ilvl w:val="0"/>
          <w:numId w:val="1001"/>
        </w:numPr>
        <w:pStyle w:val="Compact"/>
      </w:pPr>
      <w:r>
        <w:t xml:space="preserve">验证数据与记录格式</w:t>
      </w:r>
    </w:p>
    <w:p>
      <w:pPr>
        <w:numPr>
          <w:ilvl w:val="0"/>
          <w:numId w:val="1001"/>
        </w:numPr>
        <w:pStyle w:val="Compact"/>
      </w:pPr>
      <w:r>
        <w:t xml:space="preserve">统计性能验证设计</w:t>
      </w:r>
    </w:p>
    <w:p>
      <w:pPr>
        <w:numPr>
          <w:ilvl w:val="0"/>
          <w:numId w:val="1001"/>
        </w:numPr>
        <w:pStyle w:val="Compact"/>
      </w:pPr>
      <w:r>
        <w:t xml:space="preserve">证据归档与通过判定</w:t>
      </w:r>
    </w:p>
    <w:p>
      <w:pPr>
        <w:numPr>
          <w:ilvl w:val="0"/>
          <w:numId w:val="1001"/>
        </w:numPr>
        <w:pStyle w:val="Compact"/>
      </w:pPr>
      <w:r>
        <w:t xml:space="preserve">现场演示建议顺序</w:t>
      </w:r>
    </w:p>
    <w:p>
      <w:pPr>
        <w:numPr>
          <w:ilvl w:val="0"/>
          <w:numId w:val="1001"/>
        </w:numPr>
        <w:pStyle w:val="Compact"/>
      </w:pPr>
      <w:r>
        <w:t xml:space="preserve">待补充信息汇总</w:t>
      </w:r>
    </w:p>
    <w:bookmarkEnd w:id="20"/>
    <w:bookmarkStart w:id="21" w:name="文档说明"/>
    <w:p>
      <w:pPr>
        <w:pStyle w:val="2"/>
      </w:pPr>
      <w:r>
        <w:t xml:space="preserve">文档说明</w:t>
      </w:r>
    </w:p>
    <w:p>
      <w:pPr>
        <w:pStyle w:val="FirstParagraph"/>
      </w:pPr>
      <w:r>
        <w:t xml:space="preserve">本文档对应建议提交材料</w:t>
      </w:r>
      <w:r>
        <w:t xml:space="preserve">“</w:t>
      </w:r>
      <w:r>
        <w:t xml:space="preserve">07_验证设计</w:t>
      </w:r>
      <w:r>
        <w:t xml:space="preserve">”</w:t>
      </w:r>
      <w:r>
        <w:t xml:space="preserve">，用于评委在不接触 Secret、不要求老人执行危险动作、不改变系统数据的条件下，验证智安护居（CareShield）V1.0 的设备接入、实时媒体、算法链、风险展示和故障语义。验证基线为 Git 标签</w:t>
      </w:r>
      <w:r>
        <w:t xml:space="preserve"> </w:t>
      </w:r>
      <w:r>
        <w:rPr>
          <w:rStyle w:val="VerbatimChar"/>
        </w:rPr>
        <w:t xml:space="preserve">v1.0.0</w:t>
      </w:r>
      <w:r>
        <w:t xml:space="preserve">、提交</w:t>
      </w:r>
      <w:r>
        <w:t xml:space="preserve"> </w:t>
      </w:r>
      <w:r>
        <w:rPr>
          <w:rStyle w:val="VerbatimChar"/>
        </w:rPr>
        <w:t xml:space="preserve">e8e474c</w:t>
      </w:r>
      <w:r>
        <w:t xml:space="preserve">。</w:t>
      </w:r>
    </w:p>
    <w:p>
      <w:pPr>
        <w:pStyle w:val="8"/>
      </w:pPr>
      <w:r>
        <w:t xml:space="preserve">验证分为</w:t>
      </w:r>
      <w:r>
        <w:t xml:space="preserve">“</w:t>
      </w:r>
      <w:r>
        <w:t xml:space="preserve">工程可运行性、真实链路真实性、算法功能、异常与安全、统计性能</w:t>
      </w:r>
      <w:r>
        <w:t xml:space="preserve">”</w:t>
      </w:r>
      <w:r>
        <w:t xml:space="preserve">五层。前四层可在当前系统中按步骤执行；统计性能需要固定数据集和原始标签，不能以现场单次演示代替。所有截图必须遮蔽 AppKey、AppSecret、AccessToken、完整设备序列号、播放地址、人物身份和家庭敏感文本。</w:t>
      </w:r>
    </w:p>
    <w:bookmarkEnd w:id="21"/>
    <w:bookmarkStart w:id="24" w:name="验证原则"/>
    <w:p>
      <w:pPr>
        <w:pStyle w:val="2"/>
      </w:pPr>
      <w:r>
        <w:t xml:space="preserve">1 验证原则</w:t>
      </w:r>
    </w:p>
    <w:bookmarkStart w:id="22" w:name="证据分级"/>
    <w:p>
      <w:pPr>
        <w:pStyle w:val="3"/>
      </w:pPr>
      <w:r>
        <w:t xml:space="preserve">1.1 证据分级</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证据等级</w:t>
            </w:r>
          </w:p>
        </w:tc>
        <w:tc>
          <w:p>
            <w:pPr>
              <w:pStyle w:val="Compact"/>
              <w:jc w:val="left"/>
            </w:pPr>
            <w:r>
              <w:t xml:space="preserve">定义</w:t>
            </w:r>
          </w:p>
        </w:tc>
        <w:tc>
          <w:p>
            <w:pPr>
              <w:pStyle w:val="Compact"/>
              <w:jc w:val="left"/>
            </w:pPr>
            <w:r>
              <w:t xml:space="preserve">可支持的结论</w:t>
            </w:r>
          </w:p>
        </w:tc>
      </w:tr>
      <w:tr>
        <w:trPr/>
        <w:tc>
          <w:p>
            <w:pPr>
              <w:pStyle w:val="Compact"/>
              <w:jc w:val="left"/>
            </w:pPr>
            <w:r>
              <w:t xml:space="preserve">A</w:t>
            </w:r>
          </w:p>
        </w:tc>
        <w:tc>
          <w:p>
            <w:pPr>
              <w:pStyle w:val="Compact"/>
              <w:jc w:val="left"/>
            </w:pPr>
            <w:r>
              <w:t xml:space="preserve">固定 commit、命令输出、API JSON、测试原始文件可相互复核</w:t>
            </w:r>
          </w:p>
        </w:tc>
        <w:tc>
          <w:p>
            <w:pPr>
              <w:pStyle w:val="Compact"/>
              <w:jc w:val="left"/>
            </w:pPr>
            <w:r>
              <w:t xml:space="preserve">系统实现和工程测试结果</w:t>
            </w:r>
          </w:p>
        </w:tc>
      </w:tr>
      <w:tr>
        <w:trPr/>
        <w:tc>
          <w:p>
            <w:pPr>
              <w:pStyle w:val="Compact"/>
              <w:jc w:val="left"/>
            </w:pPr>
            <w:r>
              <w:t xml:space="preserve">B</w:t>
            </w:r>
          </w:p>
        </w:tc>
        <w:tc>
          <w:p>
            <w:pPr>
              <w:pStyle w:val="Compact"/>
              <w:jc w:val="left"/>
            </w:pPr>
            <w:r>
              <w:t xml:space="preserve">真实设备页面、现场录屏、人工动作与页面同步</w:t>
            </w:r>
          </w:p>
        </w:tc>
        <w:tc>
          <w:p>
            <w:pPr>
              <w:pStyle w:val="Compact"/>
              <w:jc w:val="left"/>
            </w:pPr>
            <w:r>
              <w:t xml:space="preserve">真实业务链能运行</w:t>
            </w:r>
          </w:p>
        </w:tc>
      </w:tr>
      <w:tr>
        <w:trPr/>
        <w:tc>
          <w:p>
            <w:pPr>
              <w:pStyle w:val="Compact"/>
              <w:jc w:val="left"/>
            </w:pPr>
            <w:r>
              <w:t xml:space="preserve">C</w:t>
            </w:r>
          </w:p>
        </w:tc>
        <w:tc>
          <w:p>
            <w:pPr>
              <w:pStyle w:val="Compact"/>
              <w:jc w:val="left"/>
            </w:pPr>
            <w:r>
              <w:t xml:space="preserve">单元测试、synthetic fixture、Mock 第三方网络</w:t>
            </w:r>
          </w:p>
        </w:tc>
        <w:tc>
          <w:p>
            <w:pPr>
              <w:pStyle w:val="Compact"/>
              <w:jc w:val="left"/>
            </w:pPr>
            <w:r>
              <w:t xml:space="preserve">代码分支和契约正确性</w:t>
            </w:r>
          </w:p>
        </w:tc>
      </w:tr>
      <w:tr>
        <w:trPr/>
        <w:tc>
          <w:p>
            <w:pPr>
              <w:pStyle w:val="Compact"/>
              <w:jc w:val="left"/>
            </w:pPr>
            <w:r>
              <w:t xml:space="preserve">D</w:t>
            </w:r>
          </w:p>
        </w:tc>
        <w:tc>
          <w:p>
            <w:pPr>
              <w:pStyle w:val="Compact"/>
              <w:jc w:val="left"/>
            </w:pPr>
            <w:r>
              <w:t xml:space="preserve">方案说明或待开通接口</w:t>
            </w:r>
          </w:p>
        </w:tc>
        <w:tc>
          <w:p>
            <w:pPr>
              <w:pStyle w:val="Compact"/>
              <w:jc w:val="left"/>
            </w:pPr>
            <w:r>
              <w:t xml:space="preserve">规划能力，不能写成已实现</w:t>
            </w:r>
          </w:p>
        </w:tc>
      </w:tr>
    </w:tbl>
    <w:p>
      <w:pPr>
        <w:pStyle w:val="8"/>
      </w:pPr>
      <w:r>
        <w:t xml:space="preserve">一项功能要写成</w:t>
      </w:r>
      <w:r>
        <w:t xml:space="preserve">“</w:t>
      </w:r>
      <w:r>
        <w:t xml:space="preserve">真实设备已验证</w:t>
      </w:r>
      <w:r>
        <w:t xml:space="preserve">”</w:t>
      </w:r>
      <w:r>
        <w:t xml:space="preserve">，至少需要 A+B；模型 Accuracy、Recall 等指标必须有固定测试集、真实标签、逐样本输出和可复算脚本。播放器 firstFrame、HTTP 200 或 ffprobe 成功只证明特定技术环节，不能单独证明画面是当前摄像机内容。</w:t>
      </w:r>
    </w:p>
    <w:bookmarkEnd w:id="22"/>
    <w:bookmarkStart w:id="23" w:name="安全与伦理"/>
    <w:p>
      <w:pPr>
        <w:pStyle w:val="3"/>
      </w:pPr>
      <w:r>
        <w:t xml:space="preserve">1.2 安全与伦理</w:t>
      </w:r>
    </w:p>
    <w:p>
      <w:pPr>
        <w:pStyle w:val="FirstParagraph"/>
      </w:pPr>
      <w:r>
        <w:t xml:space="preserve">真人测试需获得书面授权，明确用途、保存期限、展示范围和删除方式。实时跌倒验证优先使用健康成年人在软垫环境中的安全模拟或合法测试视频，不要求老人执行跌倒。诈骗验证使用虚构账号、验证码和身份，不播放真实家庭敏感对话。运动功能评估不得以页面分级替代临床诊断。</w:t>
      </w:r>
    </w:p>
    <w:p>
      <w:pPr>
        <w:pStyle w:val="8"/>
      </w:pPr>
      <w:r>
        <w:t xml:space="preserve">验证者只使用脱敏页面和安全状态接口；不打开</w:t>
      </w:r>
      <w:r>
        <w:t xml:space="preserve"> </w:t>
      </w:r>
      <w:r>
        <w:rPr>
          <w:rStyle w:val="VerbatimChar"/>
        </w:rPr>
        <w:t xml:space="preserve">.env</w:t>
      </w:r>
      <w:r>
        <w:t xml:space="preserve">，不复制播放地址，不查看完整设备序列号，不导出原始家庭音频。停止系统时不使用</w:t>
      </w:r>
      <w:r>
        <w:t xml:space="preserve"> </w:t>
      </w:r>
      <w:r>
        <w:rPr>
          <w:rStyle w:val="VerbatimChar"/>
        </w:rPr>
        <w:t xml:space="preserve">docker compose down -v</w:t>
      </w:r>
      <w:r>
        <w:t xml:space="preserve">。</w:t>
      </w:r>
    </w:p>
    <w:bookmarkEnd w:id="23"/>
    <w:bookmarkEnd w:id="24"/>
    <w:bookmarkStart w:id="27" w:name="验证环境与前置条件"/>
    <w:p>
      <w:pPr>
        <w:pStyle w:val="2"/>
      </w:pPr>
      <w:r>
        <w:t xml:space="preserve">2 验证环境与前置条件</w:t>
      </w:r>
    </w:p>
    <w:bookmarkStart w:id="25" w:name="环境清单"/>
    <w:p>
      <w:pPr>
        <w:pStyle w:val="3"/>
      </w:pPr>
      <w:r>
        <w:t xml:space="preserve">2.1 环境清单</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项目</w:t>
            </w:r>
          </w:p>
        </w:tc>
        <w:tc>
          <w:p>
            <w:pPr>
              <w:pStyle w:val="Compact"/>
              <w:jc w:val="left"/>
            </w:pPr>
            <w:r>
              <w:t xml:space="preserve">前置条件</w:t>
            </w:r>
          </w:p>
        </w:tc>
        <w:tc>
          <w:p>
            <w:pPr>
              <w:pStyle w:val="Compact"/>
              <w:jc w:val="left"/>
            </w:pPr>
            <w:r>
              <w:t xml:space="preserve">确认方式</w:t>
            </w:r>
          </w:p>
        </w:tc>
      </w:tr>
      <w:tr>
        <w:trPr/>
        <w:tc>
          <w:p>
            <w:pPr>
              <w:pStyle w:val="Compact"/>
              <w:jc w:val="left"/>
            </w:pPr>
            <w:r>
              <w:t xml:space="preserve">代码</w:t>
            </w:r>
          </w:p>
        </w:tc>
        <w:tc>
          <w:p>
            <w:pPr>
              <w:pStyle w:val="Compact"/>
              <w:jc w:val="left"/>
            </w:pPr>
            <w:r>
              <w:rPr>
                <w:rStyle w:val="VerbatimChar"/>
              </w:rPr>
              <w:t xml:space="preserve">v1.0.0</w:t>
            </w:r>
            <w:r>
              <w:t xml:space="preserve"> </w:t>
            </w:r>
            <w:r>
              <w:t xml:space="preserve">/</w:t>
            </w:r>
            <w:r>
              <w:t xml:space="preserve"> </w:t>
            </w:r>
            <w:r>
              <w:rPr>
                <w:rStyle w:val="VerbatimChar"/>
              </w:rPr>
              <w:t xml:space="preserve">e8e474c</w:t>
            </w:r>
          </w:p>
        </w:tc>
        <w:tc>
          <w:p>
            <w:pPr>
              <w:pStyle w:val="Compact"/>
              <w:jc w:val="left"/>
            </w:pPr>
            <w:r>
              <w:rPr>
                <w:rStyle w:val="VerbatimChar"/>
              </w:rPr>
              <w:t xml:space="preserve">git describe --tags --always</w:t>
            </w:r>
          </w:p>
        </w:tc>
      </w:tr>
      <w:tr>
        <w:trPr/>
        <w:tc>
          <w:p>
            <w:pPr>
              <w:pStyle w:val="Compact"/>
              <w:jc w:val="left"/>
            </w:pPr>
            <w:r>
              <w:t xml:space="preserve">主机</w:t>
            </w:r>
          </w:p>
        </w:tc>
        <w:tc>
          <w:p>
            <w:pPr>
              <w:pStyle w:val="Compact"/>
              <w:jc w:val="left"/>
            </w:pPr>
            <w:r>
              <w:t xml:space="preserve">Ubuntu 22.04、Docker Compose v2</w:t>
            </w:r>
          </w:p>
        </w:tc>
        <w:tc>
          <w:p>
            <w:pPr>
              <w:pStyle w:val="Compact"/>
              <w:jc w:val="left"/>
            </w:pPr>
            <w:r>
              <w:t xml:space="preserve">版本命令</w:t>
            </w:r>
          </w:p>
        </w:tc>
      </w:tr>
      <w:tr>
        <w:trPr/>
        <w:tc>
          <w:p>
            <w:pPr>
              <w:pStyle w:val="Compact"/>
              <w:jc w:val="left"/>
            </w:pPr>
            <w:r>
              <w:t xml:space="preserve">GPU</w:t>
            </w:r>
          </w:p>
        </w:tc>
        <w:tc>
          <w:p>
            <w:pPr>
              <w:pStyle w:val="Compact"/>
              <w:jc w:val="left"/>
            </w:pPr>
            <w:r>
              <w:t xml:space="preserve">RTX 4090、驱动和 Container Toolkit 可用</w:t>
            </w:r>
          </w:p>
        </w:tc>
        <w:tc>
          <w:p>
            <w:pPr>
              <w:pStyle w:val="Compact"/>
              <w:jc w:val="left"/>
            </w:pPr>
            <w:r>
              <w:rPr>
                <w:rStyle w:val="VerbatimChar"/>
              </w:rPr>
              <w:t xml:space="preserve">nvidia-smi</w:t>
            </w:r>
            <w:r>
              <w:t xml:space="preserve">、Worker runtime</w:t>
            </w:r>
          </w:p>
        </w:tc>
      </w:tr>
      <w:tr>
        <w:trPr/>
        <w:tc>
          <w:p>
            <w:pPr>
              <w:pStyle w:val="Compact"/>
              <w:jc w:val="left"/>
            </w:pPr>
            <w:r>
              <w:t xml:space="preserve">设备</w:t>
            </w:r>
          </w:p>
        </w:tc>
        <w:tc>
          <w:p>
            <w:pPr>
              <w:pStyle w:val="Compact"/>
              <w:jc w:val="left"/>
            </w:pPr>
            <w:r>
              <w:t xml:space="preserve">合法绑定的 H6c，供电并联网</w:t>
            </w:r>
          </w:p>
        </w:tc>
        <w:tc>
          <w:p>
            <w:pPr>
              <w:pStyle w:val="Compact"/>
              <w:jc w:val="left"/>
            </w:pPr>
            <w:r>
              <w:rPr>
                <w:rStyle w:val="VerbatimChar"/>
              </w:rPr>
              <w:t xml:space="preserve">/devices</w:t>
            </w:r>
            <w:r>
              <w:t xml:space="preserve"> </w:t>
            </w:r>
            <w:r>
              <w:t xml:space="preserve">Online</w:t>
            </w:r>
          </w:p>
        </w:tc>
      </w:tr>
      <w:tr>
        <w:trPr/>
        <w:tc>
          <w:p>
            <w:pPr>
              <w:pStyle w:val="Compact"/>
              <w:jc w:val="left"/>
            </w:pPr>
            <w:r>
              <w:t xml:space="preserve">EZVIZ</w:t>
            </w:r>
          </w:p>
        </w:tc>
        <w:tc>
          <w:p>
            <w:pPr>
              <w:pStyle w:val="Compact"/>
              <w:jc w:val="left"/>
            </w:pPr>
            <w:r>
              <w:t xml:space="preserve">本机</w:t>
            </w:r>
            <w:r>
              <w:t xml:space="preserve"> </w:t>
            </w:r>
            <w:r>
              <w:rPr>
                <w:rStyle w:val="VerbatimChar"/>
              </w:rPr>
              <w:t xml:space="preserve">.env</w:t>
            </w:r>
            <w:r>
              <w:t xml:space="preserve"> </w:t>
            </w:r>
            <w:r>
              <w:t xml:space="preserve">配置 AppKey/AppSecret</w:t>
            </w:r>
          </w:p>
        </w:tc>
        <w:tc>
          <w:p>
            <w:pPr>
              <w:pStyle w:val="Compact"/>
              <w:jc w:val="left"/>
            </w:pPr>
            <w:r>
              <w:t xml:space="preserve">status configured/reachable</w:t>
            </w:r>
          </w:p>
        </w:tc>
      </w:tr>
      <w:tr>
        <w:trPr/>
        <w:tc>
          <w:p>
            <w:pPr>
              <w:pStyle w:val="Compact"/>
              <w:jc w:val="left"/>
            </w:pPr>
            <w:r>
              <w:t xml:space="preserve">模型</w:t>
            </w:r>
          </w:p>
        </w:tc>
        <w:tc>
          <w:p>
            <w:pPr>
              <w:pStyle w:val="Compact"/>
              <w:jc w:val="left"/>
            </w:pPr>
            <w:r>
              <w:t xml:space="preserve">外部资产按清单只读挂载</w:t>
            </w:r>
          </w:p>
        </w:tc>
        <w:tc>
          <w:p>
            <w:pPr>
              <w:pStyle w:val="Compact"/>
              <w:jc w:val="left"/>
            </w:pPr>
            <w:r>
              <w:t xml:space="preserve">各 Worker health ready</w:t>
            </w:r>
          </w:p>
        </w:tc>
      </w:tr>
      <w:tr>
        <w:trPr/>
        <w:tc>
          <w:p>
            <w:pPr>
              <w:pStyle w:val="Compact"/>
              <w:jc w:val="left"/>
            </w:pPr>
            <w:r>
              <w:t xml:space="preserve">浏览器</w:t>
            </w:r>
          </w:p>
        </w:tc>
        <w:tc>
          <w:p>
            <w:pPr>
              <w:pStyle w:val="Compact"/>
              <w:jc w:val="left"/>
            </w:pPr>
            <w:r>
              <w:t xml:space="preserve">支持 WebAssembly/WebGL，允许官方播放器运行</w:t>
            </w:r>
          </w:p>
        </w:tc>
        <w:tc>
          <w:p>
            <w:pPr>
              <w:pStyle w:val="Compact"/>
              <w:jc w:val="left"/>
            </w:pPr>
            <w:r>
              <w:t xml:space="preserve">Dashboard 首帧和 Console</w:t>
            </w:r>
          </w:p>
        </w:tc>
      </w:tr>
      <w:tr>
        <w:trPr/>
        <w:tc>
          <w:p>
            <w:pPr>
              <w:pStyle w:val="Compact"/>
              <w:jc w:val="left"/>
            </w:pPr>
            <w:r>
              <w:t xml:space="preserve">测试材料</w:t>
            </w:r>
          </w:p>
        </w:tc>
        <w:tc>
          <w:p>
            <w:pPr>
              <w:pStyle w:val="Compact"/>
              <w:jc w:val="left"/>
            </w:pPr>
            <w:r>
              <w:t xml:space="preserve">授权走路视频、安全跌倒视频、虚构诈骗语音</w:t>
            </w:r>
          </w:p>
        </w:tc>
        <w:tc>
          <w:p>
            <w:pPr>
              <w:pStyle w:val="Compact"/>
              <w:jc w:val="left"/>
            </w:pPr>
            <w:r>
              <w:t xml:space="preserve">现场材料登记表</w:t>
            </w:r>
          </w:p>
        </w:tc>
      </w:tr>
    </w:tbl>
    <w:bookmarkEnd w:id="25"/>
    <w:bookmarkStart w:id="26" w:name="启动基线"/>
    <w:p>
      <w:pPr>
        <w:pStyle w:val="3"/>
      </w:pPr>
      <w:r>
        <w:t xml:space="preserve">2.2 启动基线</w:t>
      </w:r>
    </w:p>
    <w:p>
      <w:pPr>
        <w:pStyle w:val="FirstParagraph"/>
      </w:pPr>
      <w:r>
        <w:t xml:space="preserve">在项目根目录执行：</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ps</w:t>
      </w:r>
    </w:p>
    <w:p>
      <w:pPr>
        <w:pStyle w:val="FirstParagraph"/>
      </w:pPr>
      <w:r>
        <w:t xml:space="preserve">通过标准：12 个服务均为</w:t>
      </w:r>
      <w:r>
        <w:t xml:space="preserve"> </w:t>
      </w:r>
      <w:r>
        <w:rPr>
          <w:rStyle w:val="VerbatimChar"/>
        </w:rPr>
        <w:t xml:space="preserve">Up</w:t>
      </w:r>
      <w:r>
        <w:t xml:space="preserve">，定义 healthcheck 的 10 个服务显示</w:t>
      </w:r>
      <w:r>
        <w:t xml:space="preserve"> </w:t>
      </w:r>
      <w:r>
        <w:rPr>
          <w:rStyle w:val="VerbatimChar"/>
        </w:rPr>
        <w:t xml:space="preserve">healthy</w:t>
      </w:r>
      <w:r>
        <w:t xml:space="preserve">。随后执行 Backend、系统、EZVIZ 和算法状态接口；任何一项失败时先记录失败证据，不通过刷新页面隐藏问题。</w:t>
      </w:r>
    </w:p>
    <w:bookmarkEnd w:id="26"/>
    <w:bookmarkEnd w:id="27"/>
    <w:bookmarkStart w:id="28" w:name="总体验证矩阵"/>
    <w:p>
      <w:pPr>
        <w:pStyle w:val="2"/>
      </w:pPr>
      <w:r>
        <w:t xml:space="preserve">3 总体验证矩阵</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编号</w:t>
            </w:r>
          </w:p>
        </w:tc>
        <w:tc>
          <w:p>
            <w:pPr>
              <w:pStyle w:val="Compact"/>
              <w:jc w:val="left"/>
            </w:pPr>
            <w:r>
              <w:t xml:space="preserve">验证对象</w:t>
            </w:r>
          </w:p>
        </w:tc>
        <w:tc>
          <w:p>
            <w:pPr>
              <w:pStyle w:val="Compact"/>
              <w:jc w:val="left"/>
            </w:pPr>
            <w:r>
              <w:t xml:space="preserve">输入</w:t>
            </w:r>
          </w:p>
        </w:tc>
        <w:tc>
          <w:p>
            <w:pPr>
              <w:pStyle w:val="Compact"/>
              <w:jc w:val="left"/>
            </w:pPr>
            <w:r>
              <w:t xml:space="preserve">页面或接口</w:t>
            </w:r>
          </w:p>
        </w:tc>
        <w:tc>
          <w:p>
            <w:pPr>
              <w:pStyle w:val="Compact"/>
              <w:jc w:val="left"/>
            </w:pPr>
            <w:r>
              <w:t xml:space="preserve">核心通过标准</w:t>
            </w:r>
          </w:p>
        </w:tc>
      </w:tr>
      <w:tr>
        <w:trPr/>
        <w:tc>
          <w:p>
            <w:pPr>
              <w:pStyle w:val="Compact"/>
              <w:jc w:val="left"/>
            </w:pPr>
            <w:r>
              <w:t xml:space="preserve">V01</w:t>
            </w:r>
          </w:p>
        </w:tc>
        <w:tc>
          <w:p>
            <w:pPr>
              <w:pStyle w:val="Compact"/>
              <w:jc w:val="left"/>
            </w:pPr>
            <w:r>
              <w:t xml:space="preserve">全栈部署</w:t>
            </w:r>
          </w:p>
        </w:tc>
        <w:tc>
          <w:p>
            <w:pPr>
              <w:pStyle w:val="Compact"/>
              <w:jc w:val="left"/>
            </w:pPr>
            <w:r>
              <w:t xml:space="preserve">Compose 配置</w:t>
            </w:r>
          </w:p>
        </w:tc>
        <w:tc>
          <w:p>
            <w:pPr>
              <w:pStyle w:val="Compact"/>
              <w:jc w:val="left"/>
            </w:pPr>
            <w:r>
              <w:rPr>
                <w:rStyle w:val="VerbatimChar"/>
              </w:rPr>
              <w:t xml:space="preserve">docker compose ps</w:t>
            </w:r>
          </w:p>
        </w:tc>
        <w:tc>
          <w:p>
            <w:pPr>
              <w:pStyle w:val="Compact"/>
              <w:jc w:val="left"/>
            </w:pPr>
            <w:r>
              <w:t xml:space="preserve">12 服务 Up，10 项 healthy</w:t>
            </w:r>
          </w:p>
        </w:tc>
      </w:tr>
      <w:tr>
        <w:trPr/>
        <w:tc>
          <w:p>
            <w:pPr>
              <w:pStyle w:val="Compact"/>
              <w:jc w:val="left"/>
            </w:pPr>
            <w:r>
              <w:t xml:space="preserve">V02</w:t>
            </w:r>
          </w:p>
        </w:tc>
        <w:tc>
          <w:p>
            <w:pPr>
              <w:pStyle w:val="Compact"/>
              <w:jc w:val="left"/>
            </w:pPr>
            <w:r>
              <w:t xml:space="preserve">Secret 边界</w:t>
            </w:r>
          </w:p>
        </w:tc>
        <w:tc>
          <w:p>
            <w:pPr>
              <w:pStyle w:val="Compact"/>
              <w:jc w:val="left"/>
            </w:pPr>
            <w:r>
              <w:rPr>
                <w:rStyle w:val="VerbatimChar"/>
              </w:rPr>
              <w:t xml:space="preserve">.env.example</w:t>
            </w:r>
            <w:r>
              <w:t xml:space="preserve">、Git</w:t>
            </w:r>
          </w:p>
        </w:tc>
        <w:tc>
          <w:p>
            <w:pPr>
              <w:pStyle w:val="Compact"/>
              <w:jc w:val="left"/>
            </w:pPr>
            <w:r>
              <w:t xml:space="preserve">Git 检查</w:t>
            </w:r>
          </w:p>
        </w:tc>
        <w:tc>
          <w:p>
            <w:pPr>
              <w:pStyle w:val="Compact"/>
              <w:jc w:val="left"/>
            </w:pPr>
            <w:r>
              <w:rPr>
                <w:rStyle w:val="VerbatimChar"/>
              </w:rPr>
              <w:t xml:space="preserve">.env</w:t>
            </w:r>
            <w:r>
              <w:t xml:space="preserve"> </w:t>
            </w:r>
            <w:r>
              <w:t xml:space="preserve">ignored，无真实 Secret 入库</w:t>
            </w:r>
          </w:p>
        </w:tc>
      </w:tr>
      <w:tr>
        <w:trPr/>
        <w:tc>
          <w:p>
            <w:pPr>
              <w:pStyle w:val="Compact"/>
              <w:jc w:val="left"/>
            </w:pPr>
            <w:r>
              <w:t xml:space="preserve">V03</w:t>
            </w:r>
          </w:p>
        </w:tc>
        <w:tc>
          <w:p>
            <w:pPr>
              <w:pStyle w:val="Compact"/>
              <w:jc w:val="left"/>
            </w:pPr>
            <w:r>
              <w:t xml:space="preserve">H6c 接入</w:t>
            </w:r>
          </w:p>
        </w:tc>
        <w:tc>
          <w:p>
            <w:pPr>
              <w:pStyle w:val="Compact"/>
              <w:jc w:val="left"/>
            </w:pPr>
            <w:r>
              <w:t xml:space="preserve">真实账号和设备</w:t>
            </w:r>
          </w:p>
        </w:tc>
        <w:tc>
          <w:p>
            <w:pPr>
              <w:pStyle w:val="Compact"/>
              <w:jc w:val="left"/>
            </w:pPr>
            <w:r>
              <w:rPr>
                <w:rStyle w:val="VerbatimChar"/>
              </w:rPr>
              <w:t xml:space="preserve">/devices</w:t>
            </w:r>
            <w:r>
              <w:t xml:space="preserve">、EZVIZ status</w:t>
            </w:r>
          </w:p>
        </w:tc>
        <w:tc>
          <w:p>
            <w:pPr>
              <w:pStyle w:val="Compact"/>
              <w:jc w:val="left"/>
            </w:pPr>
            <w:r>
              <w:t xml:space="preserve">configured/reachable，H6c Online</w:t>
            </w:r>
          </w:p>
        </w:tc>
      </w:tr>
      <w:tr>
        <w:trPr/>
        <w:tc>
          <w:p>
            <w:pPr>
              <w:pStyle w:val="Compact"/>
              <w:jc w:val="left"/>
            </w:pPr>
            <w:r>
              <w:t xml:space="preserve">V04</w:t>
            </w:r>
          </w:p>
        </w:tc>
        <w:tc>
          <w:p>
            <w:pPr>
              <w:pStyle w:val="Compact"/>
              <w:jc w:val="left"/>
            </w:pPr>
            <w:r>
              <w:t xml:space="preserve">浏览器实时画面</w:t>
            </w:r>
          </w:p>
        </w:tc>
        <w:tc>
          <w:p>
            <w:pPr>
              <w:pStyle w:val="Compact"/>
              <w:jc w:val="left"/>
            </w:pPr>
            <w:r>
              <w:t xml:space="preserve">摄像机前可控运动</w:t>
            </w:r>
          </w:p>
        </w:tc>
        <w:tc>
          <w:p>
            <w:pPr>
              <w:pStyle w:val="Compact"/>
              <w:jc w:val="left"/>
            </w:pPr>
            <w:r>
              <w:rPr>
                <w:rStyle w:val="VerbatimChar"/>
              </w:rPr>
              <w:t xml:space="preserve">/dashboard</w:t>
            </w:r>
          </w:p>
        </w:tc>
        <w:tc>
          <w:p>
            <w:pPr>
              <w:pStyle w:val="Compact"/>
              <w:jc w:val="left"/>
            </w:pPr>
            <w:r>
              <w:t xml:space="preserve">真实画面随现场运动变化，声音可用</w:t>
            </w:r>
          </w:p>
        </w:tc>
      </w:tr>
      <w:tr>
        <w:trPr/>
        <w:tc>
          <w:p>
            <w:pPr>
              <w:pStyle w:val="Compact"/>
              <w:jc w:val="left"/>
            </w:pPr>
            <w:r>
              <w:t xml:space="preserve">V05</w:t>
            </w:r>
          </w:p>
        </w:tc>
        <w:tc>
          <w:p>
            <w:pPr>
              <w:pStyle w:val="Compact"/>
              <w:jc w:val="left"/>
            </w:pPr>
            <w:r>
              <w:t xml:space="preserve">服务端媒体</w:t>
            </w:r>
          </w:p>
        </w:tc>
        <w:tc>
          <w:p>
            <w:pPr>
              <w:pStyle w:val="Compact"/>
              <w:jc w:val="left"/>
            </w:pPr>
            <w:r>
              <w:t xml:space="preserve">临时媒体会话</w:t>
            </w:r>
          </w:p>
        </w:tc>
        <w:tc>
          <w:p>
            <w:pPr>
              <w:pStyle w:val="Compact"/>
              <w:jc w:val="left"/>
            </w:pPr>
            <w:r>
              <w:t xml:space="preserve">media-info/relay health</w:t>
            </w:r>
          </w:p>
        </w:tc>
        <w:tc>
          <w:p>
            <w:pPr>
              <w:pStyle w:val="Compact"/>
              <w:jc w:val="left"/>
            </w:pPr>
            <w:r>
              <w:t xml:space="preserve">H.265 1920×1080≈15FPS，AAC 16k mono</w:t>
            </w:r>
          </w:p>
        </w:tc>
      </w:tr>
      <w:tr>
        <w:trPr/>
        <w:tc>
          <w:p>
            <w:pPr>
              <w:pStyle w:val="Compact"/>
              <w:jc w:val="left"/>
            </w:pPr>
            <w:r>
              <w:t xml:space="preserve">V06</w:t>
            </w:r>
          </w:p>
        </w:tc>
        <w:tc>
          <w:p>
            <w:pPr>
              <w:pStyle w:val="Compact"/>
              <w:jc w:val="left"/>
            </w:pPr>
            <w:r>
              <w:t xml:space="preserve">人物、姿态、追踪</w:t>
            </w:r>
          </w:p>
        </w:tc>
        <w:tc>
          <w:p>
            <w:pPr>
              <w:pStyle w:val="Compact"/>
              <w:jc w:val="left"/>
            </w:pPr>
            <w:r>
              <w:t xml:space="preserve">正常走动与短遮挡</w:t>
            </w:r>
          </w:p>
        </w:tc>
        <w:tc>
          <w:p>
            <w:pPr>
              <w:pStyle w:val="Compact"/>
              <w:jc w:val="left"/>
            </w:pPr>
            <w:r>
              <w:rPr>
                <w:rStyle w:val="VerbatimChar"/>
              </w:rPr>
              <w:t xml:space="preserve">/fall-detection</w:t>
            </w:r>
          </w:p>
        </w:tc>
        <w:tc>
          <w:p>
            <w:pPr>
              <w:pStyle w:val="Compact"/>
              <w:jc w:val="left"/>
            </w:pPr>
            <w:r>
              <w:t xml:space="preserve">框、COCO17、人物状态与 ID 连续</w:t>
            </w:r>
          </w:p>
        </w:tc>
      </w:tr>
      <w:tr>
        <w:trPr/>
        <w:tc>
          <w:p>
            <w:pPr>
              <w:pStyle w:val="Compact"/>
              <w:jc w:val="left"/>
            </w:pPr>
            <w:r>
              <w:t xml:space="preserve">V07</w:t>
            </w:r>
          </w:p>
        </w:tc>
        <w:tc>
          <w:p>
            <w:pPr>
              <w:pStyle w:val="Compact"/>
              <w:jc w:val="left"/>
            </w:pPr>
            <w:r>
              <w:t xml:space="preserve">实时跌倒</w:t>
            </w:r>
          </w:p>
        </w:tc>
        <w:tc>
          <w:p>
            <w:pPr>
              <w:pStyle w:val="Compact"/>
              <w:jc w:val="left"/>
            </w:pPr>
            <w:r>
              <w:t xml:space="preserve">安全模拟或合法视频</w:t>
            </w:r>
          </w:p>
        </w:tc>
        <w:tc>
          <w:p>
            <w:pPr>
              <w:pStyle w:val="Compact"/>
              <w:jc w:val="left"/>
            </w:pPr>
            <w:r>
              <w:rPr>
                <w:rStyle w:val="VerbatimChar"/>
              </w:rPr>
              <w:t xml:space="preserve">/fall-detection</w:t>
            </w:r>
          </w:p>
        </w:tc>
        <w:tc>
          <w:p>
            <w:pPr>
              <w:pStyle w:val="Compact"/>
              <w:jc w:val="left"/>
            </w:pPr>
            <w:r>
              <w:t xml:space="preserve">状态、红色告警、人工确认和恢复有效</w:t>
            </w:r>
          </w:p>
        </w:tc>
      </w:tr>
      <w:tr>
        <w:trPr/>
        <w:tc>
          <w:p>
            <w:pPr>
              <w:pStyle w:val="Compact"/>
              <w:jc w:val="left"/>
            </w:pPr>
            <w:r>
              <w:t xml:space="preserve">V08</w:t>
            </w:r>
          </w:p>
        </w:tc>
        <w:tc>
          <w:p>
            <w:pPr>
              <w:pStyle w:val="Compact"/>
              <w:jc w:val="left"/>
            </w:pPr>
            <w:r>
              <w:t xml:space="preserve">摄像机风险评估</w:t>
            </w:r>
          </w:p>
        </w:tc>
        <w:tc>
          <w:p>
            <w:pPr>
              <w:pStyle w:val="Compact"/>
              <w:jc w:val="left"/>
            </w:pPr>
            <w:r>
              <w:t xml:space="preserve">直线行走</w:t>
            </w:r>
          </w:p>
        </w:tc>
        <w:tc>
          <w:p>
            <w:pPr>
              <w:pStyle w:val="Compact"/>
              <w:jc w:val="left"/>
            </w:pPr>
            <w:r>
              <w:rPr>
                <w:rStyle w:val="VerbatimChar"/>
              </w:rPr>
              <w:t xml:space="preserve">/fall-risk</w:t>
            </w:r>
          </w:p>
        </w:tc>
        <w:tc>
          <w:p>
            <w:pPr>
              <w:pStyle w:val="Compact"/>
              <w:jc w:val="left"/>
            </w:pPr>
            <w:r>
              <w:t xml:space="preserve">按触发时间采集，产生任务和可回看产物</w:t>
            </w:r>
          </w:p>
        </w:tc>
      </w:tr>
      <w:tr>
        <w:trPr/>
        <w:tc>
          <w:p>
            <w:pPr>
              <w:pStyle w:val="Compact"/>
              <w:jc w:val="left"/>
            </w:pPr>
            <w:r>
              <w:t xml:space="preserve">V09</w:t>
            </w:r>
          </w:p>
        </w:tc>
        <w:tc>
          <w:p>
            <w:pPr>
              <w:pStyle w:val="Compact"/>
              <w:jc w:val="left"/>
            </w:pPr>
            <w:r>
              <w:t xml:space="preserve">上传风险评估</w:t>
            </w:r>
          </w:p>
        </w:tc>
        <w:tc>
          <w:p>
            <w:pPr>
              <w:pStyle w:val="Compact"/>
              <w:jc w:val="left"/>
            </w:pPr>
            <w:r>
              <w:t xml:space="preserve">授权 MP4</w:t>
            </w:r>
          </w:p>
        </w:tc>
        <w:tc>
          <w:p>
            <w:pPr>
              <w:pStyle w:val="Compact"/>
              <w:jc w:val="left"/>
            </w:pPr>
            <w:r>
              <w:rPr>
                <w:rStyle w:val="VerbatimChar"/>
              </w:rPr>
              <w:t xml:space="preserve">/fall-risk</w:t>
            </w:r>
          </w:p>
        </w:tc>
        <w:tc>
          <w:p>
            <w:pPr>
              <w:pStyle w:val="Compact"/>
              <w:jc w:val="left"/>
            </w:pPr>
            <w:r>
              <w:t xml:space="preserve">源视频、参数、模型结果和历史联动</w:t>
            </w:r>
          </w:p>
        </w:tc>
      </w:tr>
      <w:tr>
        <w:trPr/>
        <w:tc>
          <w:p>
            <w:pPr>
              <w:pStyle w:val="Compact"/>
              <w:jc w:val="left"/>
            </w:pPr>
            <w:r>
              <w:t xml:space="preserve">V10</w:t>
            </w:r>
          </w:p>
        </w:tc>
        <w:tc>
          <w:p>
            <w:pPr>
              <w:pStyle w:val="Compact"/>
              <w:jc w:val="left"/>
            </w:pPr>
            <w:r>
              <w:t xml:space="preserve">KINECAL 分级</w:t>
            </w:r>
          </w:p>
        </w:tc>
        <w:tc>
          <w:p>
            <w:pPr>
              <w:pStyle w:val="Compact"/>
              <w:jc w:val="left"/>
            </w:pPr>
            <w:r>
              <w:t xml:space="preserve">世界系骨架</w:t>
            </w:r>
          </w:p>
        </w:tc>
        <w:tc>
          <w:p>
            <w:pPr>
              <w:pStyle w:val="Compact"/>
              <w:jc w:val="left"/>
            </w:pPr>
            <w:r>
              <w:t xml:space="preserve">风险结果区</w:t>
            </w:r>
          </w:p>
        </w:tc>
        <w:tc>
          <w:p>
            <w:pPr>
              <w:pStyle w:val="Compact"/>
              <w:jc w:val="left"/>
            </w:pPr>
            <w:r>
              <w:t xml:space="preserve">输出低/中/高研究分级与三类分数</w:t>
            </w:r>
          </w:p>
        </w:tc>
      </w:tr>
      <w:tr>
        <w:trPr/>
        <w:tc>
          <w:p>
            <w:pPr>
              <w:pStyle w:val="Compact"/>
              <w:jc w:val="left"/>
            </w:pPr>
            <w:r>
              <w:t xml:space="preserve">V11</w:t>
            </w:r>
          </w:p>
        </w:tc>
        <w:tc>
          <w:p>
            <w:pPr>
              <w:pStyle w:val="Compact"/>
              <w:jc w:val="left"/>
            </w:pPr>
            <w:r>
              <w:t xml:space="preserve">MotionCLIP</w:t>
            </w:r>
          </w:p>
        </w:tc>
        <w:tc>
          <w:p>
            <w:pPr>
              <w:pStyle w:val="Compact"/>
              <w:jc w:val="left"/>
            </w:pPr>
            <w:r>
              <w:t xml:space="preserve">SMPL-X 动作窗口</w:t>
            </w:r>
          </w:p>
        </w:tc>
        <w:tc>
          <w:p>
            <w:pPr>
              <w:pStyle w:val="Compact"/>
              <w:jc w:val="left"/>
            </w:pPr>
            <w:r>
              <w:t xml:space="preserve">运动功能结果区</w:t>
            </w:r>
          </w:p>
        </w:tc>
        <w:tc>
          <w:p>
            <w:pPr>
              <w:pStyle w:val="Compact"/>
              <w:jc w:val="left"/>
            </w:pPr>
            <w:r>
              <w:t xml:space="preserve">健康参考距离与概念解释可追溯</w:t>
            </w:r>
          </w:p>
        </w:tc>
      </w:tr>
      <w:tr>
        <w:trPr/>
        <w:tc>
          <w:p>
            <w:pPr>
              <w:pStyle w:val="Compact"/>
              <w:jc w:val="left"/>
            </w:pPr>
            <w:r>
              <w:t xml:space="preserve">V12</w:t>
            </w:r>
          </w:p>
        </w:tc>
        <w:tc>
          <w:p>
            <w:pPr>
              <w:pStyle w:val="Compact"/>
              <w:jc w:val="left"/>
            </w:pPr>
            <w:r>
              <w:t xml:space="preserve">诈骗识别</w:t>
            </w:r>
          </w:p>
        </w:tc>
        <w:tc>
          <w:p>
            <w:pPr>
              <w:pStyle w:val="Compact"/>
              <w:jc w:val="left"/>
            </w:pPr>
            <w:r>
              <w:t xml:space="preserve">正常/高风险成对语音</w:t>
            </w:r>
          </w:p>
        </w:tc>
        <w:tc>
          <w:p>
            <w:pPr>
              <w:pStyle w:val="Compact"/>
              <w:jc w:val="left"/>
            </w:pPr>
            <w:r>
              <w:rPr>
                <w:rStyle w:val="VerbatimChar"/>
              </w:rPr>
              <w:t xml:space="preserve">/fraud-risk</w:t>
            </w:r>
          </w:p>
        </w:tc>
        <w:tc>
          <w:p>
            <w:pPr>
              <w:pStyle w:val="Compact"/>
              <w:jc w:val="left"/>
            </w:pPr>
            <w:r>
              <w:t xml:space="preserve">ASR、证据、四级状态、告警确认有效</w:t>
            </w:r>
          </w:p>
        </w:tc>
      </w:tr>
      <w:tr>
        <w:trPr/>
        <w:tc>
          <w:p>
            <w:pPr>
              <w:pStyle w:val="Compact"/>
              <w:jc w:val="left"/>
            </w:pPr>
            <w:r>
              <w:t xml:space="preserve">V13</w:t>
            </w:r>
          </w:p>
        </w:tc>
        <w:tc>
          <w:p>
            <w:pPr>
              <w:pStyle w:val="Compact"/>
              <w:jc w:val="left"/>
            </w:pPr>
            <w:r>
              <w:t xml:space="preserve">Redis/WebSocket</w:t>
            </w:r>
          </w:p>
        </w:tc>
        <w:tc>
          <w:p>
            <w:pPr>
              <w:pStyle w:val="Compact"/>
              <w:jc w:val="left"/>
            </w:pPr>
            <w:r>
              <w:t xml:space="preserve">Worker 实时结果</w:t>
            </w:r>
          </w:p>
        </w:tc>
        <w:tc>
          <w:p>
            <w:pPr>
              <w:pStyle w:val="Compact"/>
              <w:jc w:val="left"/>
            </w:pPr>
            <w:r>
              <w:t xml:space="preserve">多页面</w:t>
            </w:r>
          </w:p>
        </w:tc>
        <w:tc>
          <w:p>
            <w:pPr>
              <w:pStyle w:val="Compact"/>
              <w:jc w:val="left"/>
            </w:pPr>
            <w:r>
              <w:t xml:space="preserve">latest、事件和 UI 更新一致</w:t>
            </w:r>
          </w:p>
        </w:tc>
      </w:tr>
      <w:tr>
        <w:trPr/>
        <w:tc>
          <w:p>
            <w:pPr>
              <w:pStyle w:val="Compact"/>
              <w:jc w:val="left"/>
            </w:pPr>
            <w:r>
              <w:t xml:space="preserve">V14</w:t>
            </w:r>
          </w:p>
        </w:tc>
        <w:tc>
          <w:p>
            <w:pPr>
              <w:pStyle w:val="Compact"/>
              <w:jc w:val="left"/>
            </w:pPr>
            <w:r>
              <w:t xml:space="preserve">异常恢复</w:t>
            </w:r>
          </w:p>
        </w:tc>
        <w:tc>
          <w:p>
            <w:pPr>
              <w:pStyle w:val="Compact"/>
              <w:jc w:val="left"/>
            </w:pPr>
            <w:r>
              <w:t xml:space="preserve">断流/Worker重启</w:t>
            </w:r>
          </w:p>
        </w:tc>
        <w:tc>
          <w:p>
            <w:pPr>
              <w:pStyle w:val="Compact"/>
              <w:jc w:val="left"/>
            </w:pPr>
            <w:r>
              <w:rPr>
                <w:rStyle w:val="VerbatimChar"/>
              </w:rPr>
              <w:t xml:space="preserve">/system</w:t>
            </w:r>
            <w:r>
              <w:t xml:space="preserve">及业务页</w:t>
            </w:r>
          </w:p>
        </w:tc>
        <w:tc>
          <w:p>
            <w:pPr>
              <w:pStyle w:val="Compact"/>
              <w:jc w:val="left"/>
            </w:pPr>
            <w:r>
              <w:t xml:space="preserve">不可用不显示正常，恢复后自动重连</w:t>
            </w:r>
          </w:p>
        </w:tc>
      </w:tr>
      <w:tr>
        <w:trPr/>
        <w:tc>
          <w:p>
            <w:pPr>
              <w:pStyle w:val="Compact"/>
              <w:jc w:val="left"/>
            </w:pPr>
            <w:r>
              <w:t xml:space="preserve">V15</w:t>
            </w:r>
          </w:p>
        </w:tc>
        <w:tc>
          <w:p>
            <w:pPr>
              <w:pStyle w:val="Compact"/>
              <w:jc w:val="left"/>
            </w:pPr>
            <w:r>
              <w:t xml:space="preserve">事件中心</w:t>
            </w:r>
          </w:p>
        </w:tc>
        <w:tc>
          <w:p>
            <w:pPr>
              <w:pStyle w:val="Compact"/>
              <w:jc w:val="left"/>
            </w:pPr>
            <w:r>
              <w:t xml:space="preserve">跌倒和诈骗告警</w:t>
            </w:r>
          </w:p>
        </w:tc>
        <w:tc>
          <w:p>
            <w:pPr>
              <w:pStyle w:val="Compact"/>
              <w:jc w:val="left"/>
            </w:pPr>
            <w:r>
              <w:rPr>
                <w:rStyle w:val="VerbatimChar"/>
              </w:rPr>
              <w:t xml:space="preserve">/events</w:t>
            </w:r>
          </w:p>
        </w:tc>
        <w:tc>
          <w:p>
            <w:pPr>
              <w:pStyle w:val="Compact"/>
              <w:jc w:val="left"/>
            </w:pPr>
            <w:r>
              <w:t xml:space="preserve">仅真实高风险生命周期进入，类型可区分</w:t>
            </w:r>
          </w:p>
        </w:tc>
      </w:tr>
    </w:tbl>
    <w:bookmarkEnd w:id="28"/>
    <w:bookmarkStart w:id="44" w:name="详细验证步骤"/>
    <w:p>
      <w:pPr>
        <w:pStyle w:val="2"/>
      </w:pPr>
      <w:r>
        <w:t xml:space="preserve">4 详细验证步骤</w:t>
      </w:r>
    </w:p>
    <w:bookmarkStart w:id="29" w:name="v01-全栈部署与健康"/>
    <w:p>
      <w:pPr>
        <w:pStyle w:val="3"/>
      </w:pPr>
      <w:r>
        <w:t xml:space="preserve">4.1 V01 全栈部署与健康</w:t>
      </w:r>
    </w:p>
    <w:p>
      <w:pPr>
        <w:pStyle w:val="FirstParagraph"/>
      </w:pPr>
      <w:r>
        <w:rPr>
          <w:bCs/>
          <w:b/>
        </w:rPr>
        <w:t xml:space="preserve">验证目标。</w:t>
      </w:r>
      <w:r>
        <w:t xml:space="preserve"> </w:t>
      </w:r>
      <w:r>
        <w:t xml:space="preserve">证明提交源码在目标主机可以构建并启动完整服务，而不是只展示开发截图。</w:t>
      </w:r>
    </w:p>
    <w:p>
      <w:pPr>
        <w:pStyle w:val="8"/>
      </w:pPr>
      <w:r>
        <w:rPr>
          <w:bCs/>
          <w:b/>
        </w:rPr>
        <w:t xml:space="preserve">前置条件。</w:t>
      </w:r>
      <w:r>
        <w:t xml:space="preserve"> </w:t>
      </w:r>
      <w:r>
        <w:rPr>
          <w:rStyle w:val="VerbatimChar"/>
        </w:rPr>
        <w:t xml:space="preserve">.env</w:t>
      </w:r>
      <w:r>
        <w:t xml:space="preserve"> </w:t>
      </w:r>
      <w:r>
        <w:t xml:space="preserve">和模型挂载已按部署文档配置，Docker daemon 和 GPU runtime 可用。</w:t>
      </w:r>
    </w:p>
    <w:p>
      <w:pPr>
        <w:pStyle w:val="8"/>
      </w:pPr>
      <w:r>
        <w:rPr>
          <w:bCs/>
          <w:b/>
        </w:rPr>
        <w:t xml:space="preserve">操作。</w:t>
      </w:r>
      <w:r>
        <w:t xml:space="preserve"> </w:t>
      </w:r>
      <w:r>
        <w:t xml:space="preserve">执行</w:t>
      </w:r>
      <w:r>
        <w:t xml:space="preserve"> </w:t>
      </w:r>
      <w:r>
        <w:rPr>
          <w:rStyle w:val="VerbatimChar"/>
        </w:rPr>
        <w:t xml:space="preserve">docker compose up -d --build</w:t>
      </w:r>
      <w:r>
        <w:t xml:space="preserve">，随后执行</w:t>
      </w:r>
      <w:r>
        <w:t xml:space="preserve"> </w:t>
      </w:r>
      <w:r>
        <w:rPr>
          <w:rStyle w:val="VerbatimChar"/>
        </w:rPr>
        <w:t xml:space="preserve">docker compose ps</w:t>
      </w:r>
      <w:r>
        <w:t xml:space="preserve">、</w:t>
      </w:r>
      <w:r>
        <w:rPr>
          <w:rStyle w:val="VerbatimChar"/>
        </w:rPr>
        <w:t xml:space="preserve">curl -f http://localhost:8000/api/health</w:t>
      </w:r>
      <w:r>
        <w:t xml:space="preserve"> </w:t>
      </w:r>
      <w:r>
        <w:t xml:space="preserve">和</w:t>
      </w:r>
      <w:r>
        <w:t xml:space="preserve"> </w:t>
      </w:r>
      <w:r>
        <w:rPr>
          <w:rStyle w:val="VerbatimChar"/>
        </w:rPr>
        <w:t xml:space="preserve">curl -f http://localhost:5173/api/health</w:t>
      </w:r>
      <w:r>
        <w:t xml:space="preserve">。</w:t>
      </w:r>
    </w:p>
    <w:p>
      <w:pPr>
        <w:pStyle w:val="8"/>
      </w:pPr>
      <w:r>
        <w:rPr>
          <w:bCs/>
          <w:b/>
        </w:rPr>
        <w:t xml:space="preserve">预期结果。</w:t>
      </w:r>
      <w:r>
        <w:t xml:space="preserve"> </w:t>
      </w:r>
      <w:r>
        <w:t xml:space="preserve">12 个服务 Up；10 个带健康检查的服务 healthy；两个 health 地址均返回</w:t>
      </w:r>
      <w:r>
        <w:t xml:space="preserve"> </w:t>
      </w:r>
      <w:r>
        <w:rPr>
          <w:rStyle w:val="VerbatimChar"/>
        </w:rPr>
        <w:t xml:space="preserve">status=ok, service=backend</w:t>
      </w:r>
      <w:r>
        <w:t xml:space="preserve">。</w:t>
      </w:r>
    </w:p>
    <w:p>
      <w:pPr>
        <w:pStyle w:val="8"/>
      </w:pPr>
      <w:r>
        <w:rPr>
          <w:bCs/>
          <w:b/>
        </w:rPr>
        <w:t xml:space="preserve">通过标准与证据。</w:t>
      </w:r>
      <w:r>
        <w:t xml:space="preserve"> </w:t>
      </w:r>
      <w:r>
        <w:t xml:space="preserve">保存包含时间、commit 和完整服务列表的终端截图；任一核心服务反复 restarting 判定不通过。</w:t>
      </w:r>
    </w:p>
    <w:bookmarkEnd w:id="29"/>
    <w:bookmarkStart w:id="30" w:name="v02-配置与-secret-安全"/>
    <w:p>
      <w:pPr>
        <w:pStyle w:val="3"/>
      </w:pPr>
      <w:r>
        <w:t xml:space="preserve">4.2 V02 配置与 Secret 安全</w:t>
      </w:r>
    </w:p>
    <w:p>
      <w:pPr>
        <w:pStyle w:val="FirstParagraph"/>
      </w:pPr>
      <w:r>
        <w:rPr>
          <w:bCs/>
          <w:b/>
        </w:rPr>
        <w:t xml:space="preserve">验证目标。</w:t>
      </w:r>
      <w:r>
        <w:t xml:space="preserve"> </w:t>
      </w:r>
      <w:r>
        <w:t xml:space="preserve">证明提交包不包含本机凭据和临时媒体资源。</w:t>
      </w:r>
    </w:p>
    <w:p>
      <w:pPr>
        <w:pStyle w:val="8"/>
      </w:pPr>
      <w:r>
        <w:rPr>
          <w:bCs/>
          <w:b/>
        </w:rPr>
        <w:t xml:space="preserve">操作。</w:t>
      </w:r>
      <w:r>
        <w:t xml:space="preserve"> </w:t>
      </w:r>
      <w:r>
        <w:t xml:space="preserve">执行</w:t>
      </w:r>
      <w:r>
        <w:t xml:space="preserve"> </w:t>
      </w:r>
      <w:r>
        <w:rPr>
          <w:rStyle w:val="VerbatimChar"/>
        </w:rPr>
        <w:t xml:space="preserve">git check-ignore -v .env</w:t>
      </w:r>
      <w:r>
        <w:t xml:space="preserve">、</w:t>
      </w:r>
      <w:r>
        <w:rPr>
          <w:rStyle w:val="VerbatimChar"/>
        </w:rPr>
        <w:t xml:space="preserve">git status --ignored --short .env</w:t>
      </w:r>
      <w:r>
        <w:t xml:space="preserve">，并对受版本控制文件搜索 password、secret、token、appkey、appsecret、authorization、api_key、private_key。搜索程序只输出文件和命中类型，不打印实际值。</w:t>
      </w:r>
    </w:p>
    <w:p>
      <w:pPr>
        <w:pStyle w:val="8"/>
      </w:pPr>
      <w:r>
        <w:rPr>
          <w:bCs/>
          <w:b/>
        </w:rPr>
        <w:t xml:space="preserve">预期结果。</w:t>
      </w:r>
      <w:r>
        <w:t xml:space="preserve"> </w:t>
      </w:r>
      <w:r>
        <w:rPr>
          <w:rStyle w:val="VerbatimChar"/>
        </w:rPr>
        <w:t xml:space="preserve">.env</w:t>
      </w:r>
      <w:r>
        <w:t xml:space="preserve"> </w:t>
      </w:r>
      <w:r>
        <w:t xml:space="preserve">被</w:t>
      </w:r>
      <w:r>
        <w:t xml:space="preserve"> </w:t>
      </w:r>
      <w:r>
        <w:rPr>
          <w:rStyle w:val="VerbatimChar"/>
        </w:rPr>
        <w:t xml:space="preserve">.gitignore</w:t>
      </w:r>
      <w:r>
        <w:t xml:space="preserve"> </w:t>
      </w:r>
      <w:r>
        <w:t xml:space="preserve">命中；</w:t>
      </w:r>
      <w:r>
        <w:rPr>
          <w:rStyle w:val="VerbatimChar"/>
        </w:rPr>
        <w:t xml:space="preserve">.env.example</w:t>
      </w:r>
      <w:r>
        <w:t xml:space="preserve"> </w:t>
      </w:r>
      <w:r>
        <w:t xml:space="preserve">只有</w:t>
      </w:r>
      <w:r>
        <w:t xml:space="preserve"> </w:t>
      </w:r>
      <w:r>
        <w:rPr>
          <w:rStyle w:val="VerbatimChar"/>
        </w:rPr>
        <w:t xml:space="preserve">your_app_key</w:t>
      </w:r>
      <w:r>
        <w:t xml:space="preserve">、</w:t>
      </w:r>
      <w:r>
        <w:rPr>
          <w:rStyle w:val="VerbatimChar"/>
        </w:rPr>
        <w:t xml:space="preserve">your_app_secret</w:t>
      </w:r>
      <w:r>
        <w:t xml:space="preserve">、</w:t>
      </w:r>
      <w:r>
        <w:rPr>
          <w:rStyle w:val="VerbatimChar"/>
        </w:rPr>
        <w:t xml:space="preserve">change-me</w:t>
      </w:r>
      <w:r>
        <w:t xml:space="preserve"> </w:t>
      </w:r>
      <w:r>
        <w:t xml:space="preserve">等占位符；源码、测试和文档不包含真实 AccessToken、完整播放地址或 SSH 私钥。</w:t>
      </w:r>
    </w:p>
    <w:p>
      <w:pPr>
        <w:pStyle w:val="8"/>
      </w:pPr>
      <w:r>
        <w:rPr>
          <w:bCs/>
          <w:b/>
        </w:rPr>
        <w:t xml:space="preserve">通过标准与证据。</w:t>
      </w:r>
      <w:r>
        <w:t xml:space="preserve"> </w:t>
      </w:r>
      <w:r>
        <w:t xml:space="preserve">保存 ignore 规则和脱敏扫描摘要。发现真实凭据立即停止交付并轮换相关凭据。</w:t>
      </w:r>
    </w:p>
    <w:bookmarkEnd w:id="30"/>
    <w:bookmarkStart w:id="31" w:name="v03-ezviz-设备接入"/>
    <w:p>
      <w:pPr>
        <w:pStyle w:val="3"/>
      </w:pPr>
      <w:r>
        <w:t xml:space="preserve">4.3 V03 EZVIZ 设备接入</w:t>
      </w:r>
    </w:p>
    <w:p>
      <w:pPr>
        <w:pStyle w:val="FirstParagraph"/>
      </w:pPr>
      <w:r>
        <w:rPr>
          <w:bCs/>
          <w:b/>
        </w:rPr>
        <w:t xml:space="preserve">验证目标。</w:t>
      </w:r>
      <w:r>
        <w:t xml:space="preserve"> </w:t>
      </w:r>
      <w:r>
        <w:t xml:space="preserve">证明系统通过萤石开放平台查询真实设备，而非 Mock 列表。</w:t>
      </w:r>
    </w:p>
    <w:p>
      <w:pPr>
        <w:pStyle w:val="8"/>
      </w:pPr>
      <w:r>
        <w:rPr>
          <w:bCs/>
          <w:b/>
        </w:rPr>
        <w:t xml:space="preserve">操作。</w:t>
      </w:r>
      <w:r>
        <w:t xml:space="preserve"> </w:t>
      </w:r>
      <w:r>
        <w:t xml:space="preserve">打开</w:t>
      </w:r>
      <w:r>
        <w:t xml:space="preserve"> </w:t>
      </w:r>
      <w:r>
        <w:rPr>
          <w:rStyle w:val="VerbatimChar"/>
        </w:rPr>
        <w:t xml:space="preserve">/devices</w:t>
      </w:r>
      <w:r>
        <w:t xml:space="preserve">，同时调用</w:t>
      </w:r>
      <w:r>
        <w:t xml:space="preserve"> </w:t>
      </w:r>
      <w:r>
        <w:rPr>
          <w:rStyle w:val="VerbatimChar"/>
        </w:rPr>
        <w:t xml:space="preserve">/api/integrations/ezviz/status</w:t>
      </w:r>
      <w:r>
        <w:t xml:space="preserve"> </w:t>
      </w:r>
      <w:r>
        <w:t xml:space="preserve">和</w:t>
      </w:r>
      <w:r>
        <w:t xml:space="preserve"> </w:t>
      </w:r>
      <w:r>
        <w:rPr>
          <w:rStyle w:val="VerbatimChar"/>
        </w:rPr>
        <w:t xml:space="preserve">/api/devices</w:t>
      </w:r>
      <w:r>
        <w:t xml:space="preserve">。在萤石控制台确认同一账号下设备在线。</w:t>
      </w:r>
    </w:p>
    <w:p>
      <w:pPr>
        <w:pStyle w:val="8"/>
      </w:pPr>
      <w:r>
        <w:rPr>
          <w:bCs/>
          <w:b/>
        </w:rPr>
        <w:t xml:space="preserve">预期结果。</w:t>
      </w:r>
      <w:r>
        <w:t xml:space="preserve"> </w:t>
      </w:r>
      <w:r>
        <w:t xml:space="preserve">status 返回 configured=true、reachable=true；CareShield 显示 1 台 EZVIZ H6c、型号 CS-H6c-V200-8H8WFL、Online，序列号脱敏。</w:t>
      </w:r>
    </w:p>
    <w:p>
      <w:pPr>
        <w:pStyle w:val="8"/>
      </w:pPr>
      <w:r>
        <w:rPr>
          <w:bCs/>
          <w:b/>
        </w:rPr>
        <w:t xml:space="preserve">通过标准与证据。</w:t>
      </w:r>
      <w:r>
        <w:t xml:space="preserve"> </w:t>
      </w:r>
      <w:r>
        <w:t xml:space="preserve">CareShield 与萤石控制台设备型号和状态一致。截图不展示 AppSecret、AccessToken 和完整序列号。</w:t>
      </w:r>
    </w:p>
    <w:bookmarkEnd w:id="31"/>
    <w:bookmarkStart w:id="32" w:name="v04-浏览器低延迟实时画面与音频"/>
    <w:p>
      <w:pPr>
        <w:pStyle w:val="3"/>
      </w:pPr>
      <w:r>
        <w:t xml:space="preserve">4.4 V04 浏览器低延迟实时画面与音频</w:t>
      </w:r>
    </w:p>
    <w:p>
      <w:pPr>
        <w:pStyle w:val="FirstParagraph"/>
      </w:pPr>
      <w:r>
        <w:rPr>
          <w:bCs/>
          <w:b/>
        </w:rPr>
        <w:t xml:space="preserve">验证目标。</w:t>
      </w:r>
      <w:r>
        <w:t xml:space="preserve"> </w:t>
      </w:r>
      <w:r>
        <w:t xml:space="preserve">证明综合首页播放的是当前 H6c 实时画面，而不是测试视频或平台错误提示流。</w:t>
      </w:r>
    </w:p>
    <w:p>
      <w:pPr>
        <w:pStyle w:val="8"/>
      </w:pPr>
      <w:r>
        <w:rPr>
          <w:bCs/>
          <w:b/>
        </w:rPr>
        <w:t xml:space="preserve">输入。</w:t>
      </w:r>
      <w:r>
        <w:t xml:space="preserve"> </w:t>
      </w:r>
      <w:r>
        <w:t xml:space="preserve">在摄像机前移动具有明显颜色和位置特征的物体，并发出可辨识声音。</w:t>
      </w:r>
    </w:p>
    <w:p>
      <w:pPr>
        <w:pStyle w:val="8"/>
      </w:pPr>
      <w:r>
        <w:rPr>
          <w:bCs/>
          <w:b/>
        </w:rPr>
        <w:t xml:space="preserve">操作。</w:t>
      </w:r>
      <w:r>
        <w:t xml:space="preserve"> </w:t>
      </w:r>
      <w:r>
        <w:t xml:space="preserve">打开</w:t>
      </w:r>
      <w:r>
        <w:t xml:space="preserve"> </w:t>
      </w:r>
      <w:r>
        <w:rPr>
          <w:rStyle w:val="VerbatimChar"/>
        </w:rPr>
        <w:t xml:space="preserve">/dashboard</w:t>
      </w:r>
      <w:r>
        <w:t xml:space="preserve">，等待官方播放器 LIVE；记录摄像机前动作和网页画面的同屏视频；切换全屏后按 Esc 退出，再测试控制栏、声音和刷新。</w:t>
      </w:r>
    </w:p>
    <w:p>
      <w:pPr>
        <w:pStyle w:val="8"/>
      </w:pPr>
      <w:r>
        <w:rPr>
          <w:bCs/>
          <w:b/>
        </w:rPr>
        <w:t xml:space="preserve">预期结果。</w:t>
      </w:r>
      <w:r>
        <w:t xml:space="preserve"> </w:t>
      </w:r>
      <w:r>
        <w:t xml:space="preserve">页面画面随现场动作变化，比例保持正常；全屏退出后控制按钮可见；声音可通过官方控件播放；刷新会销毁旧实例并获取新会话。</w:t>
      </w:r>
    </w:p>
    <w:p>
      <w:pPr>
        <w:pStyle w:val="8"/>
      </w:pPr>
      <w:r>
        <w:rPr>
          <w:bCs/>
          <w:b/>
        </w:rPr>
        <w:t xml:space="preserve">通过标准与证据。</w:t>
      </w:r>
      <w:r>
        <w:t xml:space="preserve"> </w:t>
      </w:r>
      <w:r>
        <w:t xml:space="preserve">同屏录制能确认真实内容。仅 firstFrame 或 media request 成功不判定通过。精确延迟需使用统一时钟逐帧测量，不凭主观</w:t>
      </w:r>
      <w:r>
        <w:t xml:space="preserve">“</w:t>
      </w:r>
      <w:r>
        <w:t xml:space="preserve">几乎无延迟</w:t>
      </w:r>
      <w:r>
        <w:t xml:space="preserve">”</w:t>
      </w:r>
      <w:r>
        <w:t xml:space="preserve">填写数值。</w:t>
      </w:r>
    </w:p>
    <w:bookmarkEnd w:id="32"/>
    <w:bookmarkStart w:id="33" w:name="v05-服务端媒体与多消费者"/>
    <w:p>
      <w:pPr>
        <w:pStyle w:val="3"/>
      </w:pPr>
      <w:r>
        <w:t xml:space="preserve">4.5 V05 服务端媒体与多消费者</w:t>
      </w:r>
    </w:p>
    <w:p>
      <w:pPr>
        <w:pStyle w:val="FirstParagraph"/>
      </w:pPr>
      <w:r>
        <w:rPr>
          <w:bCs/>
          <w:b/>
        </w:rPr>
        <w:t xml:space="preserve">验证目标。</w:t>
      </w:r>
      <w:r>
        <w:t xml:space="preserve"> </w:t>
      </w:r>
      <w:r>
        <w:t xml:space="preserve">证明 Linux 算法侧能解码真实媒体，并由单一中继同时服务视频与音频 Worker。</w:t>
      </w:r>
    </w:p>
    <w:p>
      <w:pPr>
        <w:pStyle w:val="8"/>
      </w:pPr>
      <w:r>
        <w:rPr>
          <w:bCs/>
          <w:b/>
        </w:rPr>
        <w:t xml:space="preserve">操作。</w:t>
      </w:r>
      <w:r>
        <w:t xml:space="preserve"> </w:t>
      </w:r>
      <w:r>
        <w:t xml:space="preserve">调用 media-info 获取安全元数据，查看 media-relay、ai-worker、fraud-worker health；连续观察两 Worker 的 stream/audio status。</w:t>
      </w:r>
    </w:p>
    <w:p>
      <w:pPr>
        <w:pStyle w:val="8"/>
      </w:pPr>
      <w:r>
        <w:rPr>
          <w:bCs/>
          <w:b/>
        </w:rPr>
        <w:t xml:space="preserve">预期结果。</w:t>
      </w:r>
      <w:r>
        <w:t xml:space="preserve"> </w:t>
      </w:r>
      <w:r>
        <w:t xml:space="preserve">视频为 HEVC/H.265 Main、1920×1080、约15FPS、yuv420p；音频存在，为 AAC LC、16kHz、mono；relay healthy，实时跌倒 stream connected，诈骗 audio connected。</w:t>
      </w:r>
    </w:p>
    <w:p>
      <w:pPr>
        <w:pStyle w:val="8"/>
      </w:pPr>
      <w:r>
        <w:rPr>
          <w:bCs/>
          <w:b/>
        </w:rPr>
        <w:t xml:space="preserve">通过标准与证据。</w:t>
      </w:r>
      <w:r>
        <w:t xml:space="preserve"> </w:t>
      </w:r>
      <w:r>
        <w:t xml:space="preserve">元数据与 H6c 会话一致，响应不含 URL。两个 Worker 同时工作时不需要分别向前端暴露媒体地址。</w:t>
      </w:r>
    </w:p>
    <w:bookmarkEnd w:id="33"/>
    <w:bookmarkStart w:id="34" w:name="v06-人物姿态与追踪"/>
    <w:p>
      <w:pPr>
        <w:pStyle w:val="3"/>
      </w:pPr>
      <w:r>
        <w:t xml:space="preserve">4.6 V06 人物、姿态与追踪</w:t>
      </w:r>
    </w:p>
    <w:p>
      <w:pPr>
        <w:pStyle w:val="FirstParagraph"/>
      </w:pPr>
      <w:r>
        <w:rPr>
          <w:bCs/>
          <w:b/>
        </w:rPr>
        <w:t xml:space="preserve">验证目标。</w:t>
      </w:r>
      <w:r>
        <w:t xml:space="preserve"> </w:t>
      </w:r>
      <w:r>
        <w:t xml:space="preserve">验证人物存在检测、COCO17 骨架和轻量 ID 关联在日常动作中的行为。</w:t>
      </w:r>
    </w:p>
    <w:p>
      <w:pPr>
        <w:pStyle w:val="8"/>
      </w:pPr>
      <w:r>
        <w:rPr>
          <w:bCs/>
          <w:b/>
        </w:rPr>
        <w:t xml:space="preserve">输入。</w:t>
      </w:r>
      <w:r>
        <w:t xml:space="preserve"> </w:t>
      </w:r>
      <w:r>
        <w:t xml:space="preserve">一人进入、走动、短时被家具遮挡、侧身、弯腰和安全躺下；多人测试另行登记。</w:t>
      </w:r>
    </w:p>
    <w:p>
      <w:pPr>
        <w:pStyle w:val="8"/>
      </w:pPr>
      <w:r>
        <w:rPr>
          <w:bCs/>
          <w:b/>
        </w:rPr>
        <w:t xml:space="preserve">操作。</w:t>
      </w:r>
      <w:r>
        <w:t xml:space="preserve"> </w:t>
      </w:r>
      <w:r>
        <w:t xml:space="preserve">打开</w:t>
      </w:r>
      <w:r>
        <w:t xml:space="preserve"> </w:t>
      </w:r>
      <w:r>
        <w:rPr>
          <w:rStyle w:val="VerbatimChar"/>
        </w:rPr>
        <w:t xml:space="preserve">/fall-detection</w:t>
      </w:r>
      <w:r>
        <w:t xml:space="preserve">，观察人物框、骨架、person_count、keypoint confidence、track ID 和 warming_up。离开画面后继续观察状态。</w:t>
      </w:r>
    </w:p>
    <w:p>
      <w:pPr>
        <w:pStyle w:val="8"/>
      </w:pPr>
      <w:r>
        <w:rPr>
          <w:bCs/>
          <w:b/>
        </w:rPr>
        <w:t xml:space="preserve">预期结果。</w:t>
      </w:r>
      <w:r>
        <w:t xml:space="preserve"> </w:t>
      </w:r>
      <w:r>
        <w:t xml:space="preserve">站立和走动时人物框与骨架跟随；短时遮挡后尽量保持同一 ID；横卧姿态关键点不足时人物框仍可存在；无人、低置信或 warming_up 不显示 Normal。</w:t>
      </w:r>
    </w:p>
    <w:p>
      <w:pPr>
        <w:pStyle w:val="8"/>
      </w:pPr>
      <w:r>
        <w:rPr>
          <w:bCs/>
          <w:b/>
        </w:rPr>
        <w:t xml:space="preserve">通过标准与证据。</w:t>
      </w:r>
      <w:r>
        <w:t xml:space="preserve"> </w:t>
      </w:r>
      <w:r>
        <w:t xml:space="preserve">保存连续录屏而非单帧截图。多框、ID 切换、横卧漏检应作为误差样例登记，不删除失败片段。</w:t>
      </w:r>
    </w:p>
    <w:bookmarkEnd w:id="34"/>
    <w:bookmarkStart w:id="35" w:name="v07-实时跌倒告警与人工确认"/>
    <w:p>
      <w:pPr>
        <w:pStyle w:val="3"/>
      </w:pPr>
      <w:r>
        <w:t xml:space="preserve">4.7 V07 实时跌倒、告警与人工确认</w:t>
      </w:r>
    </w:p>
    <w:p>
      <w:pPr>
        <w:pStyle w:val="FirstParagraph"/>
      </w:pPr>
      <w:r>
        <w:rPr>
          <w:bCs/>
          <w:b/>
        </w:rPr>
        <w:t xml:space="preserve">验证目标。</w:t>
      </w:r>
      <w:r>
        <w:t xml:space="preserve"> </w:t>
      </w:r>
      <w:r>
        <w:t xml:space="preserve">验证 STGCN-Extend 真实结果、状态机和告警后处理。</w:t>
      </w:r>
    </w:p>
    <w:p>
      <w:pPr>
        <w:pStyle w:val="8"/>
      </w:pPr>
      <w:r>
        <w:rPr>
          <w:bCs/>
          <w:b/>
        </w:rPr>
        <w:t xml:space="preserve">输入。</w:t>
      </w:r>
      <w:r>
        <w:t xml:space="preserve"> </w:t>
      </w:r>
      <w:r>
        <w:t xml:space="preserve">合法跌倒测试视频在摄像机前播放，或健康成年人在软垫和保护人员条件下安全模拟；禁止老人危险测试。</w:t>
      </w:r>
    </w:p>
    <w:p>
      <w:pPr>
        <w:pStyle w:val="8"/>
      </w:pPr>
      <w:r>
        <w:rPr>
          <w:bCs/>
          <w:b/>
        </w:rPr>
        <w:t xml:space="preserve">操作。</w:t>
      </w:r>
      <w:r>
        <w:t xml:space="preserve"> </w:t>
      </w:r>
      <w:r>
        <w:t xml:space="preserve">从人物稳定出现开始录屏，观察 warming_up、suspected_fall、fallen 和 recovering；出现红色告警后等待至少 15 秒并点击人工确认；恢复直立后继续观察。</w:t>
      </w:r>
    </w:p>
    <w:p>
      <w:pPr>
        <w:pStyle w:val="8"/>
      </w:pPr>
      <w:r>
        <w:rPr>
          <w:bCs/>
          <w:b/>
        </w:rPr>
        <w:t xml:space="preserve">预期结果。</w:t>
      </w:r>
      <w:r>
        <w:t xml:space="preserve"> </w:t>
      </w:r>
      <w:r>
        <w:t xml:space="preserve">结果</w:t>
      </w:r>
      <w:r>
        <w:t xml:space="preserve"> </w:t>
      </w:r>
      <w:r>
        <w:rPr>
          <w:rStyle w:val="VerbatimChar"/>
        </w:rPr>
        <w:t xml:space="preserve">task=fall_detection</w:t>
      </w:r>
      <w:r>
        <w:t xml:space="preserve">、</w:t>
      </w:r>
      <w:r>
        <w:rPr>
          <w:rStyle w:val="VerbatimChar"/>
        </w:rPr>
        <w:t xml:space="preserve">simulated=false</w:t>
      </w:r>
      <w:r>
        <w:t xml:space="preserve">；可靠骨架积累后产生 fall_score；达到 0.65 进入 FALLEN，红色条幅和人工确认控件出现；未确认告警至少保留 15 秒；确认后关闭本次展示；恢复需连续低分窗口。</w:t>
      </w:r>
    </w:p>
    <w:p>
      <w:pPr>
        <w:pStyle w:val="8"/>
      </w:pPr>
      <w:r>
        <w:rPr>
          <w:bCs/>
          <w:b/>
        </w:rPr>
        <w:t xml:space="preserve">通过标准与证据。</w:t>
      </w:r>
      <w:r>
        <w:t xml:space="preserve"> </w:t>
      </w:r>
      <w:r>
        <w:t xml:space="preserve">页面、WebSocket 结果和事件时间一致。只出现疑似跌倒不能记作 fallen 成功，应保留为漏检/阈值样例。</w:t>
      </w:r>
    </w:p>
    <w:bookmarkEnd w:id="35"/>
    <w:bookmarkStart w:id="36" w:name="v08-摄像机采集跌倒风险评估"/>
    <w:p>
      <w:pPr>
        <w:pStyle w:val="3"/>
      </w:pPr>
      <w:r>
        <w:t xml:space="preserve">4.8 V08 摄像机采集跌倒风险评估</w:t>
      </w:r>
    </w:p>
    <w:p>
      <w:pPr>
        <w:pStyle w:val="FirstParagraph"/>
      </w:pPr>
      <w:r>
        <w:rPr>
          <w:bCs/>
          <w:b/>
        </w:rPr>
        <w:t xml:space="preserve">验证目标。</w:t>
      </w:r>
      <w:r>
        <w:t xml:space="preserve"> </w:t>
      </w:r>
      <w:r>
        <w:t xml:space="preserve">验证点击时刻采集、批处理进度和历史产物。</w:t>
      </w:r>
    </w:p>
    <w:p>
      <w:pPr>
        <w:pStyle w:val="8"/>
      </w:pPr>
      <w:r>
        <w:rPr>
          <w:bCs/>
          <w:b/>
        </w:rPr>
        <w:t xml:space="preserve">输入。</w:t>
      </w:r>
      <w:r>
        <w:t xml:space="preserve"> </w:t>
      </w:r>
      <w:r>
        <w:t xml:space="preserve">固定机位、全身与双脚持续可见的直线自然行走，填写姓名、性别、年龄和身高。姓名使用测试编号，不输入身份证等信息。</w:t>
      </w:r>
    </w:p>
    <w:p>
      <w:pPr>
        <w:pStyle w:val="8"/>
      </w:pPr>
      <w:r>
        <w:rPr>
          <w:bCs/>
          <w:b/>
        </w:rPr>
        <w:t xml:space="preserve">操作。</w:t>
      </w:r>
      <w:r>
        <w:t xml:space="preserve"> </w:t>
      </w:r>
      <w:r>
        <w:t xml:space="preserve">在</w:t>
      </w:r>
      <w:r>
        <w:t xml:space="preserve"> </w:t>
      </w:r>
      <w:r>
        <w:rPr>
          <w:rStyle w:val="VerbatimChar"/>
        </w:rPr>
        <w:t xml:space="preserve">/fall-risk</w:t>
      </w:r>
      <w:r>
        <w:t xml:space="preserve"> </w:t>
      </w:r>
      <w:r>
        <w:t xml:space="preserve">选择摄像机采集，提交后观察进度；完成后查看输入视频、人体网格、8 项重点参数、全部参数、跌倒风险与运动功能结果；刷新页面并从历史记录重新打开。</w:t>
      </w:r>
    </w:p>
    <w:p>
      <w:pPr>
        <w:pStyle w:val="8"/>
      </w:pPr>
      <w:r>
        <w:rPr>
          <w:bCs/>
          <w:b/>
        </w:rPr>
        <w:t xml:space="preserve">预期结果。</w:t>
      </w:r>
      <w:r>
        <w:t xml:space="preserve"> </w:t>
      </w:r>
      <w:r>
        <w:t xml:space="preserve">采集时间从按钮触发开始；源视频无绿色参考帧；任务依次完成媒体校验、步态、GVHMR 和模型分析；历史记录保留受试者字段和产物。参数不足时字段为 null 并保留质量依据，不补随机数。</w:t>
      </w:r>
    </w:p>
    <w:p>
      <w:pPr>
        <w:pStyle w:val="8"/>
      </w:pPr>
      <w:r>
        <w:rPr>
          <w:bCs/>
          <w:b/>
        </w:rPr>
        <w:t xml:space="preserve">通过标准与证据。</w:t>
      </w:r>
      <w:r>
        <w:t xml:space="preserve"> </w:t>
      </w:r>
      <w:r>
        <w:t xml:space="preserve">输入视频与测试动作对应，刷新后可回看。源视频、SMPL-X 和 JSON 的 assessment_id 一致。</w:t>
      </w:r>
    </w:p>
    <w:bookmarkEnd w:id="36"/>
    <w:bookmarkStart w:id="37" w:name="v09-上传视频跌倒风险评估"/>
    <w:p>
      <w:pPr>
        <w:pStyle w:val="3"/>
      </w:pPr>
      <w:r>
        <w:t xml:space="preserve">4.9 V09 上传视频跌倒风险评估</w:t>
      </w:r>
    </w:p>
    <w:p>
      <w:pPr>
        <w:pStyle w:val="FirstParagraph"/>
      </w:pPr>
      <w:r>
        <w:rPr>
          <w:bCs/>
          <w:b/>
        </w:rPr>
        <w:t xml:space="preserve">验证目标。</w:t>
      </w:r>
      <w:r>
        <w:t xml:space="preserve"> </w:t>
      </w:r>
      <w:r>
        <w:t xml:space="preserve">验证已录制 MP4 与摄像机采集复用同一算法管线。</w:t>
      </w:r>
    </w:p>
    <w:p>
      <w:pPr>
        <w:pStyle w:val="8"/>
      </w:pPr>
      <w:r>
        <w:rPr>
          <w:bCs/>
          <w:b/>
        </w:rPr>
        <w:t xml:space="preserve">输入。</w:t>
      </w:r>
      <w:r>
        <w:t xml:space="preserve"> </w:t>
      </w:r>
      <w:r>
        <w:t xml:space="preserve">8–60 秒、全身可见、已授权 MP4；记录文件 SHA-256。</w:t>
      </w:r>
    </w:p>
    <w:p>
      <w:pPr>
        <w:pStyle w:val="8"/>
      </w:pPr>
      <w:r>
        <w:rPr>
          <w:bCs/>
          <w:b/>
        </w:rPr>
        <w:t xml:space="preserve">操作。</w:t>
      </w:r>
      <w:r>
        <w:t xml:space="preserve"> </w:t>
      </w:r>
      <w:r>
        <w:t xml:space="preserve">选择</w:t>
      </w:r>
      <w:r>
        <w:t xml:space="preserve">“</w:t>
      </w:r>
      <w:r>
        <w:t xml:space="preserve">导入视频</w:t>
      </w:r>
      <w:r>
        <w:t xml:space="preserve">”</w:t>
      </w:r>
      <w:r>
        <w:t xml:space="preserve">，填写受试者信息并上传；记录任务 ID、进度、完成时间和产物；切换其他历史记录后再返回。</w:t>
      </w:r>
    </w:p>
    <w:p>
      <w:pPr>
        <w:pStyle w:val="8"/>
      </w:pPr>
      <w:r>
        <w:rPr>
          <w:bCs/>
          <w:b/>
        </w:rPr>
        <w:t xml:space="preserve">预期结果。</w:t>
      </w:r>
      <w:r>
        <w:t xml:space="preserve"> </w:t>
      </w:r>
      <w:r>
        <w:t xml:space="preserve">SOURCE VIDEO 显示上传文件；同一任务产生参数、SMPL-X、KINECAL 与 MotionCLIP 结果；历史切换时源视频不出现黑框，左右视频与结果均跟随任务。</w:t>
      </w:r>
    </w:p>
    <w:p>
      <w:pPr>
        <w:pStyle w:val="8"/>
      </w:pPr>
      <w:r>
        <w:rPr>
          <w:bCs/>
          <w:b/>
        </w:rPr>
        <w:t xml:space="preserve">通过标准与证据。</w:t>
      </w:r>
      <w:r>
        <w:t xml:space="preserve"> </w:t>
      </w:r>
      <w:r>
        <w:t xml:space="preserve">任务 ID、输入 SHA-256、结果 JSON 和页面截图形成一一对应关系。无可用人体时任务明确失败，不生成虚假风险等级。</w:t>
      </w:r>
    </w:p>
    <w:bookmarkEnd w:id="37"/>
    <w:bookmarkStart w:id="38" w:name="v10-kinecal-跌倒风险分级"/>
    <w:p>
      <w:pPr>
        <w:pStyle w:val="3"/>
      </w:pPr>
      <w:r>
        <w:t xml:space="preserve">4.10 V10 KINECAL 跌倒风险分级</w:t>
      </w:r>
    </w:p>
    <w:p>
      <w:pPr>
        <w:pStyle w:val="FirstParagraph"/>
      </w:pPr>
      <w:r>
        <w:rPr>
          <w:bCs/>
          <w:b/>
        </w:rPr>
        <w:t xml:space="preserve">验证目标。</w:t>
      </w:r>
      <w:r>
        <w:t xml:space="preserve"> </w:t>
      </w:r>
      <w:r>
        <w:t xml:space="preserve">验证世界系骨架进入独立 KINECAL Worker 并生成研究三分类。</w:t>
      </w:r>
    </w:p>
    <w:p>
      <w:pPr>
        <w:pStyle w:val="8"/>
      </w:pPr>
      <w:r>
        <w:rPr>
          <w:bCs/>
          <w:b/>
        </w:rPr>
        <w:t xml:space="preserve">操作。</w:t>
      </w:r>
      <w:r>
        <w:t xml:space="preserve"> </w:t>
      </w:r>
      <w:r>
        <w:t xml:space="preserve">选择已完成 GVHMR 的评估，检查 KINECAL 状态和结果合同。</w:t>
      </w:r>
    </w:p>
    <w:p>
      <w:pPr>
        <w:pStyle w:val="8"/>
      </w:pPr>
      <w:r>
        <w:rPr>
          <w:bCs/>
          <w:b/>
        </w:rPr>
        <w:t xml:space="preserve">预期结果。</w:t>
      </w:r>
      <w:r>
        <w:t xml:space="preserve"> </w:t>
      </w:r>
      <w:r>
        <w:t xml:space="preserve">输入为 H36M-17、120 帧、</w:t>
      </w:r>
      <w:r>
        <w:rPr>
          <w:rStyle w:val="VerbatimChar"/>
        </w:rPr>
        <w:t xml:space="preserve">[N,3,120,17,1]</w:t>
      </w:r>
      <w:r>
        <w:t xml:space="preserve">；输出 NF/FHs/FHm 三类分数、预测标签、low/medium/high 分级和 review 标记。结果不称未来跌倒概率。</w:t>
      </w:r>
    </w:p>
    <w:p>
      <w:pPr>
        <w:pStyle w:val="8"/>
      </w:pPr>
      <w:r>
        <w:rPr>
          <w:bCs/>
          <w:b/>
        </w:rPr>
        <w:t xml:space="preserve">通过标准与证据。</w:t>
      </w:r>
      <w:r>
        <w:t xml:space="preserve"> </w:t>
      </w:r>
      <w:r>
        <w:t xml:space="preserve">页面结果与 artifact JSON 一致，Worker 不接触 EZVIZ Secret、视频地址和前端。分类准确率必须另按第 6 章执行，现场单段结果不作准确率证明。</w:t>
      </w:r>
    </w:p>
    <w:bookmarkEnd w:id="38"/>
    <w:bookmarkStart w:id="39" w:name="v11-motionclip-运动功能评估"/>
    <w:p>
      <w:pPr>
        <w:pStyle w:val="3"/>
      </w:pPr>
      <w:r>
        <w:t xml:space="preserve">4.11 V11 MotionCLIP 运动功能评估</w:t>
      </w:r>
    </w:p>
    <w:p>
      <w:pPr>
        <w:pStyle w:val="FirstParagraph"/>
      </w:pPr>
      <w:r>
        <w:rPr>
          <w:bCs/>
          <w:b/>
        </w:rPr>
        <w:t xml:space="preserve">验证目标。</w:t>
      </w:r>
      <w:r>
        <w:t xml:space="preserve"> </w:t>
      </w:r>
      <w:r>
        <w:t xml:space="preserve">验证 SMPL-X 动作窗口到健康参考距离与运动概念解释的链路。</w:t>
      </w:r>
    </w:p>
    <w:p>
      <w:pPr>
        <w:pStyle w:val="8"/>
      </w:pPr>
      <w:r>
        <w:rPr>
          <w:bCs/>
          <w:b/>
        </w:rPr>
        <w:t xml:space="preserve">操作。</w:t>
      </w:r>
      <w:r>
        <w:t xml:space="preserve"> </w:t>
      </w:r>
      <w:r>
        <w:t xml:space="preserve">对同一已完成评估检查 MotionCLIP 输入、checkpoint profile、输出和解释生成元数据。</w:t>
      </w:r>
    </w:p>
    <w:p>
      <w:pPr>
        <w:pStyle w:val="8"/>
      </w:pPr>
      <w:r>
        <w:rPr>
          <w:bCs/>
          <w:b/>
        </w:rPr>
        <w:t xml:space="preserve">预期结果。</w:t>
      </w:r>
      <w:r>
        <w:t xml:space="preserve"> </w:t>
      </w:r>
      <w:r>
        <w:t xml:space="preserve">输入窗口为</w:t>
      </w:r>
      <w:r>
        <w:t xml:space="preserve"> </w:t>
      </w:r>
      <w:r>
        <w:rPr>
          <w:rStyle w:val="VerbatimChar"/>
        </w:rPr>
        <w:t xml:space="preserve">[B,25,6,60]</w:t>
      </w:r>
      <w:r>
        <w:t xml:space="preserve">；输出健康参考距离、低/中/高参考偏离区间和 8 项运动概念；Qwen 只组织已有数据为自然语言，不修改模型分级。</w:t>
      </w:r>
    </w:p>
    <w:p>
      <w:pPr>
        <w:pStyle w:val="8"/>
      </w:pPr>
      <w:r>
        <w:rPr>
          <w:bCs/>
          <w:b/>
        </w:rPr>
        <w:t xml:space="preserve">通过标准与证据。</w:t>
      </w:r>
      <w:r>
        <w:t xml:space="preserve"> </w:t>
      </w:r>
      <w:r>
        <w:t xml:space="preserve">数值、概念和解释可追溯到同一 assessment。页面名称使用</w:t>
      </w:r>
      <w:r>
        <w:t xml:space="preserve">“</w:t>
      </w:r>
      <w:r>
        <w:t xml:space="preserve">基于 MotionCLIP 的神经退行性疾病相关运动功能评估技术</w:t>
      </w:r>
      <w:r>
        <w:t xml:space="preserve">”</w:t>
      </w:r>
      <w:r>
        <w:t xml:space="preserve">，不展示疾病诊断结论。</w:t>
      </w:r>
    </w:p>
    <w:bookmarkEnd w:id="39"/>
    <w:bookmarkStart w:id="40" w:name="v12-诈骗识别与告警确认"/>
    <w:p>
      <w:pPr>
        <w:pStyle w:val="3"/>
      </w:pPr>
      <w:r>
        <w:t xml:space="preserve">4.12 V12 诈骗识别与告警确认</w:t>
      </w:r>
    </w:p>
    <w:p>
      <w:pPr>
        <w:pStyle w:val="FirstParagraph"/>
      </w:pPr>
      <w:r>
        <w:rPr>
          <w:bCs/>
          <w:b/>
        </w:rPr>
        <w:t xml:space="preserve">验证目标。</w:t>
      </w:r>
      <w:r>
        <w:t xml:space="preserve"> </w:t>
      </w:r>
      <w:r>
        <w:t xml:space="preserve">验证 H6c 音频、SenseVoiceSmall、规则/上下文/Qwen 和告警状态。</w:t>
      </w:r>
    </w:p>
    <w:p>
      <w:pPr>
        <w:pStyle w:val="8"/>
      </w:pPr>
      <w:r>
        <w:rPr>
          <w:bCs/>
          <w:b/>
        </w:rPr>
        <w:t xml:space="preserve">输入。</w:t>
      </w:r>
      <w:r>
        <w:t xml:space="preserve"> </w:t>
      </w:r>
      <w:r>
        <w:t xml:space="preserve">一组正常对话与一组虚构诈骗话术，例如要求向</w:t>
      </w:r>
      <w:r>
        <w:t xml:space="preserve">“</w:t>
      </w:r>
      <w:r>
        <w:t xml:space="preserve">安全账户</w:t>
      </w:r>
      <w:r>
        <w:t xml:space="preserve">”</w:t>
      </w:r>
      <w:r>
        <w:t xml:space="preserve">转账并提供验证码；不使用真实身份和账号。</w:t>
      </w:r>
    </w:p>
    <w:p>
      <w:pPr>
        <w:pStyle w:val="8"/>
      </w:pPr>
      <w:r>
        <w:rPr>
          <w:bCs/>
          <w:b/>
        </w:rPr>
        <w:t xml:space="preserve">操作。</w:t>
      </w:r>
      <w:r>
        <w:t xml:space="preserve"> </w:t>
      </w:r>
      <w:r>
        <w:t xml:space="preserve">打开</w:t>
      </w:r>
      <w:r>
        <w:t xml:space="preserve"> </w:t>
      </w:r>
      <w:r>
        <w:rPr>
          <w:rStyle w:val="VerbatimChar"/>
        </w:rPr>
        <w:t xml:space="preserve">/fraud-risk</w:t>
      </w:r>
      <w:r>
        <w:t xml:space="preserve">，先播放正常语音，后播放高风险语音；观察转写、</w:t>
      </w:r>
      <w:r>
        <w:rPr>
          <w:rStyle w:val="VerbatimChar"/>
        </w:rPr>
        <w:t xml:space="preserve">llm_used</w:t>
      </w:r>
      <w:r>
        <w:t xml:space="preserve">、证据、风险状态和事件；告警后点击人工处理。</w:t>
      </w:r>
    </w:p>
    <w:p>
      <w:pPr>
        <w:pStyle w:val="8"/>
      </w:pPr>
      <w:r>
        <w:rPr>
          <w:bCs/>
          <w:b/>
        </w:rPr>
        <w:t xml:space="preserve">预期结果。</w:t>
      </w:r>
      <w:r>
        <w:t xml:space="preserve"> </w:t>
      </w:r>
      <w:r>
        <w:t xml:space="preserve">Audio connected、SenseVoice ready、Qwen ready；正常语音不形成 warning/critical；高风险组合达到告警时显示红色条幅和处理按钮；发布文本脱敏限长；人工确认只处理当前生命周期。</w:t>
      </w:r>
    </w:p>
    <w:p>
      <w:pPr>
        <w:pStyle w:val="8"/>
      </w:pPr>
      <w:r>
        <w:rPr>
          <w:bCs/>
          <w:b/>
        </w:rPr>
        <w:t xml:space="preserve">通过标准与证据。</w:t>
      </w:r>
      <w:r>
        <w:t xml:space="preserve"> </w:t>
      </w:r>
      <w:r>
        <w:t xml:space="preserve">页面、WebSocket 与事件记录一致，原始音频未写入数据目录和日志。语音播报接口默认关闭，不把预留能力列为成功项。</w:t>
      </w:r>
    </w:p>
    <w:bookmarkEnd w:id="40"/>
    <w:bookmarkStart w:id="41" w:name="v13-redis-与-websocket"/>
    <w:p>
      <w:pPr>
        <w:pStyle w:val="3"/>
      </w:pPr>
      <w:r>
        <w:t xml:space="preserve">4.13 V13 Redis 与 WebSocket</w:t>
      </w:r>
    </w:p>
    <w:p>
      <w:pPr>
        <w:pStyle w:val="FirstParagraph"/>
      </w:pPr>
      <w:r>
        <w:rPr>
          <w:bCs/>
          <w:b/>
        </w:rPr>
        <w:t xml:space="preserve">验证目标。</w:t>
      </w:r>
      <w:r>
        <w:t xml:space="preserve"> </w:t>
      </w:r>
      <w:r>
        <w:t xml:space="preserve">证明实时结果从 Worker 到浏览器使用统一链路，刷新后状态可恢复。</w:t>
      </w:r>
    </w:p>
    <w:p>
      <w:pPr>
        <w:pStyle w:val="8"/>
      </w:pPr>
      <w:r>
        <w:rPr>
          <w:bCs/>
          <w:b/>
        </w:rPr>
        <w:t xml:space="preserve">操作。</w:t>
      </w:r>
      <w:r>
        <w:t xml:space="preserve"> </w:t>
      </w:r>
      <w:r>
        <w:t xml:space="preserve">打开</w:t>
      </w:r>
      <w:r>
        <w:t xml:space="preserve"> </w:t>
      </w:r>
      <w:r>
        <w:rPr>
          <w:rStyle w:val="VerbatimChar"/>
        </w:rPr>
        <w:t xml:space="preserve">/algorithms</w:t>
      </w:r>
      <w:r>
        <w:t xml:space="preserve"> </w:t>
      </w:r>
      <w:r>
        <w:t xml:space="preserve">和一个业务页面；触发明确的开发 pipeline test，再触发一条真实业务结果；断开浏览器网络后恢复。</w:t>
      </w:r>
    </w:p>
    <w:p>
      <w:pPr>
        <w:pStyle w:val="8"/>
      </w:pPr>
      <w:r>
        <w:rPr>
          <w:bCs/>
          <w:b/>
        </w:rPr>
        <w:t xml:space="preserve">预期结果。</w:t>
      </w:r>
      <w:r>
        <w:t xml:space="preserve"> </w:t>
      </w:r>
      <w:r>
        <w:t xml:space="preserve">pipeline test 带</w:t>
      </w:r>
      <w:r>
        <w:t xml:space="preserve"> </w:t>
      </w:r>
      <w:r>
        <w:rPr>
          <w:rStyle w:val="VerbatimChar"/>
        </w:rPr>
        <w:t xml:space="preserve">task=pipeline_test, simulated=true</w:t>
      </w:r>
      <w:r>
        <w:t xml:space="preserve">，只出现在开发诊断，不更新 Dashboard 风险和事件中心；真实结果写入 Redis latest 并通过</w:t>
      </w:r>
      <w:r>
        <w:t xml:space="preserve"> </w:t>
      </w:r>
      <w:r>
        <w:rPr>
          <w:rStyle w:val="VerbatimChar"/>
        </w:rPr>
        <w:t xml:space="preserve">/ws/realtime</w:t>
      </w:r>
      <w:r>
        <w:t xml:space="preserve"> </w:t>
      </w:r>
      <w:r>
        <w:t xml:space="preserve">到页面；断线后客户端退避重连并重新读取快照。</w:t>
      </w:r>
    </w:p>
    <w:p>
      <w:pPr>
        <w:pStyle w:val="8"/>
      </w:pPr>
      <w:r>
        <w:rPr>
          <w:bCs/>
          <w:b/>
        </w:rPr>
        <w:t xml:space="preserve">通过标准与证据。</w:t>
      </w:r>
      <w:r>
        <w:t xml:space="preserve"> </w:t>
      </w:r>
      <w:r>
        <w:t xml:space="preserve">同一 result_id 在 Backend 接收、Redis/接口和浏览器中一致。一个浏览器只维护统一 realtime channel。</w:t>
      </w:r>
    </w:p>
    <w:bookmarkEnd w:id="41"/>
    <w:bookmarkStart w:id="42" w:name="v14-服务异常与恢复"/>
    <w:p>
      <w:pPr>
        <w:pStyle w:val="3"/>
      </w:pPr>
      <w:r>
        <w:t xml:space="preserve">4.14 V14 服务异常与恢复</w:t>
      </w:r>
    </w:p>
    <w:p>
      <w:pPr>
        <w:pStyle w:val="FirstParagraph"/>
      </w:pPr>
      <w:r>
        <w:rPr>
          <w:bCs/>
          <w:b/>
        </w:rPr>
        <w:t xml:space="preserve">验证目标。</w:t>
      </w:r>
      <w:r>
        <w:t xml:space="preserve"> </w:t>
      </w:r>
      <w:r>
        <w:t xml:space="preserve">验证故障不会被错误呈现为安全状态，且基础 Backend 不因单个模型故障崩溃。</w:t>
      </w:r>
    </w:p>
    <w:p>
      <w:pPr>
        <w:pStyle w:val="8"/>
      </w:pPr>
      <w:r>
        <w:rPr>
          <w:bCs/>
          <w:b/>
        </w:rPr>
        <w:t xml:space="preserve">操作。</w:t>
      </w:r>
      <w:r>
        <w:t xml:space="preserve"> </w:t>
      </w:r>
      <w:r>
        <w:t xml:space="preserve">在维护窗口内依次停止 ai-worker、fraud-worker 或断开 H6c 网络；每次只改变一个条件，记录页面和 API；恢复服务后观察自动重连。该操作会影响运行系统，必须由现场负责人执行。</w:t>
      </w:r>
    </w:p>
    <w:p>
      <w:pPr>
        <w:pStyle w:val="8"/>
      </w:pPr>
      <w:r>
        <w:rPr>
          <w:bCs/>
          <w:b/>
        </w:rPr>
        <w:t xml:space="preserve">预期结果。</w:t>
      </w:r>
      <w:r>
        <w:t xml:space="preserve"> </w:t>
      </w:r>
      <w:r>
        <w:t xml:space="preserve">对应业务页显示 unavailable/offline/reconnecting，Dashboard 不把失败当作 0 风险或正常；</w:t>
      </w:r>
      <w:r>
        <w:rPr>
          <w:rStyle w:val="VerbatimChar"/>
        </w:rPr>
        <w:t xml:space="preserve">GET /api/health</w:t>
      </w:r>
      <w:r>
        <w:t xml:space="preserve"> </w:t>
      </w:r>
      <w:r>
        <w:t xml:space="preserve">保持 ok；服务恢复并产生新 heartbeat 后重新显示在线。</w:t>
      </w:r>
    </w:p>
    <w:p>
      <w:pPr>
        <w:pStyle w:val="8"/>
      </w:pPr>
      <w:r>
        <w:rPr>
          <w:bCs/>
          <w:b/>
        </w:rPr>
        <w:t xml:space="preserve">通过标准与证据。</w:t>
      </w:r>
      <w:r>
        <w:t xml:space="preserve"> </w:t>
      </w:r>
      <w:r>
        <w:t xml:space="preserve">故障与恢复时间、页面状态和 Worker heartbeat 对应。未经授权不执行容器停止操作。</w:t>
      </w:r>
    </w:p>
    <w:bookmarkEnd w:id="42"/>
    <w:bookmarkStart w:id="43" w:name="v15-风险事件"/>
    <w:p>
      <w:pPr>
        <w:pStyle w:val="3"/>
      </w:pPr>
      <w:r>
        <w:t xml:space="preserve">4.15 V15 风险事件</w:t>
      </w:r>
    </w:p>
    <w:p>
      <w:pPr>
        <w:pStyle w:val="FirstParagraph"/>
      </w:pPr>
      <w:r>
        <w:rPr>
          <w:bCs/>
          <w:b/>
        </w:rPr>
        <w:t xml:space="preserve">验证目标。</w:t>
      </w:r>
      <w:r>
        <w:t xml:space="preserve"> </w:t>
      </w:r>
      <w:r>
        <w:t xml:space="preserve">验证事件中心记录真实跌倒和诈骗告警，且不混入普通状态或模拟数据。</w:t>
      </w:r>
    </w:p>
    <w:p>
      <w:pPr>
        <w:pStyle w:val="8"/>
      </w:pPr>
      <w:r>
        <w:rPr>
          <w:bCs/>
          <w:b/>
        </w:rPr>
        <w:t xml:space="preserve">操作。</w:t>
      </w:r>
      <w:r>
        <w:t xml:space="preserve"> </w:t>
      </w:r>
      <w:r>
        <w:t xml:space="preserve">分别完成 V07 和 V12，打开</w:t>
      </w:r>
      <w:r>
        <w:t xml:space="preserve"> </w:t>
      </w:r>
      <w:r>
        <w:rPr>
          <w:rStyle w:val="VerbatimChar"/>
        </w:rPr>
        <w:t xml:space="preserve">/events</w:t>
      </w:r>
      <w:r>
        <w:t xml:space="preserve">，检查事件类型、时间、风险等级和分页；刷新页面。</w:t>
      </w:r>
    </w:p>
    <w:p>
      <w:pPr>
        <w:pStyle w:val="8"/>
      </w:pPr>
      <w:r>
        <w:rPr>
          <w:bCs/>
          <w:b/>
        </w:rPr>
        <w:t xml:space="preserve">预期结果。</w:t>
      </w:r>
      <w:r>
        <w:t xml:space="preserve"> </w:t>
      </w:r>
      <w:r>
        <w:t xml:space="preserve">跌倒与诈骗使用不同图标；同日趋势分别显示数量；每页 10 条并可翻页；</w:t>
      </w:r>
      <w:r>
        <w:rPr>
          <w:rStyle w:val="VerbatimChar"/>
        </w:rPr>
        <w:t xml:space="preserve">simulated=false</w:t>
      </w:r>
      <w:r>
        <w:t xml:space="preserve"> </w:t>
      </w:r>
      <w:r>
        <w:t xml:space="preserve">的告警生命周期进入记录，pipeline_test 和 normal 不进入。</w:t>
      </w:r>
    </w:p>
    <w:p>
      <w:pPr>
        <w:pStyle w:val="8"/>
      </w:pPr>
      <w:r>
        <w:rPr>
          <w:bCs/>
          <w:b/>
        </w:rPr>
        <w:t xml:space="preserve">通过标准与证据。</w:t>
      </w:r>
      <w:r>
        <w:t xml:space="preserve"> </w:t>
      </w:r>
      <w:r>
        <w:t xml:space="preserve">事件 result_id 与算法输出对应。Redis 有界记录不是正式长期数据库，重建数据卷会丢失。</w:t>
      </w:r>
    </w:p>
    <w:bookmarkEnd w:id="43"/>
    <w:bookmarkEnd w:id="44"/>
    <w:bookmarkStart w:id="45" w:name="验证数据与记录格式"/>
    <w:p>
      <w:pPr>
        <w:pStyle w:val="2"/>
      </w:pPr>
      <w:r>
        <w:t xml:space="preserve">5 验证数据与记录格式</w:t>
      </w:r>
    </w:p>
    <w:p>
      <w:pPr>
        <w:pStyle w:val="FirstParagraph"/>
      </w:pPr>
      <w:r>
        <w:t xml:space="preserve">每次验证建立唯一</w:t>
      </w:r>
      <w:r>
        <w:t xml:space="preserve"> </w:t>
      </w:r>
      <w:r>
        <w:rPr>
          <w:rStyle w:val="VerbatimChar"/>
        </w:rPr>
        <w:t xml:space="preserve">validation_run_id</w:t>
      </w:r>
      <w:r>
        <w:t xml:space="preserve">，至少记录日期、代码 commit、Compose 镜像摘要、设备脱敏 ID、输入文件 SHA-256、操作者、开始/结束时间、预期、实际结果、通过/失败、截图或日志路径。算法样本另外记录受试者匿名编号、场景、标签来源和授权编号。</w:t>
      </w:r>
    </w:p>
    <w:tbl>
      <w:tblPr>
        <w:tblStyle w:val="24"/>
        <w:tblW w:val="0" w:type="auto"/>
        <w:tblLook w:firstRow="1" w:lastRow="0" w:firstColumn="0" w:lastColumn="0" w:noHBand="0" w:noVBand="0" w:val="0020"/>
        <w:tblLayout w:type="autofit"/>
      </w:tblPr>
      <w:tblGrid/>
      <w:tr>
        <w:trPr>
          <w:tblHeader/>
        </w:trPr>
        <w:tc>
          <w:p>
            <w:pPr>
              <w:pStyle w:val="Compact"/>
              <w:jc w:val="left"/>
            </w:pPr>
            <w:r>
              <w:t xml:space="preserve">字段</w:t>
            </w:r>
          </w:p>
        </w:tc>
        <w:tc>
          <w:p>
            <w:pPr>
              <w:pStyle w:val="Compact"/>
              <w:jc w:val="left"/>
            </w:pPr>
            <w:r>
              <w:t xml:space="preserve">示例形式</w:t>
            </w:r>
          </w:p>
        </w:tc>
        <w:tc>
          <w:p>
            <w:pPr>
              <w:pStyle w:val="Compact"/>
              <w:jc w:val="left"/>
            </w:pPr>
            <w:r>
              <w:t xml:space="preserve">隐私要求</w:t>
            </w:r>
          </w:p>
        </w:tc>
      </w:tr>
      <w:tr>
        <w:trPr/>
        <w:tc>
          <w:p>
            <w:pPr>
              <w:pStyle w:val="Compact"/>
              <w:jc w:val="left"/>
            </w:pPr>
            <w:r>
              <w:t xml:space="preserve">validation_run_id</w:t>
            </w:r>
          </w:p>
        </w:tc>
        <w:tc>
          <w:p>
            <w:pPr>
              <w:pStyle w:val="Compact"/>
              <w:jc w:val="left"/>
            </w:pPr>
            <w:r>
              <w:rPr>
                <w:rStyle w:val="VerbatimChar"/>
              </w:rPr>
              <w:t xml:space="preserve">VAL-20260904-001</w:t>
            </w:r>
          </w:p>
        </w:tc>
        <w:tc>
          <w:p>
            <w:pPr>
              <w:pStyle w:val="Compact"/>
              <w:jc w:val="left"/>
            </w:pPr>
            <w:r>
              <w:t xml:space="preserve">可公开</w:t>
            </w:r>
          </w:p>
        </w:tc>
      </w:tr>
      <w:tr>
        <w:trPr/>
        <w:tc>
          <w:p>
            <w:pPr>
              <w:pStyle w:val="Compact"/>
              <w:jc w:val="left"/>
            </w:pPr>
            <w:r>
              <w:t xml:space="preserve">git_commit</w:t>
            </w:r>
          </w:p>
        </w:tc>
        <w:tc>
          <w:p>
            <w:pPr>
              <w:pStyle w:val="Compact"/>
              <w:jc w:val="left"/>
            </w:pPr>
            <w:r>
              <w:t xml:space="preserve">40 位 hash</w:t>
            </w:r>
          </w:p>
        </w:tc>
        <w:tc>
          <w:p>
            <w:pPr>
              <w:pStyle w:val="Compact"/>
              <w:jc w:val="left"/>
            </w:pPr>
            <w:r>
              <w:t xml:space="preserve">可公开</w:t>
            </w:r>
          </w:p>
        </w:tc>
      </w:tr>
      <w:tr>
        <w:trPr/>
        <w:tc>
          <w:p>
            <w:pPr>
              <w:pStyle w:val="Compact"/>
              <w:jc w:val="left"/>
            </w:pPr>
            <w:r>
              <w:t xml:space="preserve">device_id</w:t>
            </w:r>
          </w:p>
        </w:tc>
        <w:tc>
          <w:p>
            <w:pPr>
              <w:pStyle w:val="Compact"/>
              <w:jc w:val="left"/>
            </w:pPr>
            <w:r>
              <w:t xml:space="preserve">hash 或末四位</w:t>
            </w:r>
          </w:p>
        </w:tc>
        <w:tc>
          <w:p>
            <w:pPr>
              <w:pStyle w:val="Compact"/>
              <w:jc w:val="left"/>
            </w:pPr>
            <w:r>
              <w:t xml:space="preserve">禁止完整序列号</w:t>
            </w:r>
          </w:p>
        </w:tc>
      </w:tr>
      <w:tr>
        <w:trPr/>
        <w:tc>
          <w:p>
            <w:pPr>
              <w:pStyle w:val="Compact"/>
              <w:jc w:val="left"/>
            </w:pPr>
            <w:r>
              <w:t xml:space="preserve">input_sha256</w:t>
            </w:r>
          </w:p>
        </w:tc>
        <w:tc>
          <w:p>
            <w:pPr>
              <w:pStyle w:val="Compact"/>
              <w:jc w:val="left"/>
            </w:pPr>
            <w:r>
              <w:t xml:space="preserve">64 位摘要</w:t>
            </w:r>
          </w:p>
        </w:tc>
        <w:tc>
          <w:p>
            <w:pPr>
              <w:pStyle w:val="Compact"/>
              <w:jc w:val="left"/>
            </w:pPr>
            <w:r>
              <w:t xml:space="preserve">可公开</w:t>
            </w:r>
          </w:p>
        </w:tc>
      </w:tr>
      <w:tr>
        <w:trPr/>
        <w:tc>
          <w:p>
            <w:pPr>
              <w:pStyle w:val="Compact"/>
              <w:jc w:val="left"/>
            </w:pPr>
            <w:r>
              <w:t xml:space="preserve">participant_id</w:t>
            </w:r>
          </w:p>
        </w:tc>
        <w:tc>
          <w:p>
            <w:pPr>
              <w:pStyle w:val="Compact"/>
              <w:jc w:val="left"/>
            </w:pPr>
            <w:r>
              <w:rPr>
                <w:rStyle w:val="VerbatimChar"/>
              </w:rPr>
              <w:t xml:space="preserve">P001</w:t>
            </w:r>
          </w:p>
        </w:tc>
        <w:tc>
          <w:p>
            <w:pPr>
              <w:pStyle w:val="Compact"/>
              <w:jc w:val="left"/>
            </w:pPr>
            <w:r>
              <w:t xml:space="preserve">不写姓名</w:t>
            </w:r>
          </w:p>
        </w:tc>
      </w:tr>
      <w:tr>
        <w:trPr/>
        <w:tc>
          <w:p>
            <w:pPr>
              <w:pStyle w:val="Compact"/>
              <w:jc w:val="left"/>
            </w:pPr>
            <w:r>
              <w:t xml:space="preserve">expected / actual</w:t>
            </w:r>
          </w:p>
        </w:tc>
        <w:tc>
          <w:p>
            <w:pPr>
              <w:pStyle w:val="Compact"/>
              <w:jc w:val="left"/>
            </w:pPr>
            <w:r>
              <w:t xml:space="preserve">结构化状态</w:t>
            </w:r>
          </w:p>
        </w:tc>
        <w:tc>
          <w:p>
            <w:pPr>
              <w:pStyle w:val="Compact"/>
              <w:jc w:val="left"/>
            </w:pPr>
            <w:r>
              <w:t xml:space="preserve">不含 Secret</w:t>
            </w:r>
          </w:p>
        </w:tc>
      </w:tr>
      <w:tr>
        <w:trPr/>
        <w:tc>
          <w:p>
            <w:pPr>
              <w:pStyle w:val="Compact"/>
              <w:jc w:val="left"/>
            </w:pPr>
            <w:r>
              <w:t xml:space="preserve">evidence_path</w:t>
            </w:r>
          </w:p>
        </w:tc>
        <w:tc>
          <w:p>
            <w:pPr>
              <w:pStyle w:val="Compact"/>
              <w:jc w:val="left"/>
            </w:pPr>
            <w:r>
              <w:t xml:space="preserve">脱敏截图/JSON</w:t>
            </w:r>
          </w:p>
        </w:tc>
        <w:tc>
          <w:p>
            <w:pPr>
              <w:pStyle w:val="Compact"/>
              <w:jc w:val="left"/>
            </w:pPr>
            <w:r>
              <w:t xml:space="preserve">访问受控</w:t>
            </w:r>
          </w:p>
        </w:tc>
      </w:tr>
      <w:tr>
        <w:trPr/>
        <w:tc>
          <w:p>
            <w:pPr>
              <w:pStyle w:val="Compact"/>
              <w:jc w:val="left"/>
            </w:pPr>
            <w:r>
              <w:t xml:space="preserve">consent_id</w:t>
            </w:r>
          </w:p>
        </w:tc>
        <w:tc>
          <w:p>
            <w:pPr>
              <w:pStyle w:val="Compact"/>
              <w:jc w:val="left"/>
            </w:pPr>
            <w:r>
              <w:t xml:space="preserve">授权记录编号</w:t>
            </w:r>
          </w:p>
        </w:tc>
        <w:tc>
          <w:p>
            <w:pPr>
              <w:pStyle w:val="Compact"/>
              <w:jc w:val="left"/>
            </w:pPr>
            <w:r>
              <w:t xml:space="preserve">授权原件单独保存</w:t>
            </w:r>
          </w:p>
        </w:tc>
      </w:tr>
    </w:tbl>
    <w:bookmarkEnd w:id="45"/>
    <w:bookmarkStart w:id="49" w:name="统计性能验证设计"/>
    <w:p>
      <w:pPr>
        <w:pStyle w:val="2"/>
      </w:pPr>
      <w:r>
        <w:t xml:space="preserve">6 统计性能验证设计</w:t>
      </w:r>
    </w:p>
    <w:bookmarkStart w:id="46" w:name="跌倒检测"/>
    <w:p>
      <w:pPr>
        <w:pStyle w:val="3"/>
      </w:pPr>
      <w:r>
        <w:t xml:space="preserve">6.1 跌倒检测</w:t>
      </w:r>
    </w:p>
    <w:p>
      <w:pPr>
        <w:pStyle w:val="FirstParagraph"/>
      </w:pPr>
      <w:r>
        <w:t xml:space="preserve">测试按受试者隔离，覆盖跌倒与高相似日常动作。事件级 TP 定义为标注跌倒窗口内首次出现 FALLEN；漏报为窗口内未出现 FALLEN；非跌倒动作或正常监护时段出现 FALLEN 记为 FP。报告 precision、recall、F1、每小时误报、漏报、首次告警延迟 P50/P95 和连续运行可用率。阈值调整只能使用验证集，测试集只执行一次冻结评估。</w:t>
      </w:r>
    </w:p>
    <w:bookmarkEnd w:id="46"/>
    <w:bookmarkStart w:id="47" w:name="跌倒风险与运动功能"/>
    <w:p>
      <w:pPr>
        <w:pStyle w:val="3"/>
      </w:pPr>
      <w:r>
        <w:t xml:space="preserve">6.2 跌倒风险与运动功能</w:t>
      </w:r>
    </w:p>
    <w:p>
      <w:pPr>
        <w:pStyle w:val="FirstParagraph"/>
      </w:pPr>
      <w:r>
        <w:t xml:space="preserve">风险分级使用受试者级独立划分，保存 NF/FHs/FHm 三分类逐样本分数、混淆矩阵、balanced accuracy、macro F1 和每类 recall。步态参数与可追溯参考标注比较 HS/TO 时间误差、步数、步频、步时和步长误差。MotionCLIP 单独评价健康参考距离与运动功能量表或标注的相关性，不把相关性写成疾病诊断准确率。</w:t>
      </w:r>
    </w:p>
    <w:bookmarkEnd w:id="47"/>
    <w:bookmarkStart w:id="48" w:name="诈骗识别"/>
    <w:p>
      <w:pPr>
        <w:pStyle w:val="3"/>
      </w:pPr>
      <w:r>
        <w:t xml:space="preserve">6.3 诈骗识别</w:t>
      </w:r>
    </w:p>
    <w:p>
      <w:pPr>
        <w:pStyle w:val="FirstParagraph"/>
      </w:pPr>
      <w:r>
        <w:t xml:space="preserve">测试集按说话人隔离，同时包含诈骗与语义相近的正常对话。先计算 SenseVoice CER/WER，再计算语句级和会话级 precision、recall、F1、每小时误报、漏报与响应延迟 P50/P95。规则 only 与规则+Qwen 分别运行，保留逐样本差异，避免只报告最好配置。</w:t>
      </w:r>
    </w:p>
    <w:bookmarkEnd w:id="48"/>
    <w:bookmarkEnd w:id="49"/>
    <w:bookmarkStart w:id="50" w:name="证据归档与通过判定"/>
    <w:p>
      <w:pPr>
        <w:pStyle w:val="2"/>
      </w:pPr>
      <w:r>
        <w:t xml:space="preserve">7 证据归档与通过判定</w:t>
      </w:r>
    </w:p>
    <w:p>
      <w:pPr>
        <w:pStyle w:val="FirstParagraph"/>
      </w:pPr>
      <w:r>
        <w:t xml:space="preserve">最终证据包按</w:t>
      </w:r>
      <w:r>
        <w:t xml:space="preserve">“</w:t>
      </w:r>
      <w:r>
        <w:t xml:space="preserve">运行环境、设备与平台、媒体、跌倒检测、跌倒风险、诈骗、实时链、异常恢复、算法统计</w:t>
      </w:r>
      <w:r>
        <w:t xml:space="preserve">”</w:t>
      </w:r>
      <w:r>
        <w:t xml:space="preserve">分类。每类包含固定 commit、脱敏原始输出、页面截图、必要录屏和结果摘要。截图只作为可视证据，测试结论必须能回到 JSON、日志或逐样本表。</w:t>
      </w:r>
    </w:p>
    <w:p>
      <w:pPr>
        <w:pStyle w:val="8"/>
      </w:pPr>
      <w:r>
        <w:t xml:space="preserve">整体验证通过需要 V01–V05、V13 和核心选题对应业务用例通过；统计性能章节只有在原始数据齐全时才能填写数值。V14 涉及中断运行服务，可在演示前的维护窗口单独执行。任何隐私违规、凭据泄漏、危险老人测试或模型名称与真实实现不一致均判为材料不合格。</w:t>
      </w:r>
    </w:p>
    <w:bookmarkEnd w:id="50"/>
    <w:bookmarkStart w:id="51" w:name="现场演示建议顺序"/>
    <w:p>
      <w:pPr>
        <w:pStyle w:val="2"/>
      </w:pPr>
      <w:r>
        <w:t xml:space="preserve">8 现场演示建议顺序</w:t>
      </w:r>
    </w:p>
    <w:p>
      <w:pPr>
        <w:pStyle w:val="FirstParagraph"/>
      </w:pPr>
      <w:r>
        <w:t xml:space="preserve">现场以连续录屏呈现：先展示 commit 和 Compose 状态，再展示 H6c 在线与综合首页真实画面；随后完成正常走动的人物/姿态、一次安全跌倒告警与确认；导入一段授权行走视频并从历史记录展示源视频、网格、参数和双模型结果；最后播放正常与诈骗语音对照，展示 ASR、风险、告警和事件中心。系统页用于证明 Backend、Redis、Worker 和 WebSocket 状态。</w:t>
      </w:r>
    </w:p>
    <w:p>
      <w:pPr>
        <w:pStyle w:val="8"/>
      </w:pPr>
      <w:r>
        <w:t xml:space="preserve">长时批处理可提前准备固定 assessment_id，但必须同时保留原始输入 hash、生成时间和运行日志，不能用剪辑掩盖处理步骤。出现失败时展示明确 unavailable 和恢复过程比替换为静态成功页面更符合验证原则。</w:t>
      </w:r>
    </w:p>
    <w:bookmarkEnd w:id="51"/>
    <w:bookmarkStart w:id="52" w:name="待补充信息汇总"/>
    <w:p>
      <w:pPr>
        <w:pStyle w:val="2"/>
      </w:pPr>
      <w:r>
        <w:t xml:space="preserve">9 待补充信息汇总</w:t>
      </w:r>
    </w:p>
    <w:p>
      <w:pPr>
        <w:pStyle w:val="FirstParagraph"/>
      </w:pPr>
      <w:r>
        <w:t xml:space="preserve">提交前由项目负责人补齐：</w:t>
      </w:r>
    </w:p>
    <w:p>
      <w:pPr>
        <w:numPr>
          <w:ilvl w:val="0"/>
          <w:numId w:val="1002"/>
        </w:numPr>
        <w:pStyle w:val="Compact"/>
      </w:pPr>
      <w:r>
        <w:t xml:space="preserve">学校、姓名、手机号及文件名。</w:t>
      </w:r>
    </w:p>
    <w:p>
      <w:pPr>
        <w:numPr>
          <w:ilvl w:val="0"/>
          <w:numId w:val="1002"/>
        </w:numPr>
        <w:pStyle w:val="Compact"/>
      </w:pPr>
      <w:r>
        <w:t xml:space="preserve">现场验证参与者、授权编号、安全保护人员与场地说明。</w:t>
      </w:r>
    </w:p>
    <w:p>
      <w:pPr>
        <w:numPr>
          <w:ilvl w:val="0"/>
          <w:numId w:val="1002"/>
        </w:numPr>
        <w:pStyle w:val="Compact"/>
      </w:pPr>
      <w:r>
        <w:t xml:space="preserve">三组授权测试材料的匿名编号、SHA-256 和真实标签来源。</w:t>
      </w:r>
    </w:p>
    <w:p>
      <w:pPr>
        <w:numPr>
          <w:ilvl w:val="0"/>
          <w:numId w:val="1002"/>
        </w:numPr>
        <w:pStyle w:val="Compact"/>
      </w:pPr>
      <w:r>
        <w:t xml:space="preserve">评审可用的本地或在线访问地址、开放时段和访问控制方式。</w:t>
      </w:r>
    </w:p>
    <w:p>
      <w:pPr>
        <w:numPr>
          <w:ilvl w:val="0"/>
          <w:numId w:val="1002"/>
        </w:numPr>
        <w:pStyle w:val="Compact"/>
      </w:pPr>
      <w:r>
        <w:t xml:space="preserve">各用例实际执行人、日期、通过状态、截图/录屏编号。</w:t>
      </w:r>
    </w:p>
    <w:p>
      <w:pPr>
        <w:numPr>
          <w:ilvl w:val="0"/>
          <w:numId w:val="1002"/>
        </w:numPr>
        <w:pStyle w:val="Compact"/>
      </w:pPr>
      <w:r>
        <w:t xml:space="preserve">统计性能测试的数据划分、逐样本结果、混淆矩阵和复算脚本路径。</w:t>
      </w:r>
    </w:p>
    <w:p>
      <w:pPr>
        <w:numPr>
          <w:ilvl w:val="0"/>
          <w:numId w:val="1002"/>
        </w:numPr>
        <w:pStyle w:val="Compact"/>
      </w:pPr>
      <w:r>
        <w:t xml:space="preserve">V14 异常恢复测试的维护窗口批准人；未获批准时保留为人工验证项。</w:t>
      </w:r>
    </w:p>
    <w:bookmarkEnd w:id="52"/>
    <w:sectPr>
      <w:headerReference ns1:id="rId9" w:type="default"/>
      <w:footerReference ns1:id="rId10" w:type="default"/>
      <w:endnotePr>
        <w:numFmt w:val="decimal"/>
      </w:endnotePr>
      <w:pgSz w:h="16838" w:w="11906"/>
      <w:pgMar w:bottom="2155" w:footer="992" w:gutter="284" w:header="851" w:left="1418" w:right="1418" w:top="2211"/>
      <w:cols w:num="1" w:space="425"/>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45944">
    <w:pPr>
      <w:pStyle w:val="14"/>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7</w:t>
    </w:r>
    <w:r>
      <w:rPr>
        <w:kern w:val="0"/>
        <w:szCs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DA1C9">
    <w:pPr>
      <w:pStyle w:val="15"/>
      <w:pBdr>
        <w:bottom w:val="thinThickSmallGap" w:color="auto" w:sz="24" w:space="1"/>
      </w:pBdr>
      <w:spacing w:before="120" w:after="120"/>
      <w:rPr>
        <w:rFonts w:hint="eastAsia" w:ascii="宋体" w:hAnsi="宋体" w:eastAsia="宋体"/>
        <w:lang w:eastAsia="zh-CN"/>
      </w:rPr>
    </w:pPr>
    <w:r>
      <w:rPr>
        <w:rFonts w:hint="eastAsia" w:ascii="宋体" w:hAnsi="宋体" w:eastAsia="宋体"/>
        <w:lang w:val="en-US" w:eastAsia="zh-CN"/>
      </w:rPr>
      <w:t>+</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1"/>
      <w:numFmt w:val="decimal"/>
      <w:pStyle w:val="46"/>
      <w:lvlText w:val="[%1]"/>
      <w:lvlJc w:val="left"/>
      <w:pPr>
        <w:tabs>
          <w:tab w:pos="360" w:val="left"/>
        </w:tabs>
        <w:ind w:hanging="360" w:left="360"/>
      </w:pPr>
      <w:rPr>
        <w:rFonts w:cs="Times New Roman"/>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ns1="http://schemas.openxmlformats.org/markup-compatibility/2006" xmlns:ns2="http://schemas.microsoft.com/office/word/2010/wordml" xmlns:w="http://schemas.openxmlformats.org/wordprocessingml/2006/main" ns1: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semiHidden="0" w:uiPriority="0" w:unhideWhenUsed="0"/>
    <w:lsdException w:name="footnote text" w:qFormat="1" w:uiPriority="99"/>
    <w:lsdException w:name="annotation text" w:qFormat="1" w:semiHidden="0"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uiPriority="99"/>
    <w:lsdException w:name="endnote reference" w:qFormat="1" w:semiHidden="0" w:uiPriority="99"/>
    <w:lsdException w:name="endnote text" w:qFormat="1" w:semiHidden="0"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0" w:unhideWhenUsed="0"/>
    <w:lsdException w:name="Closing" w:uiPriority="99"/>
    <w:lsdException w:name="Signature" w:uiPriority="99"/>
    <w:lsdException w:name="Default Paragraph Font" w:qFormat="1" w:uiPriority="1"/>
    <w:lsdException w:name="Body Text" w:qFormat="1" w:semiHidden="0" w:uiPriority="0"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qFormat="1" w:uiPriority="99"/>
    <w:lsdException w:name="Body Text Indent 3" w:uiPriority="99"/>
    <w:lsdException w:name="Block Text" w:uiPriority="99"/>
    <w:lsdException w:name="Hyperlink" w:qFormat="1" w:semiHidden="0" w:uiPriority="99"/>
    <w:lsdException w:name="FollowedHyperlink" w:qFormat="1"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qFormat="1"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Placeholder Text" w:qFormat="1"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4"/>
      <w:szCs w:val="22"/>
      <w:lang w:bidi="ar-SA" w:eastAsia="zh-CN" w:val="zh-CN"/>
    </w:rPr>
  </w:style>
  <w:style w:styleId="2" w:type="paragraph">
    <w:name w:val="heading 1"/>
    <w:basedOn w:val="1"/>
    <w:next w:val="1"/>
    <w:link w:val="36"/>
    <w:qFormat/>
    <w:uiPriority w:val="9"/>
    <w:pPr>
      <w:keepNext/>
      <w:keepLines/>
      <w:spacing w:after="330" w:before="340" w:line="578" w:lineRule="auto"/>
      <w:outlineLvl w:val="0"/>
    </w:pPr>
    <w:rPr>
      <w:rFonts w:eastAsia="黑体"/>
      <w:b/>
      <w:bCs/>
      <w:kern w:val="44"/>
      <w:sz w:val="32"/>
      <w:szCs w:val="44"/>
    </w:rPr>
  </w:style>
  <w:style w:styleId="3" w:type="paragraph">
    <w:name w:val="heading 2"/>
    <w:basedOn w:val="1"/>
    <w:next w:val="1"/>
    <w:link w:val="37"/>
    <w:unhideWhenUsed/>
    <w:qFormat/>
    <w:uiPriority w:val="9"/>
    <w:pPr>
      <w:keepNext/>
      <w:keepLines/>
      <w:spacing w:after="260" w:before="260"/>
      <w:outlineLvl w:val="1"/>
    </w:pPr>
    <w:rPr>
      <w:rFonts w:ascii="黑体" w:cstheme="majorBidi" w:eastAsia="黑体" w:hAnsi="黑体"/>
      <w:b/>
      <w:bCs/>
      <w:szCs w:val="28"/>
    </w:rPr>
  </w:style>
  <w:style w:styleId="4" w:type="paragraph">
    <w:name w:val="heading 3"/>
    <w:basedOn w:val="1"/>
    <w:next w:val="1"/>
    <w:link w:val="38"/>
    <w:unhideWhenUsed/>
    <w:qFormat/>
    <w:uiPriority w:val="9"/>
    <w:pPr>
      <w:keepNext/>
      <w:keepLines/>
      <w:spacing w:after="260" w:before="260"/>
      <w:outlineLvl w:val="2"/>
    </w:pPr>
    <w:rPr>
      <w:rFonts w:ascii="Times New Roman" w:eastAsia="黑体" w:hAnsi="Times New Roman"/>
      <w:b/>
      <w:bCs/>
      <w:szCs w:val="24"/>
    </w:rPr>
  </w:style>
  <w:style w:styleId="5" w:type="paragraph">
    <w:name w:val="heading 4"/>
    <w:basedOn w:val="1"/>
    <w:next w:val="1"/>
    <w:link w:val="43"/>
    <w:unhideWhenUsed/>
    <w:qFormat/>
    <w:uiPriority w:val="9"/>
    <w:pPr>
      <w:keepNext/>
      <w:keepLines/>
      <w:spacing w:after="290" w:before="280" w:line="376" w:lineRule="auto"/>
      <w:outlineLvl w:val="3"/>
    </w:pPr>
    <w:rPr>
      <w:rFonts w:asciiTheme="majorHAnsi" w:cstheme="majorBidi" w:eastAsiaTheme="majorEastAsia" w:hAnsiTheme="majorHAnsi"/>
      <w:b/>
      <w:bCs/>
      <w:sz w:val="28"/>
      <w:szCs w:val="28"/>
    </w:rPr>
  </w:style>
  <w:style w:default="1" w:styleId="25" w:type="character">
    <w:name w:val="Default Paragraph Font"/>
    <w:semiHidden/>
    <w:unhideWhenUsed/>
    <w:qFormat/>
    <w:uiPriority w:val="1"/>
  </w:style>
  <w:style w:default="1" w:styleId="23" w:type="table">
    <w:name w:val="Normal Table"/>
    <w:semiHidden/>
    <w:unhideWhenUsed/>
    <w:qFormat/>
    <w:uiPriority w:val="99"/>
    <w:tblPr>
      <w:tblCellMar>
        <w:top w:type="dxa" w:w="0"/>
        <w:left w:type="dxa" w:w="108"/>
        <w:bottom w:type="dxa" w:w="0"/>
        <w:right w:type="dxa" w:w="108"/>
      </w:tblCellMar>
    </w:tblPr>
  </w:style>
  <w:style w:styleId="6" w:type="paragraph">
    <w:name w:val="Normal Indent"/>
    <w:basedOn w:val="1"/>
    <w:qFormat/>
    <w:uiPriority w:val="0"/>
    <w:pPr>
      <w:adjustRightInd w:val="0"/>
      <w:snapToGrid w:val="0"/>
      <w:spacing w:after="60" w:before="60" w:line="300" w:lineRule="auto"/>
      <w:ind w:firstLine="420"/>
    </w:pPr>
    <w:rPr>
      <w:rFonts w:ascii="Times New Roman" w:cs="Times New Roman" w:eastAsia="宋体" w:hAnsi="Times New Roman"/>
      <w:snapToGrid w:val="0"/>
      <w:kern w:val="0"/>
      <w:sz w:val="28"/>
      <w:szCs w:val="21"/>
    </w:rPr>
  </w:style>
  <w:style w:styleId="7" w:type="paragraph">
    <w:name w:val="annotation text"/>
    <w:basedOn w:val="1"/>
    <w:link w:val="50"/>
    <w:unhideWhenUsed/>
    <w:qFormat/>
    <w:uiPriority w:val="99"/>
    <w:pPr>
      <w:jc w:val="left"/>
    </w:pPr>
  </w:style>
  <w:style w:styleId="8" w:type="paragraph">
    <w:name w:val="Body Text"/>
    <w:basedOn w:val="1"/>
    <w:link w:val="54"/>
    <w:qFormat/>
    <w:uiPriority w:val="0"/>
    <w:pPr>
      <w:jc w:val="both"/>
      <w:spacing w:after="80" w:line="360" w:lineRule="auto"/>
      <w:ind w:firstLineChars="200"/>
    </w:pPr>
    <w:rPr>
      <w:rFonts w:ascii="Times New Roman" w:cs="Times New Roman" w:eastAsia="宋体" w:hAnsi="Times New Roman"/>
      <w:sz w:val="24"/>
      <w:szCs w:val="24"/>
    </w:rPr>
  </w:style>
  <w:style w:styleId="9" w:type="paragraph">
    <w:name w:val="toc 3"/>
    <w:basedOn w:val="1"/>
    <w:next w:val="1"/>
    <w:autoRedefine/>
    <w:unhideWhenUsed/>
    <w:qFormat/>
    <w:uiPriority w:val="39"/>
    <w:pPr>
      <w:ind w:left="840" w:leftChars="400"/>
    </w:pPr>
  </w:style>
  <w:style w:styleId="10" w:type="paragraph">
    <w:name w:val="Date"/>
    <w:basedOn w:val="1"/>
    <w:next w:val="1"/>
    <w:link w:val="58"/>
    <w:semiHidden/>
    <w:unhideWhenUsed/>
    <w:qFormat/>
    <w:uiPriority w:val="99"/>
    <w:pPr>
      <w:ind w:left="100" w:leftChars="2500"/>
    </w:pPr>
  </w:style>
  <w:style w:styleId="11" w:type="paragraph">
    <w:name w:val="Body Text Indent 2"/>
    <w:basedOn w:val="1"/>
    <w:link w:val="55"/>
    <w:semiHidden/>
    <w:unhideWhenUsed/>
    <w:qFormat/>
    <w:uiPriority w:val="99"/>
    <w:pPr>
      <w:spacing w:after="120" w:line="480" w:lineRule="auto"/>
      <w:ind w:left="420" w:leftChars="200"/>
    </w:pPr>
  </w:style>
  <w:style w:styleId="12" w:type="paragraph">
    <w:name w:val="endnote text"/>
    <w:basedOn w:val="1"/>
    <w:link w:val="47"/>
    <w:unhideWhenUsed/>
    <w:qFormat/>
    <w:uiPriority w:val="99"/>
    <w:pPr>
      <w:snapToGrid w:val="0"/>
      <w:jc w:val="left"/>
    </w:pPr>
  </w:style>
  <w:style w:styleId="13" w:type="paragraph">
    <w:name w:val="Balloon Text"/>
    <w:basedOn w:val="1"/>
    <w:link w:val="45"/>
    <w:semiHidden/>
    <w:unhideWhenUsed/>
    <w:qFormat/>
    <w:uiPriority w:val="99"/>
    <w:rPr>
      <w:sz w:val="16"/>
      <w:szCs w:val="16"/>
    </w:rPr>
  </w:style>
  <w:style w:styleId="14" w:type="paragraph">
    <w:name w:val="footer"/>
    <w:basedOn w:val="1"/>
    <w:link w:val="48"/>
    <w:unhideWhenUsed/>
    <w:qFormat/>
    <w:uiPriority w:val="99"/>
    <w:pPr>
      <w:tabs>
        <w:tab w:pos="4153" w:val="center"/>
        <w:tab w:pos="8306" w:val="right"/>
      </w:tabs>
      <w:snapToGrid w:val="0"/>
      <w:jc w:val="left"/>
    </w:pPr>
    <w:rPr>
      <w:sz w:val="18"/>
      <w:szCs w:val="18"/>
    </w:rPr>
  </w:style>
  <w:style w:styleId="15" w:type="paragraph">
    <w:name w:val="header"/>
    <w:basedOn w:val="1"/>
    <w:link w:val="56"/>
    <w:unhideWhenUsed/>
    <w:qFormat/>
    <w:uiPriority w:val="99"/>
    <w:pPr>
      <w:pBdr>
        <w:bottom w:color="auto" w:space="1" w:sz="6" w:val="single"/>
      </w:pBdr>
      <w:tabs>
        <w:tab w:pos="4153" w:val="center"/>
        <w:tab w:pos="8306" w:val="right"/>
      </w:tabs>
      <w:snapToGrid w:val="0"/>
      <w:jc w:val="center"/>
    </w:pPr>
    <w:rPr>
      <w:sz w:val="18"/>
      <w:szCs w:val="18"/>
    </w:rPr>
  </w:style>
  <w:style w:styleId="16" w:type="paragraph">
    <w:name w:val="toc 1"/>
    <w:basedOn w:val="1"/>
    <w:next w:val="1"/>
    <w:autoRedefine/>
    <w:unhideWhenUsed/>
    <w:qFormat/>
    <w:uiPriority w:val="39"/>
  </w:style>
  <w:style w:styleId="17" w:type="paragraph">
    <w:name w:val="Subtitle"/>
    <w:basedOn w:val="1"/>
    <w:next w:val="1"/>
    <w:link w:val="52"/>
    <w:qFormat/>
    <w:uiPriority w:val="11"/>
    <w:pPr>
      <w:spacing w:after="60" w:before="240" w:line="312" w:lineRule="auto"/>
      <w:jc w:val="center"/>
      <w:outlineLvl w:val="1"/>
    </w:pPr>
    <w:rPr>
      <w:rFonts w:asciiTheme="majorHAnsi" w:cstheme="majorBidi" w:eastAsia="宋体" w:hAnsiTheme="majorHAnsi"/>
      <w:b/>
      <w:bCs/>
      <w:kern w:val="28"/>
      <w:sz w:val="32"/>
      <w:szCs w:val="32"/>
    </w:rPr>
  </w:style>
  <w:style w:styleId="18" w:type="paragraph">
    <w:name w:val="footnote text"/>
    <w:basedOn w:val="1"/>
    <w:link w:val="57"/>
    <w:semiHidden/>
    <w:unhideWhenUsed/>
    <w:qFormat/>
    <w:uiPriority w:val="99"/>
    <w:pPr>
      <w:snapToGrid w:val="0"/>
      <w:jc w:val="left"/>
    </w:pPr>
    <w:rPr>
      <w:sz w:val="18"/>
      <w:szCs w:val="18"/>
    </w:rPr>
  </w:style>
  <w:style w:styleId="19" w:type="paragraph">
    <w:name w:val="toc 2"/>
    <w:basedOn w:val="1"/>
    <w:next w:val="1"/>
    <w:autoRedefine/>
    <w:unhideWhenUsed/>
    <w:qFormat/>
    <w:uiPriority w:val="39"/>
    <w:pPr>
      <w:ind w:left="420" w:leftChars="200"/>
    </w:pPr>
  </w:style>
  <w:style w:styleId="20" w:type="paragraph">
    <w:name w:val="Normal (Web)"/>
    <w:basedOn w:val="1"/>
    <w:unhideWhenUsed/>
    <w:qFormat/>
    <w:uiPriority w:val="99"/>
    <w:pPr>
      <w:widowControl/>
      <w:spacing w:after="100" w:afterAutospacing="1" w:before="100" w:beforeAutospacing="1"/>
      <w:jc w:val="left"/>
    </w:pPr>
    <w:rPr>
      <w:rFonts w:ascii="宋体" w:cs="宋体" w:eastAsia="宋体" w:hAnsi="宋体"/>
      <w:kern w:val="0"/>
      <w:szCs w:val="24"/>
    </w:rPr>
  </w:style>
  <w:style w:styleId="21" w:type="paragraph">
    <w:name w:val="Title"/>
    <w:basedOn w:val="1"/>
    <w:next w:val="1"/>
    <w:link w:val="34"/>
    <w:qFormat/>
    <w:uiPriority w:val="0"/>
    <w:pPr>
      <w:spacing w:after="60" w:before="240"/>
      <w:jc w:val="center"/>
      <w:outlineLvl w:val="0"/>
    </w:pPr>
    <w:rPr>
      <w:rFonts w:asciiTheme="majorHAnsi" w:cstheme="majorBidi" w:eastAsia="宋体" w:hAnsiTheme="majorHAnsi"/>
      <w:b/>
      <w:bCs/>
      <w:sz w:val="32"/>
      <w:szCs w:val="32"/>
    </w:rPr>
  </w:style>
  <w:style w:styleId="22" w:type="paragraph">
    <w:name w:val="annotation subject"/>
    <w:basedOn w:val="7"/>
    <w:next w:val="7"/>
    <w:link w:val="51"/>
    <w:semiHidden/>
    <w:unhideWhenUsed/>
    <w:qFormat/>
    <w:uiPriority w:val="99"/>
    <w:rPr>
      <w:b/>
      <w:bCs/>
    </w:rPr>
  </w:style>
  <w:style w:styleId="24" w:type="table">
    <w:name w:val="Table Grid"/>
    <w:basedOn w:val="23"/>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6" w:type="character">
    <w:name w:val="Strong"/>
    <w:basedOn w:val="25"/>
    <w:qFormat/>
    <w:uiPriority w:val="22"/>
    <w:rPr>
      <w:b/>
      <w:bCs/>
    </w:rPr>
  </w:style>
  <w:style w:styleId="27" w:type="character">
    <w:name w:val="endnote reference"/>
    <w:basedOn w:val="25"/>
    <w:unhideWhenUsed/>
    <w:qFormat/>
    <w:uiPriority w:val="99"/>
    <w:rPr>
      <w:vertAlign w:val="superscript"/>
    </w:rPr>
  </w:style>
  <w:style w:styleId="28" w:type="character">
    <w:name w:val="FollowedHyperlink"/>
    <w:basedOn w:val="25"/>
    <w:semiHidden/>
    <w:unhideWhenUsed/>
    <w:qFormat/>
    <w:uiPriority w:val="99"/>
    <w:rPr>
      <w:color w:themeColor="followedHyperlink" w:val="954F72"/>
      <w:u w:val="single"/>
      <ns2:textFill>
        <ns2:solidFill>
          <ns2:schemeClr ns2:val="folHlink"/>
        </ns2:solidFill>
      </ns2:textFill>
    </w:rPr>
  </w:style>
  <w:style w:styleId="29" w:type="character">
    <w:name w:val="Emphasis"/>
    <w:basedOn w:val="25"/>
    <w:qFormat/>
    <w:uiPriority w:val="20"/>
    <w:rPr>
      <w:i/>
    </w:rPr>
  </w:style>
  <w:style w:styleId="30" w:type="character">
    <w:name w:val="Hyperlink"/>
    <w:basedOn w:val="25"/>
    <w:unhideWhenUsed/>
    <w:qFormat/>
    <w:uiPriority w:val="99"/>
    <w:rPr>
      <w:color w:themeColor="hyperlink" w:val="0563C1"/>
      <w:u w:val="single"/>
      <ns2:textFill>
        <ns2:solidFill>
          <ns2:schemeClr ns2:val="hlink"/>
        </ns2:solidFill>
      </ns2:textFill>
    </w:rPr>
  </w:style>
  <w:style w:styleId="31" w:type="character">
    <w:name w:val="HTML Code"/>
    <w:basedOn w:val="25"/>
    <w:semiHidden/>
    <w:unhideWhenUsed/>
    <w:qFormat/>
    <w:uiPriority w:val="99"/>
    <w:rPr>
      <w:rFonts w:ascii="Courier New" w:hAnsi="Courier New"/>
      <w:sz w:val="20"/>
    </w:rPr>
  </w:style>
  <w:style w:styleId="32" w:type="character">
    <w:name w:val="annotation reference"/>
    <w:basedOn w:val="25"/>
    <w:semiHidden/>
    <w:unhideWhenUsed/>
    <w:qFormat/>
    <w:uiPriority w:val="99"/>
    <w:rPr>
      <w:sz w:val="21"/>
      <w:szCs w:val="21"/>
    </w:rPr>
  </w:style>
  <w:style w:styleId="33" w:type="character">
    <w:name w:val="footnote reference"/>
    <w:basedOn w:val="25"/>
    <w:semiHidden/>
    <w:unhideWhenUsed/>
    <w:qFormat/>
    <w:uiPriority w:val="99"/>
    <w:rPr>
      <w:vertAlign w:val="superscript"/>
    </w:rPr>
  </w:style>
  <w:style w:customStyle="1" w:styleId="34" w:type="character">
    <w:name w:val="标题 字符"/>
    <w:basedOn w:val="25"/>
    <w:link w:val="21"/>
    <w:qFormat/>
    <w:uiPriority w:val="0"/>
    <w:rPr>
      <w:rFonts w:asciiTheme="majorHAnsi" w:cstheme="majorBidi" w:eastAsia="宋体" w:hAnsiTheme="majorHAnsi"/>
      <w:b/>
      <w:bCs/>
      <w:sz w:val="32"/>
      <w:szCs w:val="32"/>
    </w:rPr>
  </w:style>
  <w:style w:styleId="35" w:type="paragraph">
    <w:name w:val="List Paragraph"/>
    <w:basedOn w:val="1"/>
    <w:qFormat/>
    <w:uiPriority w:val="34"/>
    <w:pPr>
      <w:ind w:firstLine="420" w:firstLineChars="200"/>
    </w:pPr>
  </w:style>
  <w:style w:customStyle="1" w:styleId="36" w:type="character">
    <w:name w:val="标题 1 字符"/>
    <w:basedOn w:val="25"/>
    <w:link w:val="2"/>
    <w:qFormat/>
    <w:uiPriority w:val="9"/>
    <w:rPr>
      <w:rFonts w:eastAsia="黑体"/>
      <w:b/>
      <w:bCs/>
      <w:kern w:val="44"/>
      <w:sz w:val="32"/>
      <w:szCs w:val="44"/>
    </w:rPr>
  </w:style>
  <w:style w:customStyle="1" w:styleId="37" w:type="character">
    <w:name w:val="标题 2 字符"/>
    <w:basedOn w:val="25"/>
    <w:link w:val="3"/>
    <w:qFormat/>
    <w:uiPriority w:val="9"/>
    <w:rPr>
      <w:rFonts w:ascii="黑体" w:cstheme="majorBidi" w:eastAsia="黑体" w:hAnsi="黑体"/>
      <w:b/>
      <w:bCs/>
      <w:sz w:val="24"/>
      <w:szCs w:val="28"/>
    </w:rPr>
  </w:style>
  <w:style w:customStyle="1" w:styleId="38" w:type="character">
    <w:name w:val="标题 3 字符"/>
    <w:basedOn w:val="25"/>
    <w:link w:val="4"/>
    <w:qFormat/>
    <w:uiPriority w:val="9"/>
    <w:rPr>
      <w:rFonts w:ascii="Times New Roman" w:eastAsia="黑体" w:hAnsi="Times New Roman"/>
      <w:b/>
      <w:bCs/>
      <w:sz w:val="24"/>
      <w:szCs w:val="24"/>
    </w:rPr>
  </w:style>
  <w:style w:customStyle="1" w:styleId="39" w:type="character">
    <w:name w:val="atn"/>
    <w:basedOn w:val="25"/>
    <w:qFormat/>
    <w:uiPriority w:val="0"/>
  </w:style>
  <w:style w:customStyle="1" w:styleId="40" w:type="character">
    <w:name w:val="long_text"/>
    <w:basedOn w:val="25"/>
    <w:qFormat/>
    <w:uiPriority w:val="0"/>
  </w:style>
  <w:style w:customStyle="1" w:styleId="41" w:type="character">
    <w:name w:val="alt-edited1"/>
    <w:basedOn w:val="25"/>
    <w:qFormat/>
    <w:uiPriority w:val="0"/>
    <w:rPr>
      <w:color w:val="4D90F0"/>
    </w:rPr>
  </w:style>
  <w:style w:customStyle="1" w:styleId="42" w:type="character">
    <w:name w:val="nslog:1022"/>
    <w:basedOn w:val="25"/>
    <w:qFormat/>
    <w:uiPriority w:val="0"/>
  </w:style>
  <w:style w:customStyle="1" w:styleId="43" w:type="character">
    <w:name w:val="标题 4 字符"/>
    <w:basedOn w:val="25"/>
    <w:link w:val="5"/>
    <w:qFormat/>
    <w:uiPriority w:val="9"/>
    <w:rPr>
      <w:rFonts w:asciiTheme="majorHAnsi" w:cstheme="majorBidi" w:eastAsiaTheme="majorEastAsia" w:hAnsiTheme="majorHAnsi"/>
      <w:b/>
      <w:bCs/>
      <w:sz w:val="28"/>
      <w:szCs w:val="28"/>
    </w:rPr>
  </w:style>
  <w:style w:customStyle="1" w:styleId="44" w:type="paragraph">
    <w:name w:val="TOC 标题1"/>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val="0"/>
      <w:bCs w:val="0"/>
      <w:color w:themeColor="accent1" w:themeShade="BF" w:val="2E75B6"/>
      <w:kern w:val="0"/>
      <w:szCs w:val="32"/>
      <w:lang w:eastAsia="en-US"/>
    </w:rPr>
  </w:style>
  <w:style w:customStyle="1" w:styleId="45" w:type="character">
    <w:name w:val="批注框文本 字符"/>
    <w:basedOn w:val="25"/>
    <w:link w:val="13"/>
    <w:semiHidden/>
    <w:qFormat/>
    <w:uiPriority w:val="99"/>
    <w:rPr>
      <w:sz w:val="16"/>
      <w:szCs w:val="16"/>
    </w:rPr>
  </w:style>
  <w:style w:customStyle="1" w:styleId="46" w:type="paragraph">
    <w:name w:val="references"/>
    <w:qFormat/>
    <w:uiPriority w:val="0"/>
    <w:pPr>
      <w:numPr>
        <w:ilvl w:val="0"/>
        <w:numId w:val="1"/>
      </w:numPr>
      <w:suppressAutoHyphens/>
      <w:spacing w:after="50" w:line="180" w:lineRule="atLeast"/>
      <w:jc w:val="both"/>
    </w:pPr>
    <w:rPr>
      <w:rFonts w:ascii="Times New Roman" w:cs="Times New Roman" w:eastAsia="MS Mincho" w:hAnsi="Times New Roman"/>
      <w:sz w:val="18"/>
      <w:szCs w:val="16"/>
      <w:lang w:bidi="ar-SA" w:eastAsia="zh-CN" w:val="zh-CN"/>
    </w:rPr>
  </w:style>
  <w:style w:customStyle="1" w:styleId="47" w:type="character">
    <w:name w:val="尾注文本 字符"/>
    <w:basedOn w:val="25"/>
    <w:link w:val="12"/>
    <w:qFormat/>
    <w:uiPriority w:val="99"/>
  </w:style>
  <w:style w:customStyle="1" w:styleId="48" w:type="character">
    <w:name w:val="页脚 字符"/>
    <w:basedOn w:val="25"/>
    <w:link w:val="14"/>
    <w:qFormat/>
    <w:uiPriority w:val="99"/>
    <w:rPr>
      <w:sz w:val="18"/>
      <w:szCs w:val="18"/>
    </w:rPr>
  </w:style>
  <w:style w:styleId="49" w:type="character">
    <w:name w:val="Placeholder Text"/>
    <w:basedOn w:val="25"/>
    <w:semiHidden/>
    <w:qFormat/>
    <w:uiPriority w:val="99"/>
    <w:rPr>
      <w:color w:val="808080"/>
    </w:rPr>
  </w:style>
  <w:style w:customStyle="1" w:styleId="50" w:type="character">
    <w:name w:val="批注文字 字符"/>
    <w:basedOn w:val="25"/>
    <w:link w:val="7"/>
    <w:qFormat/>
    <w:uiPriority w:val="99"/>
    <w:rPr>
      <w:sz w:val="24"/>
    </w:rPr>
  </w:style>
  <w:style w:customStyle="1" w:styleId="51" w:type="character">
    <w:name w:val="批注主题 字符"/>
    <w:basedOn w:val="50"/>
    <w:link w:val="22"/>
    <w:semiHidden/>
    <w:qFormat/>
    <w:uiPriority w:val="99"/>
    <w:rPr>
      <w:b/>
      <w:bCs/>
      <w:sz w:val="24"/>
    </w:rPr>
  </w:style>
  <w:style w:customStyle="1" w:styleId="52" w:type="character">
    <w:name w:val="副标题 字符"/>
    <w:basedOn w:val="25"/>
    <w:link w:val="17"/>
    <w:qFormat/>
    <w:uiPriority w:val="11"/>
    <w:rPr>
      <w:rFonts w:asciiTheme="majorHAnsi" w:cstheme="majorBidi" w:eastAsia="宋体" w:hAnsiTheme="majorHAnsi"/>
      <w:b/>
      <w:bCs/>
      <w:kern w:val="28"/>
      <w:sz w:val="32"/>
      <w:szCs w:val="32"/>
    </w:rPr>
  </w:style>
  <w:style w:customStyle="1" w:styleId="53" w:type="character">
    <w:name w:val="不明显强调1"/>
    <w:basedOn w:val="25"/>
    <w:qFormat/>
    <w:uiPriority w:val="19"/>
    <w:rPr>
      <w:i/>
      <w:iCs/>
      <w:color w:themeColor="text1" w:themeTint="BF" w:val="404040"/>
      <ns2:textFill>
        <ns2:solidFill>
          <ns2:schemeClr ns2:val="tx1">
            <ns2:lumMod ns2:val="75000"/>
            <ns2:lumOff ns2:val="25000"/>
          </ns2:schemeClr>
        </ns2:solidFill>
      </ns2:textFill>
    </w:rPr>
  </w:style>
  <w:style w:customStyle="1" w:styleId="54" w:type="character">
    <w:name w:val="正文文本 字符"/>
    <w:basedOn w:val="25"/>
    <w:link w:val="8"/>
    <w:qFormat/>
    <w:uiPriority w:val="0"/>
    <w:rPr>
      <w:rFonts w:ascii="Times New Roman" w:cs="Times New Roman" w:eastAsia="宋体" w:hAnsi="Times New Roman"/>
      <w:b/>
      <w:sz w:val="28"/>
      <w:szCs w:val="20"/>
    </w:rPr>
  </w:style>
  <w:style w:customStyle="1" w:styleId="55" w:type="character">
    <w:name w:val="正文文本缩进 2 字符"/>
    <w:basedOn w:val="25"/>
    <w:link w:val="11"/>
    <w:semiHidden/>
    <w:qFormat/>
    <w:uiPriority w:val="99"/>
    <w:rPr>
      <w:sz w:val="24"/>
    </w:rPr>
  </w:style>
  <w:style w:customStyle="1" w:styleId="56" w:type="character">
    <w:name w:val="页眉 字符"/>
    <w:basedOn w:val="25"/>
    <w:link w:val="15"/>
    <w:qFormat/>
    <w:uiPriority w:val="99"/>
    <w:rPr>
      <w:sz w:val="18"/>
      <w:szCs w:val="18"/>
    </w:rPr>
  </w:style>
  <w:style w:customStyle="1" w:styleId="57" w:type="character">
    <w:name w:val="脚注文本 字符"/>
    <w:basedOn w:val="25"/>
    <w:link w:val="18"/>
    <w:semiHidden/>
    <w:qFormat/>
    <w:uiPriority w:val="99"/>
    <w:rPr>
      <w:sz w:val="18"/>
      <w:szCs w:val="18"/>
    </w:rPr>
  </w:style>
  <w:style w:customStyle="1" w:styleId="58" w:type="character">
    <w:name w:val="日期 字符"/>
    <w:basedOn w:val="25"/>
    <w:link w:val="10"/>
    <w:semiHidden/>
    <w:qFormat/>
    <w:uiPriority w:val="99"/>
    <w:rPr>
      <w:sz w:val="24"/>
    </w:rPr>
  </w:style>
  <w:style w:customStyle="1" w:styleId="59" w:type="table">
    <w:name w:val="三线表"/>
    <w:basedOn w:val="23"/>
    <w:qFormat/>
    <w:uiPriority w:val="99"/>
    <w:rPr>
      <w:rFonts w:asciiTheme="minorHAnsi" w:cstheme="minorBidi" w:eastAsiaTheme="minorEastAsia" w:hAnsiTheme="minorHAnsi"/>
      <w:kern w:val="2"/>
      <w:sz w:val="21"/>
      <w:szCs w:val="22"/>
    </w:rPr>
    <w:tblPr>
      <w:tblBorders>
        <w:top w:color="auto" w:space="0" w:sz="4" w:val="single"/>
        <w:bottom w:color="auto" w:space="0" w:sz="12" w:val="single"/>
      </w:tblBorders>
    </w:tblPr>
    <w:tcPr>
      <w:shd w:color="auto" w:fill="auto" w:val="clear"/>
    </w:tcPr>
    <w:tblStylePr w:type="firstRow">
      <w:tcPr>
        <w:tcBorders>
          <w:top w:color="auto" w:space="0" w:sz="12" w:val="single"/>
          <w:bottom w:color="auto" w:space="0" w:sz="4" w:val="single"/>
        </w:tcBorders>
        <w:shd w:color="auto" w:fill="auto" w:val="clear"/>
      </w:tcPr>
    </w:tblStylePr>
  </w:style>
  <w:style w:customStyle="1" w:styleId="60" w:type="table">
    <w:name w:val="无格式表格 11"/>
    <w:basedOn w:val="23"/>
    <w:qFormat/>
    <w:uiPriority w:val="41"/>
    <w:tblPr>
      <w:tblBorders>
        <w:top w:color="BEBEBE" w:space="0" w:sz="4" w:themeColor="background1" w:themeShade="BF" w:val="single"/>
        <w:left w:color="BEBEBE" w:space="0" w:sz="4" w:themeColor="background1" w:themeShade="BF" w:val="single"/>
        <w:bottom w:color="BEBEBE" w:space="0" w:sz="4" w:themeColor="background1" w:themeShade="BF" w:val="single"/>
        <w:right w:color="BEBEBE" w:space="0" w:sz="4" w:themeColor="background1" w:themeShade="BF" w:val="single"/>
        <w:insideH w:color="BEBEBE" w:space="0" w:sz="4" w:themeColor="background1" w:themeShade="BF" w:val="single"/>
        <w:insideV w:color="BEBEBE" w:space="0" w:sz="4" w:themeColor="background1" w:themeShade="BF" w:val="single"/>
      </w:tblBorders>
    </w:tblPr>
    <w:tblStylePr w:type="firstRow">
      <w:rPr>
        <w:b/>
        <w:bCs/>
      </w:rPr>
    </w:tblStylePr>
    <w:tblStylePr w:type="lastRow">
      <w:rPr>
        <w:b/>
        <w:bCs/>
      </w:rPr>
      <w:tcPr>
        <w:tcBorders>
          <w:top w:color="BEBEBE" w:space="0" w:sz="4" w:themeColor="background1" w:themeShade="BF" w:val="double"/>
        </w:tcBorders>
      </w:tcPr>
    </w:tblStylePr>
    <w:tblStylePr w:type="firstCol">
      <w:rPr>
        <w:b/>
        <w:bCs/>
      </w:rPr>
    </w:tblStylePr>
    <w:tblStylePr w:type="lastCol">
      <w:rPr>
        <w:b/>
        <w:bCs/>
      </w:rPr>
    </w:tblStylePr>
    <w:tblStylePr w:type="band1Vert">
      <w:tcPr>
        <w:shd w:color="auto" w:fill="F1F1F1" w:themeFill="background1" w:themeFillShade="F2" w:val="clear"/>
      </w:tcPr>
    </w:tblStylePr>
    <w:tblStylePr w:type="band1Horz">
      <w:tcPr>
        <w:shd w:color="auto" w:fill="F1F1F1" w:themeFill="background1" w:themeFillShade="F2" w:val="clear"/>
      </w:tcPr>
    </w:tblStylePr>
  </w:style>
  <w:style w:customStyle="1" w:styleId="61" w:type="paragraph">
    <w:name w:val="正文1"/>
    <w:basedOn w:val="1"/>
    <w:link w:val="62"/>
    <w:qFormat/>
    <w:uiPriority w:val="0"/>
    <w:pPr>
      <w:spacing w:line="360" w:lineRule="auto"/>
      <w:ind w:firstLine="200" w:firstLineChars="200"/>
    </w:pPr>
    <w:rPr>
      <w:rFonts w:ascii="Times New Roman" w:eastAsia="宋体" w:hAnsi="Times New Roman"/>
    </w:rPr>
  </w:style>
  <w:style w:customStyle="1" w:styleId="62" w:type="character">
    <w:name w:val="正文1 字符"/>
    <w:basedOn w:val="25"/>
    <w:link w:val="61"/>
    <w:qFormat/>
    <w:uiPriority w:val="0"/>
    <w:rPr>
      <w:rFonts w:cstheme="minorBidi"/>
      <w:kern w:val="2"/>
      <w:sz w:val="24"/>
      <w:szCs w:val="22"/>
    </w:rPr>
  </w:style>
  <w:style w:customStyle="1" w:styleId="Compact" w:type="paragraph">
    <w:name w:val="Compact"/>
    <w:basedOn w:val="1"/>
    <w:qFormat/>
    <w:pPr>
      <w:spacing w:after="0" w:before="0" w:line="240" w:lineRule="auto"/>
    </w:pPr>
    <w:rPr>
      <w:rFonts w:ascii="Times New Roman" w:cs="Times New Roman" w:eastAsia="宋体" w:hAnsi="Times New Roman"/>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8174</Words>
  <Characters>9291</Characters>
  <Lines>923</Lines>
  <Paragraphs>700</Paragraphs>
  <TotalTime>4</TotalTime>
  <ScaleCrop>false</ScaleCrop>
  <LinksUpToDate>false</LinksUpToDate>
  <CharactersWithSpaces>9393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智安护居——多模态居家老人智能风险防控平台</dc:title>
  <dc:creator>学校—团队负责人姓名—手机号</dc:creator>
  <dc:language>zh-CN</dc:language>
  <cp:keywords/>
  <dcterms:created xsi:type="dcterms:W3CDTF">2026-09-04T08:31:43Z</dcterms:created>
  <dcterms:modified xsi:type="dcterms:W3CDTF">2026-09-04T08:31:43Z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2026年9月</vt:lpwstr>
  </property>
  <property fmtid="{D5CDD505-2E9C-101B-9397-08002B2CF9AE}" pid="3" name="subtitle">
    <vt:lpwstr>验证设计说明</vt:lpwstr>
  </property>
  <property fmtid="{D5CDD505-2E9C-101B-9397-08002B2CF9AE}" pid="4" name="toc-title">
    <vt:lpwstr>目录</vt:lpwstr>
  </property>
</Properties>
</file>