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798F4" w14:textId="1895226A" w:rsidR="00FC79F0" w:rsidRPr="00F64DAB" w:rsidRDefault="00FC79F0" w:rsidP="00FC79F0">
      <w:pPr>
        <w:spacing w:line="276" w:lineRule="auto"/>
        <w:jc w:val="left"/>
        <w:rPr>
          <w:rFonts w:eastAsia="AR PL UMing HK"/>
          <w:b/>
          <w:kern w:val="0"/>
          <w:sz w:val="32"/>
          <w:szCs w:val="32"/>
          <w:lang w:val="en"/>
        </w:rPr>
      </w:pPr>
      <w:r w:rsidRPr="00FC79F0">
        <w:rPr>
          <w:rFonts w:eastAsia="AR PL UMing HK"/>
          <w:b/>
          <w:kern w:val="0"/>
          <w:sz w:val="32"/>
          <w:szCs w:val="32"/>
        </w:rPr>
        <w:t>Supporting Information</w:t>
      </w:r>
      <w:r>
        <w:rPr>
          <w:rFonts w:eastAsia="AR PL UMing HK"/>
          <w:b/>
          <w:kern w:val="0"/>
          <w:sz w:val="32"/>
          <w:szCs w:val="32"/>
        </w:rPr>
        <w:t>/</w:t>
      </w:r>
      <w:r w:rsidRPr="0029153F">
        <w:rPr>
          <w:rFonts w:eastAsia="AR PL UMing HK"/>
          <w:b/>
          <w:kern w:val="0"/>
          <w:sz w:val="32"/>
          <w:szCs w:val="32"/>
        </w:rPr>
        <w:t xml:space="preserve">materials </w:t>
      </w:r>
    </w:p>
    <w:p w14:paraId="73F3A52D" w14:textId="77777777" w:rsidR="00FC79F0" w:rsidRDefault="00FC79F0" w:rsidP="00FC79F0">
      <w:pPr>
        <w:spacing w:line="276" w:lineRule="auto"/>
        <w:jc w:val="left"/>
        <w:rPr>
          <w:rFonts w:eastAsia="AR PL UMing HK"/>
          <w:b/>
          <w:kern w:val="0"/>
          <w:sz w:val="32"/>
          <w:szCs w:val="32"/>
        </w:rPr>
      </w:pPr>
    </w:p>
    <w:p w14:paraId="651495B3" w14:textId="2E8AABEB" w:rsidR="00FC79F0" w:rsidRDefault="00FC79F0" w:rsidP="00FC79F0">
      <w:pPr>
        <w:spacing w:line="276" w:lineRule="auto"/>
        <w:jc w:val="left"/>
        <w:rPr>
          <w:rFonts w:eastAsia="AR PL UMing HK"/>
          <w:b/>
          <w:kern w:val="0"/>
          <w:sz w:val="32"/>
          <w:szCs w:val="32"/>
        </w:rPr>
      </w:pPr>
      <w:r>
        <w:rPr>
          <w:rFonts w:eastAsia="AR PL UMing HK"/>
          <w:b/>
          <w:noProof/>
          <w:kern w:val="0"/>
          <w:sz w:val="32"/>
          <w:szCs w:val="32"/>
        </w:rPr>
        <w:drawing>
          <wp:inline distT="0" distB="0" distL="0" distR="0" wp14:anchorId="0441B0AC" wp14:editId="40D46099">
            <wp:extent cx="5269865" cy="475170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D2A9" w14:textId="77777777" w:rsidR="00FC79F0" w:rsidRDefault="00FC79F0" w:rsidP="00FC79F0">
      <w:pPr>
        <w:spacing w:line="276" w:lineRule="auto"/>
        <w:ind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Figure S1 </w:t>
      </w:r>
      <w:r w:rsidRPr="00C06EBE">
        <w:rPr>
          <w:b/>
          <w:bCs/>
          <w:sz w:val="22"/>
          <w:szCs w:val="22"/>
        </w:rPr>
        <w:t>Purity and molecular mass of CV-N</w:t>
      </w:r>
      <w:r>
        <w:rPr>
          <w:b/>
          <w:bCs/>
          <w:sz w:val="22"/>
          <w:szCs w:val="22"/>
        </w:rPr>
        <w:t xml:space="preserve">. </w:t>
      </w:r>
      <w:r w:rsidRPr="00C06EBE">
        <w:rPr>
          <w:sz w:val="22"/>
          <w:szCs w:val="22"/>
        </w:rPr>
        <w:t>(A) The chromatographic data w</w:t>
      </w:r>
      <w:r>
        <w:rPr>
          <w:sz w:val="22"/>
          <w:szCs w:val="22"/>
        </w:rPr>
        <w:t>as</w:t>
      </w:r>
      <w:r w:rsidRPr="00C06EBE">
        <w:rPr>
          <w:sz w:val="22"/>
          <w:szCs w:val="22"/>
        </w:rPr>
        <w:t xml:space="preserve"> obtained at 40˚C on a Phenomenex/Luna C18 (2) column (5 µm, 4.6 × 150 mm) applying a linear gradient of 20-40% buffer B (buffer A: 0.1% trifluoroacetic acid in water; buffer B: 0.09% trifluoroacetic acid in (80% acetonitrile plus 20% water)) at a flow rate of 1 mL/min over 20 min. (B) The molecular mass was measured by electrospray ionization mass spectrometry (Chiron Mimotopes, Victoria, Australia).</w:t>
      </w:r>
    </w:p>
    <w:p w14:paraId="1701870C" w14:textId="30DB4960" w:rsidR="00FC79F0" w:rsidRDefault="00FC79F0" w:rsidP="00FC79F0">
      <w:pPr>
        <w:spacing w:line="276" w:lineRule="auto"/>
        <w:ind w:firstLine="420"/>
      </w:pPr>
      <w:r>
        <w:rPr>
          <w:noProof/>
        </w:rPr>
        <w:lastRenderedPageBreak/>
        <w:drawing>
          <wp:inline distT="0" distB="0" distL="0" distR="0" wp14:anchorId="6723671C" wp14:editId="51D699E8">
            <wp:extent cx="4064635" cy="2833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8F2F" w14:textId="77777777" w:rsidR="00FC79F0" w:rsidRPr="00D63927" w:rsidRDefault="00FC79F0" w:rsidP="00FC79F0">
      <w:pPr>
        <w:spacing w:line="276" w:lineRule="auto"/>
        <w:ind w:firstLine="420"/>
        <w:rPr>
          <w:sz w:val="22"/>
          <w:szCs w:val="22"/>
          <w:lang w:val="en"/>
        </w:rPr>
      </w:pPr>
      <w:r w:rsidRPr="00D63927">
        <w:rPr>
          <w:rFonts w:hint="eastAsia"/>
          <w:b/>
          <w:bCs/>
        </w:rPr>
        <w:t>F</w:t>
      </w:r>
      <w:r w:rsidRPr="00D63927">
        <w:rPr>
          <w:b/>
          <w:bCs/>
        </w:rPr>
        <w:t xml:space="preserve">igure S2 Protein </w:t>
      </w:r>
      <w:r w:rsidRPr="00D63927">
        <w:rPr>
          <w:b/>
          <w:bCs/>
          <w:sz w:val="22"/>
          <w:szCs w:val="22"/>
          <w:lang w:val="en"/>
        </w:rPr>
        <w:t>Backbone R</w:t>
      </w:r>
      <w:r w:rsidRPr="00D63927">
        <w:rPr>
          <w:rFonts w:hint="eastAsia"/>
          <w:b/>
          <w:bCs/>
          <w:sz w:val="22"/>
          <w:szCs w:val="22"/>
          <w:lang w:val="en"/>
        </w:rPr>
        <w:t>MSD</w:t>
      </w:r>
      <w:r w:rsidRPr="00D63927">
        <w:rPr>
          <w:b/>
          <w:bCs/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 xml:space="preserve">curve </w:t>
      </w:r>
      <w:r w:rsidRPr="00D63927">
        <w:rPr>
          <w:b/>
          <w:bCs/>
          <w:sz w:val="22"/>
          <w:szCs w:val="22"/>
          <w:lang w:val="en"/>
        </w:rPr>
        <w:t>of the RBD-CV-N complex</w:t>
      </w:r>
      <w:r>
        <w:rPr>
          <w:b/>
          <w:bCs/>
          <w:sz w:val="22"/>
          <w:szCs w:val="22"/>
          <w:lang w:val="en"/>
        </w:rPr>
        <w:t xml:space="preserve">. </w:t>
      </w:r>
      <w:r w:rsidRPr="00D63927">
        <w:rPr>
          <w:sz w:val="22"/>
          <w:szCs w:val="22"/>
          <w:lang w:val="en"/>
        </w:rPr>
        <w:t>The backbone RMSD of the RBD-CV-N complex is drawn after a duration of 100 ns that reveals the stable nature of the complex throughout the course of simulation.</w:t>
      </w:r>
    </w:p>
    <w:p w14:paraId="306BBAA5" w14:textId="15BDC11D" w:rsidR="00D12A7D" w:rsidRDefault="00D12A7D" w:rsidP="00FC79F0"/>
    <w:sectPr w:rsidR="00D12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F0"/>
    <w:rsid w:val="00D12A7D"/>
    <w:rsid w:val="00FC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DE0B"/>
  <w15:chartTrackingRefBased/>
  <w15:docId w15:val="{70D60232-2318-438E-BE4F-67ADFF43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9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dx</dc:creator>
  <cp:keywords/>
  <dc:description/>
  <cp:lastModifiedBy>li dx</cp:lastModifiedBy>
  <cp:revision>1</cp:revision>
  <dcterms:created xsi:type="dcterms:W3CDTF">2021-02-07T10:10:00Z</dcterms:created>
  <dcterms:modified xsi:type="dcterms:W3CDTF">2021-02-07T10:12:00Z</dcterms:modified>
</cp:coreProperties>
</file>