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3B63"/>
          <w:sz w:val="32"/>
        </w:rPr>
        <w:t>Práctica: Clasificador Naive Bayes con 5-fold cross-validation</w:t>
      </w:r>
    </w:p>
    <w:p>
      <w:pPr>
        <w:spacing w:after="200"/>
        <w:jc w:val="center"/>
      </w:pPr>
      <w:r>
        <w:rPr>
          <w:i/>
          <w:sz w:val="20"/>
        </w:rPr>
        <w:t>Banco de datos: Iris Plant  |  Fecha: 27 de octubre de 2026</w:t>
      </w:r>
    </w:p>
    <w:p>
      <w:pPr>
        <w:spacing w:before="160" w:after="60"/>
      </w:pPr>
      <w:r>
        <w:rPr>
          <w:b/>
          <w:color w:val="1F3B63"/>
          <w:sz w:val="26"/>
        </w:rPr>
        <w:t>1. Objetivo</w:t>
      </w:r>
    </w:p>
    <w:p>
      <w:pPr>
        <w:jc w:val="both"/>
      </w:pPr>
      <w:r>
        <w:t>Implementar el clasificador Naive Bayes sobre el banco de datos Iris Plant y medir su desempeño con validación cruzada de 5 particiones (5-fold cross-validation), reportando matriz de confusión, accuracy, precision, recall y f1-score.</w:t>
      </w:r>
    </w:p>
    <w:p>
      <w:pPr>
        <w:spacing w:before="160" w:after="60"/>
      </w:pPr>
      <w:r>
        <w:rPr>
          <w:b/>
          <w:color w:val="1F3B63"/>
          <w:sz w:val="26"/>
        </w:rPr>
        <w:t>2. Banco de datos</w:t>
      </w:r>
    </w:p>
    <w:p>
      <w:pPr>
        <w:jc w:val="both"/>
      </w:pPr>
      <w:r>
        <w:t>Iris Plant contiene 150 patrones descritos por 4 características numéricas en centímetros (largo y ancho de sépalo, largo y ancho de pétalo) y una clase que indica la especie: setosa, versicolor y virginica. El banco está balanceado, con 50 patrones por clase, y no tiene valores perdidos, por lo que no fue necesario limpiarlo ni balancearlo antes de clasificar.</w:t>
      </w:r>
    </w:p>
    <w:p>
      <w:pPr>
        <w:spacing w:before="160" w:after="60"/>
      </w:pPr>
      <w:r>
        <w:rPr>
          <w:b/>
          <w:color w:val="1F3B63"/>
          <w:sz w:val="26"/>
        </w:rPr>
        <w:t>3. Metodología</w:t>
      </w:r>
    </w:p>
    <w:p>
      <w:pPr>
        <w:jc w:val="both"/>
      </w:pPr>
      <w:r>
        <w:t>Naive Bayes clasifica calculando, para cada clase, la probabilidad de que el patrón pertenezca a ella y eligiendo la más alta. Su supuesto “ingenuo” es que las características son independientes entre sí; como las cuatro variables de Iris son continuas, se usó la versión gaussiana, que asume que cada característica sigue una distribución normal dentro de cada clase (GaussianNB de scikit-learn).</w:t>
      </w:r>
    </w:p>
    <w:p>
      <w:pPr>
        <w:jc w:val="both"/>
      </w:pPr>
      <w:r>
        <w:t>Para la validación, el banco se divide en 5 particiones del mismo tamaño usando StratifiedKFold, que conserva la proporción de las tres clases en cada partición. En cada una de las 5 iteraciones se entrena un modelo nuevo con 120 patrones (4 particiones) y se prueba con los 30 restantes, de modo que cada patrón se usa exactamente una vez como prueba. Las métricas se calculan por fold y después se promedian; además, las predicciones de los 5 folds se acumulan para construir una sola matriz de confusión sobre los 150 patrones. Las métricas por clase se promediaron con el criterio macro, que da el mismo peso a las tres especies.</w:t>
      </w:r>
    </w:p>
    <w:p>
      <w:pPr>
        <w:spacing w:before="160" w:after="60"/>
      </w:pPr>
      <w:r>
        <w:rPr>
          <w:b/>
          <w:color w:val="1F3B63"/>
          <w:sz w:val="26"/>
        </w:rPr>
        <w:t>4. Resultados</w:t>
      </w:r>
    </w:p>
    <w:p>
      <w:pPr>
        <w:jc w:val="both"/>
      </w:pPr>
      <w:r>
        <w:t>La Tabla 1 muestra las métricas obtenidas en cada partición y el promedio de las cinco.</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pPr>
              <w:spacing w:after="0"/>
            </w:pPr>
            <w:r>
              <w:rPr>
                <w:b/>
                <w:sz w:val="19"/>
              </w:rPr>
              <w:t>Partición</w:t>
            </w:r>
          </w:p>
        </w:tc>
        <w:tc>
          <w:tcPr>
            <w:tcW w:type="dxa" w:w="1930"/>
          </w:tcPr>
          <w:p>
            <w:pPr>
              <w:spacing w:after="0"/>
            </w:pPr>
            <w:r>
              <w:rPr>
                <w:b/>
                <w:sz w:val="19"/>
              </w:rPr>
              <w:t>accuracy</w:t>
            </w:r>
          </w:p>
        </w:tc>
        <w:tc>
          <w:tcPr>
            <w:tcW w:type="dxa" w:w="1930"/>
          </w:tcPr>
          <w:p>
            <w:pPr>
              <w:spacing w:after="0"/>
            </w:pPr>
            <w:r>
              <w:rPr>
                <w:b/>
                <w:sz w:val="19"/>
              </w:rPr>
              <w:t>precision</w:t>
            </w:r>
          </w:p>
        </w:tc>
        <w:tc>
          <w:tcPr>
            <w:tcW w:type="dxa" w:w="1930"/>
          </w:tcPr>
          <w:p>
            <w:pPr>
              <w:spacing w:after="0"/>
            </w:pPr>
            <w:r>
              <w:rPr>
                <w:b/>
                <w:sz w:val="19"/>
              </w:rPr>
              <w:t>recall</w:t>
            </w:r>
          </w:p>
        </w:tc>
        <w:tc>
          <w:tcPr>
            <w:tcW w:type="dxa" w:w="1930"/>
          </w:tcPr>
          <w:p>
            <w:pPr>
              <w:spacing w:after="0"/>
            </w:pPr>
            <w:r>
              <w:rPr>
                <w:b/>
                <w:sz w:val="19"/>
              </w:rPr>
              <w:t>f1-score</w:t>
            </w:r>
          </w:p>
        </w:tc>
      </w:tr>
      <w:tr>
        <w:tc>
          <w:tcPr>
            <w:tcW w:type="dxa" w:w="1930"/>
          </w:tcPr>
          <w:p>
            <w:pPr>
              <w:spacing w:after="0"/>
            </w:pPr>
            <w:r>
              <w:rPr>
                <w:sz w:val="19"/>
              </w:rPr>
              <w:t>Fold 1</w:t>
            </w:r>
          </w:p>
        </w:tc>
        <w:tc>
          <w:tcPr>
            <w:tcW w:type="dxa" w:w="1930"/>
          </w:tcPr>
          <w:p>
            <w:pPr>
              <w:spacing w:after="0"/>
            </w:pPr>
            <w:r>
              <w:rPr>
                <w:sz w:val="19"/>
              </w:rPr>
              <w:t>0.9667</w:t>
            </w:r>
          </w:p>
        </w:tc>
        <w:tc>
          <w:tcPr>
            <w:tcW w:type="dxa" w:w="1930"/>
          </w:tcPr>
          <w:p>
            <w:pPr>
              <w:spacing w:after="0"/>
            </w:pPr>
            <w:r>
              <w:rPr>
                <w:sz w:val="19"/>
              </w:rPr>
              <w:t>0.9697</w:t>
            </w:r>
          </w:p>
        </w:tc>
        <w:tc>
          <w:tcPr>
            <w:tcW w:type="dxa" w:w="1930"/>
          </w:tcPr>
          <w:p>
            <w:pPr>
              <w:spacing w:after="0"/>
            </w:pPr>
            <w:r>
              <w:rPr>
                <w:sz w:val="19"/>
              </w:rPr>
              <w:t>0.9667</w:t>
            </w:r>
          </w:p>
        </w:tc>
        <w:tc>
          <w:tcPr>
            <w:tcW w:type="dxa" w:w="1930"/>
          </w:tcPr>
          <w:p>
            <w:pPr>
              <w:spacing w:after="0"/>
            </w:pPr>
            <w:r>
              <w:rPr>
                <w:sz w:val="19"/>
              </w:rPr>
              <w:t>0.9666</w:t>
            </w:r>
          </w:p>
        </w:tc>
      </w:tr>
      <w:tr>
        <w:tc>
          <w:tcPr>
            <w:tcW w:type="dxa" w:w="1930"/>
          </w:tcPr>
          <w:p>
            <w:pPr>
              <w:spacing w:after="0"/>
            </w:pPr>
            <w:r>
              <w:rPr>
                <w:sz w:val="19"/>
              </w:rPr>
              <w:t>Fold 2</w:t>
            </w:r>
          </w:p>
        </w:tc>
        <w:tc>
          <w:tcPr>
            <w:tcW w:type="dxa" w:w="1930"/>
          </w:tcPr>
          <w:p>
            <w:pPr>
              <w:spacing w:after="0"/>
            </w:pPr>
            <w:r>
              <w:rPr>
                <w:sz w:val="19"/>
              </w:rPr>
              <w:t>0.9667</w:t>
            </w:r>
          </w:p>
        </w:tc>
        <w:tc>
          <w:tcPr>
            <w:tcW w:type="dxa" w:w="1930"/>
          </w:tcPr>
          <w:p>
            <w:pPr>
              <w:spacing w:after="0"/>
            </w:pPr>
            <w:r>
              <w:rPr>
                <w:sz w:val="19"/>
              </w:rPr>
              <w:t>0.9697</w:t>
            </w:r>
          </w:p>
        </w:tc>
        <w:tc>
          <w:tcPr>
            <w:tcW w:type="dxa" w:w="1930"/>
          </w:tcPr>
          <w:p>
            <w:pPr>
              <w:spacing w:after="0"/>
            </w:pPr>
            <w:r>
              <w:rPr>
                <w:sz w:val="19"/>
              </w:rPr>
              <w:t>0.9667</w:t>
            </w:r>
          </w:p>
        </w:tc>
        <w:tc>
          <w:tcPr>
            <w:tcW w:type="dxa" w:w="1930"/>
          </w:tcPr>
          <w:p>
            <w:pPr>
              <w:spacing w:after="0"/>
            </w:pPr>
            <w:r>
              <w:rPr>
                <w:sz w:val="19"/>
              </w:rPr>
              <w:t>0.9666</w:t>
            </w:r>
          </w:p>
        </w:tc>
      </w:tr>
      <w:tr>
        <w:tc>
          <w:tcPr>
            <w:tcW w:type="dxa" w:w="1930"/>
          </w:tcPr>
          <w:p>
            <w:pPr>
              <w:spacing w:after="0"/>
            </w:pPr>
            <w:r>
              <w:rPr>
                <w:sz w:val="19"/>
              </w:rPr>
              <w:t>Fold 3</w:t>
            </w:r>
          </w:p>
        </w:tc>
        <w:tc>
          <w:tcPr>
            <w:tcW w:type="dxa" w:w="1930"/>
          </w:tcPr>
          <w:p>
            <w:pPr>
              <w:spacing w:after="0"/>
            </w:pPr>
            <w:r>
              <w:rPr>
                <w:sz w:val="19"/>
              </w:rPr>
              <w:t>0.9000</w:t>
            </w:r>
          </w:p>
        </w:tc>
        <w:tc>
          <w:tcPr>
            <w:tcW w:type="dxa" w:w="1930"/>
          </w:tcPr>
          <w:p>
            <w:pPr>
              <w:spacing w:after="0"/>
            </w:pPr>
            <w:r>
              <w:rPr>
                <w:sz w:val="19"/>
              </w:rPr>
              <w:t>0.9024</w:t>
            </w:r>
          </w:p>
        </w:tc>
        <w:tc>
          <w:tcPr>
            <w:tcW w:type="dxa" w:w="1930"/>
          </w:tcPr>
          <w:p>
            <w:pPr>
              <w:spacing w:after="0"/>
            </w:pPr>
            <w:r>
              <w:rPr>
                <w:sz w:val="19"/>
              </w:rPr>
              <w:t>0.9000</w:t>
            </w:r>
          </w:p>
        </w:tc>
        <w:tc>
          <w:tcPr>
            <w:tcW w:type="dxa" w:w="1930"/>
          </w:tcPr>
          <w:p>
            <w:pPr>
              <w:spacing w:after="0"/>
            </w:pPr>
            <w:r>
              <w:rPr>
                <w:sz w:val="19"/>
              </w:rPr>
              <w:t>0.8997</w:t>
            </w:r>
          </w:p>
        </w:tc>
      </w:tr>
      <w:tr>
        <w:tc>
          <w:tcPr>
            <w:tcW w:type="dxa" w:w="1930"/>
          </w:tcPr>
          <w:p>
            <w:pPr>
              <w:spacing w:after="0"/>
            </w:pPr>
            <w:r>
              <w:rPr>
                <w:sz w:val="19"/>
              </w:rPr>
              <w:t>Fold 4</w:t>
            </w:r>
          </w:p>
        </w:tc>
        <w:tc>
          <w:tcPr>
            <w:tcW w:type="dxa" w:w="1930"/>
          </w:tcPr>
          <w:p>
            <w:pPr>
              <w:spacing w:after="0"/>
            </w:pPr>
            <w:r>
              <w:rPr>
                <w:sz w:val="19"/>
              </w:rPr>
              <w:t>1.0000</w:t>
            </w:r>
          </w:p>
        </w:tc>
        <w:tc>
          <w:tcPr>
            <w:tcW w:type="dxa" w:w="1930"/>
          </w:tcPr>
          <w:p>
            <w:pPr>
              <w:spacing w:after="0"/>
            </w:pPr>
            <w:r>
              <w:rPr>
                <w:sz w:val="19"/>
              </w:rPr>
              <w:t>1.0000</w:t>
            </w:r>
          </w:p>
        </w:tc>
        <w:tc>
          <w:tcPr>
            <w:tcW w:type="dxa" w:w="1930"/>
          </w:tcPr>
          <w:p>
            <w:pPr>
              <w:spacing w:after="0"/>
            </w:pPr>
            <w:r>
              <w:rPr>
                <w:sz w:val="19"/>
              </w:rPr>
              <w:t>1.0000</w:t>
            </w:r>
          </w:p>
        </w:tc>
        <w:tc>
          <w:tcPr>
            <w:tcW w:type="dxa" w:w="1930"/>
          </w:tcPr>
          <w:p>
            <w:pPr>
              <w:spacing w:after="0"/>
            </w:pPr>
            <w:r>
              <w:rPr>
                <w:sz w:val="19"/>
              </w:rPr>
              <w:t>1.0000</w:t>
            </w:r>
          </w:p>
        </w:tc>
      </w:tr>
      <w:tr>
        <w:tc>
          <w:tcPr>
            <w:tcW w:type="dxa" w:w="1930"/>
          </w:tcPr>
          <w:p>
            <w:pPr>
              <w:spacing w:after="0"/>
            </w:pPr>
            <w:r>
              <w:rPr>
                <w:sz w:val="19"/>
              </w:rPr>
              <w:t>Fold 5</w:t>
            </w:r>
          </w:p>
        </w:tc>
        <w:tc>
          <w:tcPr>
            <w:tcW w:type="dxa" w:w="1930"/>
          </w:tcPr>
          <w:p>
            <w:pPr>
              <w:spacing w:after="0"/>
            </w:pPr>
            <w:r>
              <w:rPr>
                <w:sz w:val="19"/>
              </w:rPr>
              <w:t>0.9000</w:t>
            </w:r>
          </w:p>
        </w:tc>
        <w:tc>
          <w:tcPr>
            <w:tcW w:type="dxa" w:w="1930"/>
          </w:tcPr>
          <w:p>
            <w:pPr>
              <w:spacing w:after="0"/>
            </w:pPr>
            <w:r>
              <w:rPr>
                <w:sz w:val="19"/>
              </w:rPr>
              <w:t>0.9024</w:t>
            </w:r>
          </w:p>
        </w:tc>
        <w:tc>
          <w:tcPr>
            <w:tcW w:type="dxa" w:w="1930"/>
          </w:tcPr>
          <w:p>
            <w:pPr>
              <w:spacing w:after="0"/>
            </w:pPr>
            <w:r>
              <w:rPr>
                <w:sz w:val="19"/>
              </w:rPr>
              <w:t>0.9000</w:t>
            </w:r>
          </w:p>
        </w:tc>
        <w:tc>
          <w:tcPr>
            <w:tcW w:type="dxa" w:w="1930"/>
          </w:tcPr>
          <w:p>
            <w:pPr>
              <w:spacing w:after="0"/>
            </w:pPr>
            <w:r>
              <w:rPr>
                <w:sz w:val="19"/>
              </w:rPr>
              <w:t>0.8997</w:t>
            </w:r>
          </w:p>
        </w:tc>
      </w:tr>
      <w:tr>
        <w:tc>
          <w:tcPr>
            <w:tcW w:type="dxa" w:w="1930"/>
          </w:tcPr>
          <w:p>
            <w:pPr>
              <w:spacing w:after="0"/>
            </w:pPr>
            <w:r>
              <w:rPr>
                <w:sz w:val="19"/>
              </w:rPr>
              <w:t>Promedio</w:t>
            </w:r>
          </w:p>
        </w:tc>
        <w:tc>
          <w:tcPr>
            <w:tcW w:type="dxa" w:w="1930"/>
          </w:tcPr>
          <w:p>
            <w:pPr>
              <w:spacing w:after="0"/>
            </w:pPr>
            <w:r>
              <w:rPr>
                <w:sz w:val="19"/>
              </w:rPr>
              <w:t>0.9467</w:t>
            </w:r>
          </w:p>
        </w:tc>
        <w:tc>
          <w:tcPr>
            <w:tcW w:type="dxa" w:w="1930"/>
          </w:tcPr>
          <w:p>
            <w:pPr>
              <w:spacing w:after="0"/>
            </w:pPr>
            <w:r>
              <w:rPr>
                <w:sz w:val="19"/>
              </w:rPr>
              <w:t>0.9488</w:t>
            </w:r>
          </w:p>
        </w:tc>
        <w:tc>
          <w:tcPr>
            <w:tcW w:type="dxa" w:w="1930"/>
          </w:tcPr>
          <w:p>
            <w:pPr>
              <w:spacing w:after="0"/>
            </w:pPr>
            <w:r>
              <w:rPr>
                <w:sz w:val="19"/>
              </w:rPr>
              <w:t>0.9467</w:t>
            </w:r>
          </w:p>
        </w:tc>
        <w:tc>
          <w:tcPr>
            <w:tcW w:type="dxa" w:w="1930"/>
          </w:tcPr>
          <w:p>
            <w:pPr>
              <w:spacing w:after="0"/>
            </w:pPr>
            <w:r>
              <w:rPr>
                <w:sz w:val="19"/>
              </w:rPr>
              <w:t>0.9465</w:t>
            </w:r>
          </w:p>
        </w:tc>
      </w:tr>
      <w:tr>
        <w:tc>
          <w:tcPr>
            <w:tcW w:type="dxa" w:w="1930"/>
          </w:tcPr>
          <w:p>
            <w:pPr>
              <w:spacing w:after="0"/>
            </w:pPr>
            <w:r>
              <w:rPr>
                <w:sz w:val="19"/>
              </w:rPr>
              <w:t>Desv. estándar</w:t>
            </w:r>
          </w:p>
        </w:tc>
        <w:tc>
          <w:tcPr>
            <w:tcW w:type="dxa" w:w="1930"/>
          </w:tcPr>
          <w:p>
            <w:pPr>
              <w:spacing w:after="0"/>
            </w:pPr>
            <w:r>
              <w:rPr>
                <w:sz w:val="19"/>
              </w:rPr>
              <w:t>0.0447</w:t>
            </w:r>
          </w:p>
        </w:tc>
        <w:tc>
          <w:tcPr>
            <w:tcW w:type="dxa" w:w="1930"/>
          </w:tcPr>
          <w:p>
            <w:pPr>
              <w:spacing w:after="0"/>
            </w:pPr>
            <w:r>
              <w:rPr>
                <w:sz w:val="19"/>
              </w:rPr>
              <w:t>0.0442</w:t>
            </w:r>
          </w:p>
        </w:tc>
        <w:tc>
          <w:tcPr>
            <w:tcW w:type="dxa" w:w="1930"/>
          </w:tcPr>
          <w:p>
            <w:pPr>
              <w:spacing w:after="0"/>
            </w:pPr>
            <w:r>
              <w:rPr>
                <w:sz w:val="19"/>
              </w:rPr>
              <w:t>0.0447</w:t>
            </w:r>
          </w:p>
        </w:tc>
        <w:tc>
          <w:tcPr>
            <w:tcW w:type="dxa" w:w="1930"/>
          </w:tcPr>
          <w:p>
            <w:pPr>
              <w:spacing w:after="0"/>
            </w:pPr>
            <w:r>
              <w:rPr>
                <w:sz w:val="19"/>
              </w:rPr>
              <w:t>0.0449</w:t>
            </w:r>
          </w:p>
        </w:tc>
      </w:tr>
    </w:tbl>
    <w:p>
      <w:pPr>
        <w:spacing w:after="0"/>
      </w:pPr>
    </w:p>
    <w:p>
      <w:pPr>
        <w:jc w:val="center"/>
      </w:pPr>
      <w:r>
        <w:rPr>
          <w:i/>
          <w:sz w:val="17"/>
        </w:rPr>
        <w:t>Tabla 1. Métricas por fold y promedio general (promedio macro de las 3 clases).</w:t>
      </w:r>
    </w:p>
    <w:p>
      <w:pPr>
        <w:jc w:val="both"/>
      </w:pPr>
      <w:r>
        <w:t>El accuracy promedio fue de 94.67 % con una desviación estándar de 4.47 %. El resultado se mantiene entre 90 % y 100 % en todos los folds, lo que indica que el desempeño no depende de una partición en particular.</w:t>
      </w:r>
    </w:p>
    <w:p>
      <w:pPr>
        <w:jc w:val="center"/>
      </w:pPr>
      <w:r>
        <w:drawing>
          <wp:inline xmlns:a="http://schemas.openxmlformats.org/drawingml/2006/main" xmlns:pic="http://schemas.openxmlformats.org/drawingml/2006/picture">
            <wp:extent cx="3474720" cy="2026920"/>
            <wp:docPr id="1" name="Picture 1"/>
            <wp:cNvGraphicFramePr>
              <a:graphicFrameLocks noChangeAspect="1"/>
            </wp:cNvGraphicFramePr>
            <a:graphic>
              <a:graphicData uri="http://schemas.openxmlformats.org/drawingml/2006/picture">
                <pic:pic>
                  <pic:nvPicPr>
                    <pic:cNvPr id="0" name="fig_accuracy_folds.png"/>
                    <pic:cNvPicPr/>
                  </pic:nvPicPr>
                  <pic:blipFill>
                    <a:blip r:embed="rId9"/>
                    <a:stretch>
                      <a:fillRect/>
                    </a:stretch>
                  </pic:blipFill>
                  <pic:spPr>
                    <a:xfrm>
                      <a:off x="0" y="0"/>
                      <a:ext cx="3474720" cy="2026920"/>
                    </a:xfrm>
                    <a:prstGeom prst="rect"/>
                  </pic:spPr>
                </pic:pic>
              </a:graphicData>
            </a:graphic>
          </wp:inline>
        </w:drawing>
      </w:r>
    </w:p>
    <w:p>
      <w:pPr>
        <w:spacing w:after="160"/>
        <w:jc w:val="center"/>
      </w:pPr>
      <w:r>
        <w:rPr>
          <w:i/>
          <w:sz w:val="17"/>
        </w:rPr>
        <w:t>Figura 1. Accuracy obtenido en cada una de las 5 particiones.</w:t>
      </w:r>
    </w:p>
    <w:p>
      <w:pPr>
        <w:jc w:val="both"/>
      </w:pPr>
      <w:r>
        <w:t>La matriz de confusión acumulada (Tabla 2) concentra los errores en un solo lugar: setosa se clasificó perfectamente (50 de 50), mientras que 4 patrones de versicolor se confundieron con virginica y 4 de virginica con versicolor, es decir, 8 errores de 150.</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pPr>
              <w:spacing w:after="0"/>
            </w:pPr>
            <w:r>
              <w:rPr>
                <w:b/>
                <w:sz w:val="19"/>
              </w:rPr>
            </w:r>
          </w:p>
        </w:tc>
        <w:tc>
          <w:tcPr>
            <w:tcW w:type="dxa" w:w="2412"/>
          </w:tcPr>
          <w:p>
            <w:pPr>
              <w:spacing w:after="0"/>
            </w:pPr>
            <w:r>
              <w:rPr>
                <w:b/>
                <w:sz w:val="19"/>
              </w:rPr>
              <w:t>Pred. setosa</w:t>
            </w:r>
          </w:p>
        </w:tc>
        <w:tc>
          <w:tcPr>
            <w:tcW w:type="dxa" w:w="2412"/>
          </w:tcPr>
          <w:p>
            <w:pPr>
              <w:spacing w:after="0"/>
            </w:pPr>
            <w:r>
              <w:rPr>
                <w:b/>
                <w:sz w:val="19"/>
              </w:rPr>
              <w:t>Pred. versicolor</w:t>
            </w:r>
          </w:p>
        </w:tc>
        <w:tc>
          <w:tcPr>
            <w:tcW w:type="dxa" w:w="2412"/>
          </w:tcPr>
          <w:p>
            <w:pPr>
              <w:spacing w:after="0"/>
            </w:pPr>
            <w:r>
              <w:rPr>
                <w:b/>
                <w:sz w:val="19"/>
              </w:rPr>
              <w:t>Pred. virginica</w:t>
            </w:r>
          </w:p>
        </w:tc>
      </w:tr>
      <w:tr>
        <w:tc>
          <w:tcPr>
            <w:tcW w:type="dxa" w:w="2412"/>
          </w:tcPr>
          <w:p>
            <w:pPr>
              <w:spacing w:after="0"/>
            </w:pPr>
            <w:r>
              <w:rPr>
                <w:sz w:val="19"/>
              </w:rPr>
              <w:t>Real setosa</w:t>
            </w:r>
          </w:p>
        </w:tc>
        <w:tc>
          <w:tcPr>
            <w:tcW w:type="dxa" w:w="2412"/>
          </w:tcPr>
          <w:p>
            <w:pPr>
              <w:spacing w:after="0"/>
            </w:pPr>
            <w:r>
              <w:rPr>
                <w:sz w:val="19"/>
              </w:rPr>
              <w:t>50</w:t>
            </w:r>
          </w:p>
        </w:tc>
        <w:tc>
          <w:tcPr>
            <w:tcW w:type="dxa" w:w="2412"/>
          </w:tcPr>
          <w:p>
            <w:pPr>
              <w:spacing w:after="0"/>
            </w:pPr>
            <w:r>
              <w:rPr>
                <w:sz w:val="19"/>
              </w:rPr>
              <w:t>0</w:t>
            </w:r>
          </w:p>
        </w:tc>
        <w:tc>
          <w:tcPr>
            <w:tcW w:type="dxa" w:w="2412"/>
          </w:tcPr>
          <w:p>
            <w:pPr>
              <w:spacing w:after="0"/>
            </w:pPr>
            <w:r>
              <w:rPr>
                <w:sz w:val="19"/>
              </w:rPr>
              <w:t>0</w:t>
            </w:r>
          </w:p>
        </w:tc>
      </w:tr>
      <w:tr>
        <w:tc>
          <w:tcPr>
            <w:tcW w:type="dxa" w:w="2412"/>
          </w:tcPr>
          <w:p>
            <w:pPr>
              <w:spacing w:after="0"/>
            </w:pPr>
            <w:r>
              <w:rPr>
                <w:sz w:val="19"/>
              </w:rPr>
              <w:t>Real versicolor</w:t>
            </w:r>
          </w:p>
        </w:tc>
        <w:tc>
          <w:tcPr>
            <w:tcW w:type="dxa" w:w="2412"/>
          </w:tcPr>
          <w:p>
            <w:pPr>
              <w:spacing w:after="0"/>
            </w:pPr>
            <w:r>
              <w:rPr>
                <w:sz w:val="19"/>
              </w:rPr>
              <w:t>0</w:t>
            </w:r>
          </w:p>
        </w:tc>
        <w:tc>
          <w:tcPr>
            <w:tcW w:type="dxa" w:w="2412"/>
          </w:tcPr>
          <w:p>
            <w:pPr>
              <w:spacing w:after="0"/>
            </w:pPr>
            <w:r>
              <w:rPr>
                <w:sz w:val="19"/>
              </w:rPr>
              <w:t>46</w:t>
            </w:r>
          </w:p>
        </w:tc>
        <w:tc>
          <w:tcPr>
            <w:tcW w:type="dxa" w:w="2412"/>
          </w:tcPr>
          <w:p>
            <w:pPr>
              <w:spacing w:after="0"/>
            </w:pPr>
            <w:r>
              <w:rPr>
                <w:sz w:val="19"/>
              </w:rPr>
              <w:t>4</w:t>
            </w:r>
          </w:p>
        </w:tc>
      </w:tr>
      <w:tr>
        <w:tc>
          <w:tcPr>
            <w:tcW w:type="dxa" w:w="2412"/>
          </w:tcPr>
          <w:p>
            <w:pPr>
              <w:spacing w:after="0"/>
            </w:pPr>
            <w:r>
              <w:rPr>
                <w:sz w:val="19"/>
              </w:rPr>
              <w:t>Real virginica</w:t>
            </w:r>
          </w:p>
        </w:tc>
        <w:tc>
          <w:tcPr>
            <w:tcW w:type="dxa" w:w="2412"/>
          </w:tcPr>
          <w:p>
            <w:pPr>
              <w:spacing w:after="0"/>
            </w:pPr>
            <w:r>
              <w:rPr>
                <w:sz w:val="19"/>
              </w:rPr>
              <w:t>0</w:t>
            </w:r>
          </w:p>
        </w:tc>
        <w:tc>
          <w:tcPr>
            <w:tcW w:type="dxa" w:w="2412"/>
          </w:tcPr>
          <w:p>
            <w:pPr>
              <w:spacing w:after="0"/>
            </w:pPr>
            <w:r>
              <w:rPr>
                <w:sz w:val="19"/>
              </w:rPr>
              <w:t>4</w:t>
            </w:r>
          </w:p>
        </w:tc>
        <w:tc>
          <w:tcPr>
            <w:tcW w:type="dxa" w:w="2412"/>
          </w:tcPr>
          <w:p>
            <w:pPr>
              <w:spacing w:after="0"/>
            </w:pPr>
            <w:r>
              <w:rPr>
                <w:sz w:val="19"/>
              </w:rPr>
              <w:t>46</w:t>
            </w:r>
          </w:p>
        </w:tc>
      </w:tr>
    </w:tbl>
    <w:p>
      <w:pPr>
        <w:spacing w:after="0"/>
      </w:pPr>
    </w:p>
    <w:p>
      <w:pPr>
        <w:jc w:val="center"/>
      </w:pPr>
      <w:r>
        <w:rPr>
          <w:i/>
          <w:sz w:val="17"/>
        </w:rPr>
        <w:t>Tabla 2. Matriz de confusión acumulada de los 5 folds (150 patrones).</w:t>
      </w:r>
    </w:p>
    <w:p>
      <w:pPr>
        <w:jc w:val="both"/>
      </w:pPr>
      <w:r>
        <w:t>Al separar las métricas por clase (Tabla 3) se confirma lo que muestra la matriz: setosa alcanza 1.0 en las tres métricas y las otras dos especies quedan en 0.92, con precision y recall iguales porque cada una recibió tantos errores como los que provocó.</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pPr>
              <w:spacing w:after="0"/>
            </w:pPr>
            <w:r>
              <w:rPr>
                <w:b/>
                <w:sz w:val="19"/>
              </w:rPr>
              <w:t>Clase</w:t>
            </w:r>
          </w:p>
        </w:tc>
        <w:tc>
          <w:tcPr>
            <w:tcW w:type="dxa" w:w="2412"/>
          </w:tcPr>
          <w:p>
            <w:pPr>
              <w:spacing w:after="0"/>
            </w:pPr>
            <w:r>
              <w:rPr>
                <w:b/>
                <w:sz w:val="19"/>
              </w:rPr>
              <w:t>precision</w:t>
            </w:r>
          </w:p>
        </w:tc>
        <w:tc>
          <w:tcPr>
            <w:tcW w:type="dxa" w:w="2412"/>
          </w:tcPr>
          <w:p>
            <w:pPr>
              <w:spacing w:after="0"/>
            </w:pPr>
            <w:r>
              <w:rPr>
                <w:b/>
                <w:sz w:val="19"/>
              </w:rPr>
              <w:t>recall</w:t>
            </w:r>
          </w:p>
        </w:tc>
        <w:tc>
          <w:tcPr>
            <w:tcW w:type="dxa" w:w="2412"/>
          </w:tcPr>
          <w:p>
            <w:pPr>
              <w:spacing w:after="0"/>
            </w:pPr>
            <w:r>
              <w:rPr>
                <w:b/>
                <w:sz w:val="19"/>
              </w:rPr>
              <w:t>f1-score</w:t>
            </w:r>
          </w:p>
        </w:tc>
      </w:tr>
      <w:tr>
        <w:tc>
          <w:tcPr>
            <w:tcW w:type="dxa" w:w="2412"/>
          </w:tcPr>
          <w:p>
            <w:pPr>
              <w:spacing w:after="0"/>
            </w:pPr>
            <w:r>
              <w:rPr>
                <w:sz w:val="19"/>
              </w:rPr>
              <w:t>setosa</w:t>
            </w:r>
          </w:p>
        </w:tc>
        <w:tc>
          <w:tcPr>
            <w:tcW w:type="dxa" w:w="2412"/>
          </w:tcPr>
          <w:p>
            <w:pPr>
              <w:spacing w:after="0"/>
            </w:pPr>
            <w:r>
              <w:rPr>
                <w:sz w:val="19"/>
              </w:rPr>
              <w:t>1.0000</w:t>
            </w:r>
          </w:p>
        </w:tc>
        <w:tc>
          <w:tcPr>
            <w:tcW w:type="dxa" w:w="2412"/>
          </w:tcPr>
          <w:p>
            <w:pPr>
              <w:spacing w:after="0"/>
            </w:pPr>
            <w:r>
              <w:rPr>
                <w:sz w:val="19"/>
              </w:rPr>
              <w:t>1.0000</w:t>
            </w:r>
          </w:p>
        </w:tc>
        <w:tc>
          <w:tcPr>
            <w:tcW w:type="dxa" w:w="2412"/>
          </w:tcPr>
          <w:p>
            <w:pPr>
              <w:spacing w:after="0"/>
            </w:pPr>
            <w:r>
              <w:rPr>
                <w:sz w:val="19"/>
              </w:rPr>
              <w:t>1.0000</w:t>
            </w:r>
          </w:p>
        </w:tc>
      </w:tr>
      <w:tr>
        <w:tc>
          <w:tcPr>
            <w:tcW w:type="dxa" w:w="2412"/>
          </w:tcPr>
          <w:p>
            <w:pPr>
              <w:spacing w:after="0"/>
            </w:pPr>
            <w:r>
              <w:rPr>
                <w:sz w:val="19"/>
              </w:rPr>
              <w:t>versicolor</w:t>
            </w:r>
          </w:p>
        </w:tc>
        <w:tc>
          <w:tcPr>
            <w:tcW w:type="dxa" w:w="2412"/>
          </w:tcPr>
          <w:p>
            <w:pPr>
              <w:spacing w:after="0"/>
            </w:pPr>
            <w:r>
              <w:rPr>
                <w:sz w:val="19"/>
              </w:rPr>
              <w:t>0.9200</w:t>
            </w:r>
          </w:p>
        </w:tc>
        <w:tc>
          <w:tcPr>
            <w:tcW w:type="dxa" w:w="2412"/>
          </w:tcPr>
          <w:p>
            <w:pPr>
              <w:spacing w:after="0"/>
            </w:pPr>
            <w:r>
              <w:rPr>
                <w:sz w:val="19"/>
              </w:rPr>
              <w:t>0.9200</w:t>
            </w:r>
          </w:p>
        </w:tc>
        <w:tc>
          <w:tcPr>
            <w:tcW w:type="dxa" w:w="2412"/>
          </w:tcPr>
          <w:p>
            <w:pPr>
              <w:spacing w:after="0"/>
            </w:pPr>
            <w:r>
              <w:rPr>
                <w:sz w:val="19"/>
              </w:rPr>
              <w:t>0.9200</w:t>
            </w:r>
          </w:p>
        </w:tc>
      </w:tr>
      <w:tr>
        <w:tc>
          <w:tcPr>
            <w:tcW w:type="dxa" w:w="2412"/>
          </w:tcPr>
          <w:p>
            <w:pPr>
              <w:spacing w:after="0"/>
            </w:pPr>
            <w:r>
              <w:rPr>
                <w:sz w:val="19"/>
              </w:rPr>
              <w:t>virginica</w:t>
            </w:r>
          </w:p>
        </w:tc>
        <w:tc>
          <w:tcPr>
            <w:tcW w:type="dxa" w:w="2412"/>
          </w:tcPr>
          <w:p>
            <w:pPr>
              <w:spacing w:after="0"/>
            </w:pPr>
            <w:r>
              <w:rPr>
                <w:sz w:val="19"/>
              </w:rPr>
              <w:t>0.9200</w:t>
            </w:r>
          </w:p>
        </w:tc>
        <w:tc>
          <w:tcPr>
            <w:tcW w:type="dxa" w:w="2412"/>
          </w:tcPr>
          <w:p>
            <w:pPr>
              <w:spacing w:after="0"/>
            </w:pPr>
            <w:r>
              <w:rPr>
                <w:sz w:val="19"/>
              </w:rPr>
              <w:t>0.9200</w:t>
            </w:r>
          </w:p>
        </w:tc>
        <w:tc>
          <w:tcPr>
            <w:tcW w:type="dxa" w:w="2412"/>
          </w:tcPr>
          <w:p>
            <w:pPr>
              <w:spacing w:after="0"/>
            </w:pPr>
            <w:r>
              <w:rPr>
                <w:sz w:val="19"/>
              </w:rPr>
              <w:t>0.9200</w:t>
            </w:r>
          </w:p>
        </w:tc>
      </w:tr>
    </w:tbl>
    <w:p>
      <w:pPr>
        <w:spacing w:after="0"/>
      </w:pPr>
    </w:p>
    <w:p>
      <w:pPr>
        <w:jc w:val="center"/>
      </w:pPr>
      <w:r>
        <w:rPr>
          <w:i/>
          <w:sz w:val="17"/>
        </w:rPr>
        <w:t>Tabla 3. Precision, recall y f1-score por clase.</w:t>
      </w:r>
    </w:p>
    <w:p>
      <w:pPr>
        <w:spacing w:before="160" w:after="60"/>
      </w:pPr>
      <w:r>
        <w:rPr>
          <w:b/>
          <w:color w:val="1F3B63"/>
          <w:sz w:val="26"/>
        </w:rPr>
        <w:t>5. Observaciones y aprendizajes</w:t>
      </w:r>
    </w:p>
    <w:p>
      <w:pPr>
        <w:pStyle w:val="ListBullet"/>
        <w:spacing w:after="60"/>
        <w:jc w:val="both"/>
      </w:pPr>
      <w:r>
        <w:t>La validación cruzada cambia la forma de leer un resultado: con una sola partición el accuracy puede verse muy optimista o muy pesimista (en esta práctica hubo un fold con 100 % y dos con 90 %), mientras que el promedio de los 5 folds es una medida más confiable.</w:t>
      </w:r>
    </w:p>
    <w:p>
      <w:pPr>
        <w:pStyle w:val="ListBullet"/>
        <w:spacing w:after="60"/>
        <w:jc w:val="both"/>
      </w:pPr>
      <w:r>
        <w:t>El accuracy por sí solo no explica el comportamiento del modelo. Fue la matriz de confusión la que mostró que todos los errores están entre versicolor y virginica, dos especies que se traslapan en las medidas del pétalo, mientras setosa es linealmente separable.</w:t>
      </w:r>
    </w:p>
    <w:p>
      <w:pPr>
        <w:pStyle w:val="ListBullet"/>
        <w:spacing w:after="60"/>
        <w:jc w:val="both"/>
      </w:pPr>
      <w:r>
        <w:t>Es importante estratificar las particiones. Al conservar 10 patrones de cada clase en cada fold se evita que un fold quede sin ejemplos de una especie, lo que haría que las métricas por clase no se pudieran calcular correctamente.</w:t>
      </w:r>
    </w:p>
    <w:p>
      <w:pPr>
        <w:pStyle w:val="ListBullet"/>
        <w:spacing w:after="60"/>
        <w:jc w:val="both"/>
      </w:pPr>
      <w:r>
        <w:t>Naive Bayes resultó un clasificador adecuado para este problema a pesar de su supuesto de independencia, que en Iris no se cumple del todo (largo y ancho de pétalo están correlacionados). Aun así entrena en milisegundos y alcanza un desempeño competitivo.</w:t>
      </w:r>
    </w:p>
    <w:p>
      <w:pPr>
        <w:spacing w:before="160" w:after="60"/>
      </w:pPr>
      <w:r>
        <w:rPr>
          <w:b/>
          <w:color w:val="1F3B63"/>
          <w:sz w:val="26"/>
        </w:rPr>
        <w:t>6. Conclusión</w:t>
      </w:r>
    </w:p>
    <w:p>
      <w:pPr>
        <w:jc w:val="both"/>
      </w:pPr>
      <w:r>
        <w:t>El clasificador Naive Bayes gaussiano, evaluado con 5-fold cross-validation sobre Iris Plant, obtuvo un accuracy promedio de 94.67 % y un f1-score macro de 0.947, con solo 8 patrones mal clasificados de 150 y todos ellos en la frontera entre versicolor y virginica. El desempeño es estable entre particiones, por lo que puede considerarse una solución válida y muy económica para este problema.</w:t>
      </w:r>
    </w:p>
    <w:p>
      <w:pPr>
        <w:spacing w:before="160" w:after="60"/>
      </w:pPr>
      <w:r>
        <w:rPr>
          <w:b/>
          <w:color w:val="1F3B63"/>
          <w:sz w:val="26"/>
        </w:rPr>
        <w:t>7. Entregables</w:t>
      </w:r>
    </w:p>
    <w:p>
      <w:pPr>
        <w:jc w:val="both"/>
      </w:pPr>
      <w:r>
        <w:t>Código fuente: naive_bayes_iris_5fold.ipynb (notebook ejecutado por bloques). Resultados exportados: resultados_folds.csv y metricas_por_clase.csv. Figuras: fig_accuracy_folds.png, fig_matriz_confusion.png y fig_metricas_clase.png.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