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 xml:space="preserve">Author Corrections to Proofs</w:t>
      </w:r>
    </w:p>
    <w:p>
      <w:pPr>
        <w:pStyle w:val="Subtitle"/>
        <w:jc w:val="center"/>
      </w:pPr>
      <w:r>
        <w:t xml:space="preserve">Manuscript AIA62026679 — “Using Machine Learning to Enhance the EEG Screening Review by Pre-Screening the EEG” (Collura, Rosace, Turner, Ims &amp; Brubaker)</w:t>
      </w:r>
    </w:p>
    <w:p/>
    <w:p>
      <w:r>
        <w:t xml:space="preserve">The following corrections are listed in manuscript order. Each entry gives the location, the current text, the correction, and the reason. Priority key: [Critical] = factual or numerical error; [Error] = grammar or spelling; [Consistency] = standardization. The two highest-priority items are the specificity range (Item 5) and the metric count (Item 1), both of which are verifiable against Table 4 and Appendix A respectively.</w:t>
      </w:r>
    </w:p>
    <w:p>
      <w:pPr>
        <w:pStyle w:val="Heading2"/>
      </w:pPr>
      <w:r>
        <w:t xml:space="preserve">Critical — factual / numerical</w:t>
      </w:r>
    </w:p>
    <w:p>
      <w:r>
        <w:t xml:space="preserve">1. Metric count (Abstract-area, §3.4, §3.5, §4.1, Future Works). The text states “46 … metrics” throughout, but Appendix A lists 48 metrics and the per-category counts in §3.4 indicate 48 (PDR “peak frequency” is counted both as the tenth PDR metric and as the “Alpha Peak” phenotype). Claude’s chart in Table 3 also says 48. Correction: change all “46” to “48,” and amend §3.4 “PDR Metrics: Ten metrics” to “Nine” (or drop peak frequency from the PDR list, since it is defined under Phenotypes).</w:t>
      </w:r>
    </w:p>
    <w:p>
      <w:r>
        <w:t xml:space="preserve">2. Electrode list (§3.2.3). The text says “all 19 standard scalp sites” but lists only 17 — P3 and P4 are missing from (Fp1, Fp2, F3, F4, F7, F8, T3, T4, T5, T6, C3, C4, Fz, Cz, Pz, O1, O2). Add P3 and P4.</w:t>
      </w:r>
    </w:p>
    <w:p>
      <w:r>
        <w:t xml:space="preserve">3. FFT frequency range. Methods (§3.3.3 and §3.6) specify 0–70 Hz, but Appendix A says 0–64 Hz. Reconcile to a single value.</w:t>
      </w:r>
    </w:p>
    <w:p>
      <w:r>
        <w:t xml:space="preserve">4. K–S test logic (§4.1). “… to demonstrate our ability to reject the null hypothesis and assert these samples conform to a Gaussian distribution.” For a K–S goodness-of-fit test, high p-values mean one FAILS to reject the null (that the data are Gaussian). As written it is self-contradictory and inconsistent with §3.5. Suggested: “… to demonstrate that the null hypothesis cannot be rejected, supporting the conclusion that these samples conform to a Gaussian distribution.”</w:t>
      </w:r>
    </w:p>
    <w:p>
      <w:r>
        <w:t xml:space="preserve">5. Specificity range (§4.1 twice, Discussion §5, and Table 5). The text repeatedly states “specificities of 79–91%.” Per Table 4 the specificity values are 76, 79, 83, 88, 84, 88 — the correct range is 76–88%. Sensitivity (89–95%) and accuracy (78–91%) are correct. Must be corrected at every occurrence, including the Brain Panel row of Table 5.</w:t>
      </w:r>
    </w:p>
    <w:p>
      <w:r>
        <w:t xml:space="preserve">6. Citation numbers (Discussion §5 and Conclusion §6). “SCORE-AI (88.3% accuracy … [26])” — SCORE-AI is Tveit et al., reference [24] (ref [26] is Lemoine/DeepEpilepsy); correct to [24] (two occurrences). “IED detectors (82.5% sensitivity at 99% specificity [25])” — those figures are Tjepkema-Cloostermans, reference [23] (ref [25] is van Stigt); correct to [23]. Recommend a full pass over in-text citation numbers against the final reference list.</w:t>
      </w:r>
    </w:p>
    <w:p>
      <w:r>
        <w:t xml:space="preserve">7. “Five categories of neurometrics” (§4.1, Figure 4 discussion). §3.4 defines six non-statistical categories (PDR, Phenotypes, Focal, Frontal, Diffuse, State Shifts). Change “five” to “six,” or clarify the grouping.</w:t>
      </w:r>
    </w:p>
    <w:p>
      <w:pPr>
        <w:pStyle w:val="Heading2"/>
      </w:pPr>
      <w:r>
        <w:t xml:space="preserve">Errors — grammar / spelling</w:t>
      </w:r>
    </w:p>
    <w:p>
      <w:r>
        <w:t xml:space="preserve">8. Broken sentence (typesetter query AQ6, §5). “… In conjunction with the diffuse amplitudes, and the total number of OOB metrics, provides a useful indicator …” has no subject. Rewrite: “It, in conjunction with the diffuse amplitudes and the total number of OOB metrics, provides a useful indicator …”</w:t>
      </w:r>
    </w:p>
    <w:p>
      <w:r>
        <w:t xml:space="preserve">9. Missing word (§4.1, p.8). “The 0.1 Hz high resolution of the FFT allows to more accurately point out changes …” → “allows us to more accurately point out.”</w:t>
      </w:r>
    </w:p>
    <w:p>
      <w:r>
        <w:t xml:space="preserve">10. “Kolmogorov–Smirnoff” (§4.1) is misspelled; the rest of the paper correctly uses “Smirnov.” Two instances on that line.</w:t>
      </w:r>
    </w:p>
    <w:p>
      <w:r>
        <w:t xml:space="preserve">11. “SIRI” (§1 Introduction) → “Siri.”</w:t>
      </w:r>
    </w:p>
    <w:p>
      <w:r>
        <w:t xml:space="preserve">12. “mean-μ and standard deviation-σ” (§3.5) reads oddly; use “mean (μ) and standard deviation (σ).”</w:t>
      </w:r>
    </w:p>
    <w:p>
      <w:r>
        <w:t xml:space="preserve">13. Reference [4]: the DOI ends with a stray tag “… 15500594241308654[4]” — delete the trailing “[4].”</w:t>
      </w:r>
    </w:p>
    <w:p>
      <w:r>
        <w:t xml:space="preserve">14. Reference [19]: “Seizure:. European Journal of Epilepsy” — remove the period after the colon (“Seizure: European Journal of Epilepsy”).</w:t>
      </w:r>
    </w:p>
    <w:p>
      <w:pPr>
        <w:pStyle w:val="Heading2"/>
      </w:pPr>
      <w:r>
        <w:t xml:space="preserve">Consistency</w:t>
      </w:r>
    </w:p>
    <w:p>
      <w:r>
        <w:t xml:space="preserve">15. Citation style (§4.1). “corroborating prior findings (Collura &amp; Tarrant, 2020)” is the only author-year citation in an otherwise numbered-citation paper — change to [7].</w:t>
      </w:r>
    </w:p>
    <w:p>
      <w:r>
        <w:t xml:space="preserve">16. AI-platform capitalization. Both “GROK”/“Grok” and “CLAUDE”/“Claude” appear, sometimes in the same sentence. Standardize to “Grok” and “Claude” in the body text.</w:t>
      </w:r>
    </w:p>
    <w:p>
      <w:r>
        <w:t xml:space="preserve">17. Author name. The byline and Author Contributions use “David Ims,” but Table 2 (Grok quote) says “P. David Imes.” As verbatim AI output it may stand; flagged for awareness.</w:t>
      </w:r>
    </w:p>
    <w:p>
      <w:r>
        <w:t xml:space="preserve">18. Repetition (§4.1). “This was demonstrated by Collura and Tarrant when they demonstrated …” — reword one verb.</w:t>
      </w:r>
    </w:p>
    <w:p>
      <w:r>
        <w:t xml:space="preserve">19. Reference dates. Table 5 lists Tjepkema-Cloostermans “2024”; reference [23] is dated 2025. Reconcile.</w:t>
      </w:r>
    </w:p>
    <w:p>
      <w:r>
        <w:t xml:space="preserve">20. Author initial. Reference [2] has “Brubaker, B.” while reference [17] has “Brubaker, H.” — verify (same author?).</w:t>
      </w:r>
    </w:p>
    <w:p>
      <w:r>
        <w:t xml:space="preserve">21. Terminology (§3.2.2). “autistic spectrum disorder” → “autism spectrum disorder” (standard term; ASD already used).</w:t>
      </w:r>
    </w:p>
    <w:p>
      <w:pPr>
        <w:pStyle w:val="Heading2"/>
      </w:pPr>
      <w:r>
        <w:t xml:space="preserve">Outstanding typesetter queries (AQ1–AQ7)</w:t>
      </w:r>
    </w:p>
    <w:p>
      <w:pPr>
        <w:pStyle w:val="ListBullet"/>
        <w:numPr>
          <w:ilvl w:val="0"/>
          <w:numId w:val="1"/>
        </w:numPr>
      </w:pPr>
      <w:r>
        <w:t xml:space="preserve">AQ1 / AQ2: add the missing closing quotation marks in Table 2; expand “SREMs” (slow rolling eye movements).</w:t>
      </w:r>
    </w:p>
    <w:p>
      <w:pPr>
        <w:pStyle w:val="ListBullet"/>
        <w:numPr>
          <w:ilvl w:val="0"/>
          <w:numId w:val="1"/>
        </w:numPr>
      </w:pPr>
      <w:r>
        <w:t xml:space="preserve">AQ3: expand “CNN” (convolutional neural network) at first mention.</w:t>
      </w:r>
    </w:p>
    <w:p>
      <w:pPr>
        <w:pStyle w:val="ListBullet"/>
        <w:numPr>
          <w:ilvl w:val="0"/>
          <w:numId w:val="1"/>
        </w:numPr>
      </w:pPr>
      <w:r>
        <w:t xml:space="preserve">AQ4: expand “FDR” (false discovery rate).</w:t>
      </w:r>
    </w:p>
    <w:p>
      <w:pPr>
        <w:pStyle w:val="ListBullet"/>
        <w:numPr>
          <w:ilvl w:val="0"/>
          <w:numId w:val="1"/>
        </w:numPr>
      </w:pPr>
      <w:r>
        <w:t xml:space="preserve">AQ5: expand “AUC” (area under the curve).</w:t>
      </w:r>
    </w:p>
    <w:p>
      <w:pPr>
        <w:pStyle w:val="ListBullet"/>
        <w:numPr>
          <w:ilvl w:val="0"/>
          <w:numId w:val="1"/>
        </w:numPr>
      </w:pPr>
      <w:r>
        <w:t xml:space="preserve">AQ6: addressed in Item 8 above.</w:t>
      </w:r>
    </w:p>
    <w:p>
      <w:pPr>
        <w:pStyle w:val="ListBullet"/>
        <w:numPr>
          <w:ilvl w:val="0"/>
          <w:numId w:val="1"/>
        </w:numPr>
      </w:pPr>
      <w:r>
        <w:t xml:space="preserve">AQ7: expand “CFR” (Code of Federal Regulations) at first mention.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basedOn w:val="Normal"/>
    <w:pPr>
      <w:spacing w:before="120" w:after="120"/>
    </w:pPr>
    <w:rPr>
      <w:b/>
      <w:sz w:val="34"/>
    </w:rPr>
  </w:style>
  <w:style w:type="paragraph" w:styleId="Subtitle">
    <w:name w:val="Subtitle"/>
    <w:basedOn w:val="Normal"/>
    <w:rPr>
      <w:sz w:val="22"/>
      <w:i/>
    </w:r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sz w:val="28"/>
    </w:rPr>
  </w:style>
  <w:style w:type="paragraph" w:styleId="Heading2">
    <w:name w:val="heading 2"/>
    <w:basedOn w:val="Normal"/>
    <w:pPr>
      <w:keepNext/>
      <w:spacing w:before="200" w:after="100"/>
      <w:outlineLvl w:val="1"/>
    </w:pPr>
    <w:rPr>
      <w:b/>
      <w:sz w:val="24"/>
    </w:rPr>
  </w:style>
  <w:style w:type="paragraph" w:styleId="Heading3">
    <w:name w:val="heading 3"/>
    <w:basedOn w:val="Normal"/>
    <w:pPr>
      <w:keepNext/>
      <w:spacing w:before="160" w:after="80"/>
      <w:outlineLvl w:val="2"/>
    </w:pPr>
    <w:rPr>
      <w:b/>
      <w:i/>
      <w:sz w:val="22"/>
    </w:rPr>
  </w:style>
  <w:style w:type="paragraph" w:styleId="Caption">
    <w:name w:val="caption"/>
    <w:basedOn w:val="Normal"/>
    <w:rPr>
      <w:i/>
      <w:sz w:val="20"/>
      <w:color w:val="404040"/>
    </w:rPr>
  </w:style>
  <w:style w:type="paragraph" w:styleId="ListBullet">
    <w:name w:val="List Bullet"/>
    <w:basedOn w:val="Normal"/>
    <w:pPr>
      <w:spacing w:after="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Author Corrections to Proofs — AIA62026679</dc:title>
  <dc:creator>Claude</dc:creator>
</cp:coreProperties>
</file>