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sz w:val="28"/>
        </w:rPr>
        <w:t>DX OSE — 34-Clause Merge Report v1</w:t>
      </w:r>
    </w:p>
    <w:p>
      <w:r>
        <w:rPr>
          <w:rFonts w:ascii="Aptos" w:hAnsi="Aptos"/>
          <w:b w:val="0"/>
          <w:sz w:val="18"/>
        </w:rPr>
        <w:t>Separate merge evidence for DX_OSE_CONSTITUTION_v2.1_MERGED / v2.2 (Path A Chapter 6 renumber applied).</w:t>
      </w:r>
    </w:p>
    <w:p>
      <w:r>
        <w:rPr>
          <w:rFonts w:ascii="Aptos" w:hAnsi="Aptos"/>
          <w:b w:val="0"/>
          <w:sz w:val="18"/>
        </w:rPr>
        <w:t>Classification rules: موجود مسبقًا = already governed; اتضاف = inserted; تعارض اتحل = conflict resolved using approved recommendation.</w:t>
      </w:r>
    </w:p>
    <w:p/>
    <w:p>
      <w:r>
        <w:rPr>
          <w:rFonts w:ascii="Aptos" w:hAnsi="Aptos"/>
          <w:b/>
          <w:sz w:val="16"/>
        </w:rPr>
        <w:t># | Merge status | Decision / evidence</w:t>
      </w:r>
    </w:p>
    <w:p>
      <w:r>
        <w:rPr>
          <w:rFonts w:ascii="Aptos" w:hAnsi="Aptos"/>
          <w:b w:val="0"/>
          <w:sz w:val="16"/>
        </w:rPr>
        <w:t>1  اتضاف — §4.5.1 ADMIN retirement.</w:t>
      </w:r>
    </w:p>
    <w:p>
      <w:r>
        <w:rPr>
          <w:rFonts w:ascii="Aptos" w:hAnsi="Aptos"/>
          <w:b w:val="0"/>
          <w:sz w:val="16"/>
        </w:rPr>
        <w:t>2  تعارض اتحل — §4.5.2 Full ACC means full operational grants excluding period-close/reopen, platform-only, currency configuration and Master Data mutation.</w:t>
      </w:r>
    </w:p>
    <w:p>
      <w:r>
        <w:rPr>
          <w:rFonts w:ascii="Aptos" w:hAnsi="Aptos"/>
          <w:b w:val="0"/>
          <w:sz w:val="16"/>
        </w:rPr>
        <w:t>3  موجود مسبقًا — ORG_MANAGER is recognized in approved access/period governance; no contradictory role removal exists.</w:t>
      </w:r>
    </w:p>
    <w:p>
      <w:r>
        <w:rPr>
          <w:rFonts w:ascii="Aptos" w:hAnsi="Aptos"/>
          <w:b w:val="0"/>
          <w:sz w:val="16"/>
        </w:rPr>
        <w:t>4  اتضاف — §11.9 Display-currency mutation reserved to SUPER_ADMIN.</w:t>
      </w:r>
    </w:p>
    <w:p>
      <w:r>
        <w:rPr>
          <w:rFonts w:ascii="Aptos" w:hAnsi="Aptos"/>
          <w:b w:val="0"/>
          <w:sz w:val="16"/>
        </w:rPr>
        <w:t>5  اتضاف — §4.5.4 Master Data mutation allowlist.</w:t>
      </w:r>
    </w:p>
    <w:p>
      <w:r>
        <w:rPr>
          <w:rFonts w:ascii="Aptos" w:hAnsi="Aptos"/>
          <w:b w:val="0"/>
          <w:sz w:val="16"/>
        </w:rPr>
        <w:t>6  اتضاف — §4.5.5 GENERAL_MANAGER exclusions.</w:t>
      </w:r>
    </w:p>
    <w:p>
      <w:r>
        <w:rPr>
          <w:rFonts w:ascii="Aptos" w:hAnsi="Aptos"/>
          <w:b w:val="0"/>
          <w:sz w:val="16"/>
        </w:rPr>
        <w:t>7  تعارض اتحل — §6.10 PC-IC warning alone is nonblocking; an incomplete count integrity condition remains a blocker. (Path A: former §6.16)</w:t>
      </w:r>
    </w:p>
    <w:p>
      <w:r>
        <w:rPr>
          <w:rFonts w:ascii="Aptos" w:hAnsi="Aptos"/>
          <w:b w:val="0"/>
          <w:sz w:val="16"/>
        </w:rPr>
        <w:t>8  اتضاف — §3.9 Unified mandatory Send Back target list.</w:t>
      </w:r>
    </w:p>
    <w:p>
      <w:r>
        <w:rPr>
          <w:rFonts w:ascii="Aptos" w:hAnsi="Aptos"/>
          <w:b w:val="0"/>
          <w:sz w:val="16"/>
        </w:rPr>
        <w:t>9  موجود مسبقًا — Posted business outcome and status consistency governed by §§2.2–2.3; merged text adds explicit implementation-facing integrity wording.</w:t>
      </w:r>
    </w:p>
    <w:p>
      <w:r>
        <w:rPr>
          <w:rFonts w:ascii="Aptos" w:hAnsi="Aptos"/>
          <w:b w:val="0"/>
          <w:sz w:val="16"/>
        </w:rPr>
        <w:t>10  تعارض اتحل — §6.15 UTC internal persistence retained; tenant timezone defines business EOD. (Path A: former §6.21)</w:t>
      </w:r>
    </w:p>
    <w:p>
      <w:r>
        <w:rPr>
          <w:rFonts w:ascii="Aptos" w:hAnsi="Aptos"/>
          <w:b w:val="0"/>
          <w:sz w:val="16"/>
        </w:rPr>
        <w:t>11  موجود مسبقًا — Approved Chapter 10 integer-quantity rule; the merged DOCX carries it as §10.5 because v2.0 source had not consolidated it.</w:t>
      </w:r>
    </w:p>
    <w:p>
      <w:r>
        <w:rPr>
          <w:rFonts w:ascii="Aptos" w:hAnsi="Aptos"/>
          <w:b w:val="0"/>
          <w:sz w:val="16"/>
        </w:rPr>
        <w:t>12  موجود مسبقًا — No page-level horizontal scrolling except internal grids; broader registry rule exists in consolidated Chapter 30 (reserved / not merged in official DOCX).</w:t>
      </w:r>
    </w:p>
    <w:p>
      <w:r>
        <w:rPr>
          <w:rFonts w:ascii="Aptos" w:hAnsi="Aptos"/>
          <w:b w:val="0"/>
          <w:sz w:val="16"/>
        </w:rPr>
        <w:t>13  اتضاف — §23.8 Location-constrained item lookup.</w:t>
      </w:r>
    </w:p>
    <w:p>
      <w:r>
        <w:rPr>
          <w:rFonts w:ascii="Aptos" w:hAnsi="Aptos"/>
          <w:b w:val="0"/>
          <w:sz w:val="16"/>
        </w:rPr>
        <w:t>14  اتضاف — §32.2 Process Return restricted to the three governed roles.</w:t>
      </w:r>
    </w:p>
    <w:p>
      <w:r>
        <w:rPr>
          <w:rFonts w:ascii="Aptos" w:hAnsi="Aptos"/>
          <w:b w:val="0"/>
          <w:sz w:val="16"/>
        </w:rPr>
        <w:t>15  اتضاف — §32.3 Force Close remains a protected service capability without enabled interactive action.</w:t>
      </w:r>
    </w:p>
    <w:p>
      <w:r>
        <w:rPr>
          <w:rFonts w:ascii="Aptos" w:hAnsi="Aptos"/>
          <w:b w:val="0"/>
          <w:sz w:val="16"/>
        </w:rPr>
        <w:t>16  اتضاف — §32.4 Damaged/Lost dispositions follow BRK/LST governance.</w:t>
      </w:r>
    </w:p>
    <w:p>
      <w:r>
        <w:rPr>
          <w:rFonts w:ascii="Aptos" w:hAnsi="Aptos"/>
          <w:b w:val="0"/>
          <w:sz w:val="16"/>
        </w:rPr>
        <w:t>17  اتضاف — §32.5 Immediate Good-return posting.</w:t>
      </w:r>
    </w:p>
    <w:p>
      <w:r>
        <w:rPr>
          <w:rFonts w:ascii="Aptos" w:hAnsi="Aptos"/>
          <w:b w:val="0"/>
          <w:sz w:val="16"/>
        </w:rPr>
        <w:t>18  اتضاف — §32.6 Three-way quantity split and outstanding limit.</w:t>
      </w:r>
    </w:p>
    <w:p>
      <w:r>
        <w:rPr>
          <w:rFonts w:ascii="Aptos" w:hAnsi="Aptos"/>
          <w:b w:val="0"/>
          <w:sz w:val="16"/>
        </w:rPr>
        <w:t>19  اتضاف — §32.7 Optional Damaged-only photos.</w:t>
      </w:r>
    </w:p>
    <w:p>
      <w:r>
        <w:rPr>
          <w:rFonts w:ascii="Aptos" w:hAnsi="Aptos"/>
          <w:b w:val="0"/>
          <w:sz w:val="16"/>
        </w:rPr>
        <w:t>20  اتضاف — §32.8 Dynamic Process Return / Returned behavior.</w:t>
      </w:r>
    </w:p>
    <w:p>
      <w:r>
        <w:rPr>
          <w:rFonts w:ascii="Aptos" w:hAnsi="Aptos"/>
          <w:b w:val="0"/>
          <w:sz w:val="16"/>
        </w:rPr>
        <w:t>21  اتضاف — §15.7 Original-note preservation.</w:t>
      </w:r>
    </w:p>
    <w:p>
      <w:r>
        <w:rPr>
          <w:rFonts w:ascii="Aptos" w:hAnsi="Aptos"/>
          <w:b w:val="0"/>
          <w:sz w:val="16"/>
        </w:rPr>
        <w:t>22  موجود مسبقًا — Every workflow action must create an auditable chronological event under §§22.2–22.3.</w:t>
      </w:r>
    </w:p>
    <w:p>
      <w:r>
        <w:rPr>
          <w:rFonts w:ascii="Aptos" w:hAnsi="Aptos"/>
          <w:b w:val="0"/>
          <w:sz w:val="16"/>
        </w:rPr>
        <w:t>23  اتضاف — §32.9 Complete inter-hotel lifecycle.</w:t>
      </w:r>
    </w:p>
    <w:p>
      <w:r>
        <w:rPr>
          <w:rFonts w:ascii="Aptos" w:hAnsi="Aptos"/>
          <w:b w:val="0"/>
          <w:sz w:val="16"/>
        </w:rPr>
        <w:t>24  اتضاف — §32.10 Ordinary Process Return prohibited for inter-hotel passes.</w:t>
      </w:r>
    </w:p>
    <w:p>
      <w:r>
        <w:rPr>
          <w:rFonts w:ascii="Aptos" w:hAnsi="Aptos"/>
          <w:b w:val="0"/>
          <w:sz w:val="16"/>
        </w:rPr>
        <w:t>25  موجود مسبقًا — Approved Chapter 10 WAC rule; merged DOCX carries it as §10.4.</w:t>
      </w:r>
    </w:p>
    <w:p>
      <w:r>
        <w:rPr>
          <w:rFonts w:ascii="Aptos" w:hAnsi="Aptos"/>
          <w:b w:val="0"/>
          <w:sz w:val="16"/>
        </w:rPr>
        <w:t>26  موجود مسبقًا — Posting Date determines the assigned period under Chapter 6.</w:t>
      </w:r>
    </w:p>
    <w:p>
      <w:r>
        <w:rPr>
          <w:rFonts w:ascii="Aptos" w:hAnsi="Aptos"/>
          <w:b w:val="0"/>
          <w:sz w:val="16"/>
        </w:rPr>
        <w:t>27  موجود مسبقًا — Approved Period Registry governance prohibits implicit open; merged DOCX carries it as §6.11. (Path A: former §6.17)</w:t>
      </w:r>
    </w:p>
    <w:p>
      <w:r>
        <w:rPr>
          <w:rFonts w:ascii="Aptos" w:hAnsi="Aptos"/>
          <w:b w:val="0"/>
          <w:sz w:val="16"/>
        </w:rPr>
        <w:t>28  موجود مسبقًا — Approved close lifecycle creates the snapshot only on successful close; merged DOCX carries it as §6.12. (Path A: former §6.18)</w:t>
      </w:r>
    </w:p>
    <w:p>
      <w:r>
        <w:rPr>
          <w:rFonts w:ascii="Aptos" w:hAnsi="Aptos"/>
          <w:b w:val="0"/>
          <w:sz w:val="16"/>
        </w:rPr>
        <w:t>29  اتضاف — §6.13 Closing snapshot as next opening reference. (Path A: former §6.19)</w:t>
      </w:r>
    </w:p>
    <w:p>
      <w:r>
        <w:rPr>
          <w:rFonts w:ascii="Aptos" w:hAnsi="Aptos"/>
          <w:b w:val="0"/>
          <w:sz w:val="16"/>
        </w:rPr>
        <w:t>30  اتضاف — §6.14 Close neither validates nor creates the following period. (Path A: former §6.20)</w:t>
      </w:r>
    </w:p>
    <w:p>
      <w:r>
        <w:rPr>
          <w:rFonts w:ascii="Aptos" w:hAnsi="Aptos"/>
          <w:b w:val="0"/>
          <w:sz w:val="16"/>
        </w:rPr>
        <w:t>31  تعارض اتحل وظيفيًا — §6.16 Granular Close Authority — PERIOD_CLOSE_EXECUTE canonical; PERIOD_CLOSE_MANAGE temporary compatibility. (Path A: former combined §6.22 close half)</w:t>
      </w:r>
    </w:p>
    <w:p>
      <w:r>
        <w:rPr>
          <w:rFonts w:ascii="Aptos" w:hAnsi="Aptos"/>
          <w:b w:val="0"/>
          <w:sz w:val="16"/>
        </w:rPr>
        <w:t>32  تعارض اتحل وظيفيًا — §6.17 Granular Reopen Authority — PERIOD_REOPEN_EXECUTE plus reason; MANAGE is not permanent authority. (Path A: former combined §6.22 reopen half; duplicate §6.22 numbering removed)</w:t>
      </w:r>
    </w:p>
    <w:p>
      <w:r>
        <w:rPr>
          <w:rFonts w:ascii="Aptos" w:hAnsi="Aptos"/>
          <w:b w:val="0"/>
          <w:sz w:val="16"/>
        </w:rPr>
        <w:t>33  اتضاف — §6.18 Governed seven-step monthly sequence. (Path A: former §6.23)</w:t>
      </w:r>
    </w:p>
    <w:p>
      <w:r>
        <w:rPr>
          <w:rFonts w:ascii="Aptos" w:hAnsi="Aptos"/>
          <w:b w:val="0"/>
          <w:sz w:val="16"/>
        </w:rPr>
        <w:t>34  موجود مسبقًا — Accepted inventory-truth decision confirms live Current Stock Balance; merged DOCX carries it as §33.1.</w:t>
      </w:r>
    </w:p>
    <w:p/>
    <w:p>
      <w:r>
        <w:rPr>
          <w:rFonts w:ascii="Aptos" w:hAnsi="Aptos"/>
          <w:b/>
          <w:sz w:val="22"/>
        </w:rPr>
        <w:t>Numbering review note (P2 #32 — Path A applied)</w:t>
      </w:r>
    </w:p>
    <w:p>
      <w:r>
        <w:rPr>
          <w:rFonts w:ascii="Aptos" w:hAnsi="Aptos"/>
          <w:b w:val="0"/>
          <w:sz w:val="18"/>
        </w:rPr>
        <w:t>• Path A renumbered merge-inserted Chapter 6 clauses contiguously after §6.9: former §6.16–§6.23 → current §6.10–§6.18 (with former combined §6.22 split into §6.16 close + §6.17 reopen). Numbering only; normative decisions unchanged.</w:t>
      </w:r>
    </w:p>
    <w:p>
      <w:r>
        <w:rPr>
          <w:rFonts w:ascii="Aptos" w:hAnsi="Aptos"/>
          <w:b w:val="0"/>
          <w:sz w:val="18"/>
        </w:rPr>
        <w:t>• Deferred — D11: §6.4 still cites SUPERSEDED versioning as (§6.11, §6.17). Those citations intend consolidated Snapshot Versioning / Report Versioning content that is not present in the currently ratified DOCX. They must not be read as the Path A ratified §6.11 (Explicit Period Opening) or §6.17 (Granular Reopen Authority). Citation rewrite and any Snapshot/Report Versioning merge are deferred to a later review.</w:t>
      </w:r>
    </w:p>
    <w:p>
      <w:r>
        <w:rPr>
          <w:rFonts w:ascii="Aptos" w:hAnsi="Aptos"/>
          <w:b w:val="0"/>
          <w:sz w:val="18"/>
        </w:rPr>
        <w:t>• Reserved / not merged — Chapters 30 (Unified Visual Language) and 31 (Repository Root Governance) remain outside the official ratified constitution DOCX. Chapters 32 and 33 retain their current numbers.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