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F8FE4" w14:textId="77777777" w:rsidR="00143700" w:rsidRDefault="00810E81" w:rsidP="00810E81">
      <w:pPr>
        <w:pStyle w:val="Title"/>
      </w:pPr>
      <w:r>
        <w:t>rule-based trading strategy</w:t>
      </w:r>
    </w:p>
    <w:p w14:paraId="38101F01" w14:textId="77777777" w:rsidR="00810E81" w:rsidRPr="00810E81" w:rsidRDefault="00810E81" w:rsidP="00810E81">
      <w:pPr>
        <w:rPr>
          <w:rStyle w:val="BookTitle"/>
        </w:rPr>
      </w:pPr>
      <w:r w:rsidRPr="00810E81">
        <w:rPr>
          <w:rStyle w:val="BookTitle"/>
        </w:rPr>
        <w:t>Allan Reyes, reyallan@gatech.edu</w:t>
      </w:r>
    </w:p>
    <w:p w14:paraId="5D8248E5" w14:textId="77777777" w:rsidR="00810E81" w:rsidRDefault="00810E81" w:rsidP="00810E81">
      <w:pPr>
        <w:pStyle w:val="Heading1"/>
        <w:rPr>
          <w:rStyle w:val="BookTitle"/>
          <w:b/>
          <w:i w:val="0"/>
        </w:rPr>
      </w:pPr>
      <w:r>
        <w:rPr>
          <w:rStyle w:val="BookTitle"/>
          <w:b/>
          <w:i w:val="0"/>
        </w:rPr>
        <w:t>Introduction</w:t>
      </w:r>
    </w:p>
    <w:p w14:paraId="6A3369BB" w14:textId="4914A2AB" w:rsidR="00810E81" w:rsidRPr="00642691" w:rsidRDefault="00642691" w:rsidP="00642691">
      <w:pPr>
        <w:spacing w:line="240" w:lineRule="auto"/>
        <w:jc w:val="both"/>
        <w:rPr>
          <w:sz w:val="22"/>
          <w:szCs w:val="22"/>
        </w:rPr>
      </w:pPr>
      <w:r w:rsidRPr="00642691">
        <w:rPr>
          <w:sz w:val="22"/>
          <w:szCs w:val="22"/>
        </w:rPr>
        <w:t>Technical analysis is the basis of quantitative trading and allows investors to generate indicators, measurements th</w:t>
      </w:r>
      <w:r w:rsidR="00B554C6">
        <w:rPr>
          <w:sz w:val="22"/>
          <w:szCs w:val="22"/>
        </w:rPr>
        <w:t xml:space="preserve">at describe particular behavior </w:t>
      </w:r>
      <w:r w:rsidRPr="00642691">
        <w:rPr>
          <w:sz w:val="22"/>
          <w:szCs w:val="22"/>
        </w:rPr>
        <w:t>in the price of a stock and the market, which can be combined to make trading decisions. Automatic trading can be achieved using either a manually-created or an automatically-created strategy. The focus of this report is to present a rule-based trading strategy, along with the indicators that comprise it, and compare it to a predefined benchmark over different periods of time to assess its effectiveness in the market.</w:t>
      </w:r>
    </w:p>
    <w:p w14:paraId="74C4CF6F" w14:textId="3D56C45E" w:rsidR="00C426E2" w:rsidRDefault="00810E81" w:rsidP="00C426E2">
      <w:pPr>
        <w:pStyle w:val="Heading1"/>
      </w:pPr>
      <w:r>
        <w:t>Technical indicators</w:t>
      </w:r>
    </w:p>
    <w:p w14:paraId="44B82B7B" w14:textId="3C2D6C58" w:rsidR="00C426E2" w:rsidRPr="00C426E2" w:rsidRDefault="00C426E2" w:rsidP="00C426E2">
      <w:pPr>
        <w:spacing w:line="240" w:lineRule="auto"/>
        <w:jc w:val="both"/>
        <w:rPr>
          <w:sz w:val="22"/>
          <w:szCs w:val="22"/>
        </w:rPr>
      </w:pPr>
      <w:r w:rsidRPr="00C426E2">
        <w:rPr>
          <w:sz w:val="22"/>
          <w:szCs w:val="22"/>
        </w:rPr>
        <w:t>For this rule-based strategy four indicators were used: momentum, price/SMA ratio, Bollinger Bands</w:t>
      </w:r>
      <w:r w:rsidRPr="00C426E2">
        <w:rPr>
          <w:sz w:val="22"/>
          <w:szCs w:val="22"/>
          <w:vertAlign w:val="superscript"/>
        </w:rPr>
        <w:sym w:font="Symbol" w:char="F0D2"/>
      </w:r>
      <w:r w:rsidRPr="00C426E2">
        <w:rPr>
          <w:sz w:val="22"/>
          <w:szCs w:val="22"/>
        </w:rPr>
        <w:t xml:space="preserve"> and Money Flow Index (MFI). A description of each of these indicators is given in the following subsections.</w:t>
      </w:r>
    </w:p>
    <w:p w14:paraId="3CBCFB07" w14:textId="77777777" w:rsidR="00810E81" w:rsidRDefault="00810E81" w:rsidP="00810E81">
      <w:pPr>
        <w:pStyle w:val="Heading2"/>
      </w:pPr>
      <w:r>
        <w:t>Momentum</w:t>
      </w:r>
    </w:p>
    <w:p w14:paraId="772CB672" w14:textId="58FB58C3" w:rsidR="005A0AD6" w:rsidRPr="0011474D" w:rsidRDefault="00946D4F" w:rsidP="0011474D">
      <w:pPr>
        <w:spacing w:line="240" w:lineRule="auto"/>
        <w:jc w:val="both"/>
        <w:rPr>
          <w:sz w:val="22"/>
          <w:szCs w:val="22"/>
        </w:rPr>
      </w:pPr>
      <w:r>
        <w:rPr>
          <w:sz w:val="22"/>
          <w:szCs w:val="22"/>
        </w:rPr>
        <w:t xml:space="preserve">Momentum is an </w:t>
      </w:r>
      <w:r w:rsidR="00E93AFE" w:rsidRPr="0011474D">
        <w:rPr>
          <w:sz w:val="22"/>
          <w:szCs w:val="22"/>
        </w:rPr>
        <w:t xml:space="preserve">indicator that </w:t>
      </w:r>
      <w:r w:rsidR="001B7719" w:rsidRPr="0011474D">
        <w:rPr>
          <w:sz w:val="22"/>
          <w:szCs w:val="22"/>
        </w:rPr>
        <w:t xml:space="preserve">describes how much the </w:t>
      </w:r>
      <w:r>
        <w:rPr>
          <w:sz w:val="22"/>
          <w:szCs w:val="22"/>
        </w:rPr>
        <w:t xml:space="preserve">price </w:t>
      </w:r>
      <w:r w:rsidR="001B7719" w:rsidRPr="0011474D">
        <w:rPr>
          <w:sz w:val="22"/>
          <w:szCs w:val="22"/>
        </w:rPr>
        <w:t>has changed over a certain period of time. In other words, it gives the investor an idea of how the price has been oscillating and whether it is trending up or down.</w:t>
      </w:r>
      <w:r w:rsidR="005A0AD6" w:rsidRPr="0011474D">
        <w:rPr>
          <w:sz w:val="22"/>
          <w:szCs w:val="22"/>
        </w:rPr>
        <w:t xml:space="preserve"> Momentum can be computed as follows:</w:t>
      </w:r>
    </w:p>
    <w:p w14:paraId="46B533AB" w14:textId="314FD0D6" w:rsidR="005A0AD6" w:rsidRPr="0011474D" w:rsidRDefault="005A0AD6" w:rsidP="0011474D">
      <w:pPr>
        <w:pStyle w:val="ListParagraph"/>
        <w:numPr>
          <w:ilvl w:val="0"/>
          <w:numId w:val="13"/>
        </w:numPr>
        <w:spacing w:line="240" w:lineRule="auto"/>
        <w:jc w:val="both"/>
        <w:rPr>
          <w:sz w:val="22"/>
          <w:szCs w:val="22"/>
        </w:rPr>
      </w:pPr>
      <w:r w:rsidRPr="0011474D">
        <w:rPr>
          <w:sz w:val="22"/>
          <w:szCs w:val="22"/>
        </w:rPr>
        <w:t xml:space="preserve">Define a lookback period </w:t>
      </w:r>
      <w:r w:rsidRPr="0011474D">
        <w:rPr>
          <w:b/>
          <w:i/>
          <w:sz w:val="22"/>
          <w:szCs w:val="22"/>
        </w:rPr>
        <w:t>n</w:t>
      </w:r>
    </w:p>
    <w:p w14:paraId="5E0B69F9" w14:textId="17B232DE" w:rsidR="005A0AD6" w:rsidRPr="0011474D" w:rsidRDefault="005A0AD6" w:rsidP="0011474D">
      <w:pPr>
        <w:pStyle w:val="ListParagraph"/>
        <w:numPr>
          <w:ilvl w:val="0"/>
          <w:numId w:val="13"/>
        </w:numPr>
        <w:spacing w:line="240" w:lineRule="auto"/>
        <w:jc w:val="both"/>
        <w:rPr>
          <w:sz w:val="22"/>
          <w:szCs w:val="22"/>
        </w:rPr>
      </w:pPr>
      <w:r w:rsidRPr="0011474D">
        <w:rPr>
          <w:sz w:val="22"/>
          <w:szCs w:val="22"/>
        </w:rPr>
        <w:t xml:space="preserve">Obtain all the historical </w:t>
      </w:r>
      <w:r w:rsidRPr="0011474D">
        <w:rPr>
          <w:b/>
          <w:i/>
          <w:sz w:val="22"/>
          <w:szCs w:val="22"/>
        </w:rPr>
        <w:t>prices</w:t>
      </w:r>
      <w:r w:rsidRPr="0011474D">
        <w:rPr>
          <w:i/>
          <w:sz w:val="22"/>
          <w:szCs w:val="22"/>
        </w:rPr>
        <w:t xml:space="preserve"> </w:t>
      </w:r>
      <w:r w:rsidRPr="0011474D">
        <w:rPr>
          <w:sz w:val="22"/>
          <w:szCs w:val="22"/>
        </w:rPr>
        <w:t>for the stock over a certain period of time</w:t>
      </w:r>
    </w:p>
    <w:p w14:paraId="58C2A36F" w14:textId="6BD94894" w:rsidR="00CD1F9D" w:rsidRPr="002D51F3" w:rsidRDefault="005A0AD6" w:rsidP="00CA0BD5">
      <w:pPr>
        <w:pStyle w:val="ListParagraph"/>
        <w:numPr>
          <w:ilvl w:val="0"/>
          <w:numId w:val="13"/>
        </w:numPr>
        <w:spacing w:line="240" w:lineRule="auto"/>
        <w:jc w:val="both"/>
        <w:rPr>
          <w:sz w:val="22"/>
          <w:szCs w:val="22"/>
        </w:rPr>
      </w:pPr>
      <w:r w:rsidRPr="0011474D">
        <w:rPr>
          <w:sz w:val="22"/>
          <w:szCs w:val="22"/>
        </w:rPr>
        <w:t xml:space="preserve">Calculate the </w:t>
      </w:r>
      <w:r w:rsidRPr="007B34DD">
        <w:rPr>
          <w:b/>
          <w:sz w:val="22"/>
          <w:szCs w:val="22"/>
        </w:rPr>
        <w:t>momentum</w:t>
      </w:r>
      <w:r w:rsidRPr="0011474D">
        <w:rPr>
          <w:sz w:val="22"/>
          <w:szCs w:val="22"/>
        </w:rPr>
        <w:t xml:space="preserve"> for each trading day</w:t>
      </w:r>
      <w:r w:rsidR="0011474D">
        <w:rPr>
          <w:sz w:val="22"/>
          <w:szCs w:val="22"/>
        </w:rPr>
        <w:t xml:space="preserve">: </w:t>
      </w:r>
      <w:r w:rsidRPr="007B34DD">
        <w:rPr>
          <w:i/>
          <w:sz w:val="22"/>
          <w:szCs w:val="22"/>
        </w:rPr>
        <w:t>momentum[t] = (prices [t] / prices [t – n]) – 1</w:t>
      </w:r>
    </w:p>
    <w:p w14:paraId="49F5A8F9" w14:textId="7B1D3080" w:rsidR="00F34C24" w:rsidRPr="00F34C24" w:rsidRDefault="00CA0BD5" w:rsidP="00F34C24">
      <w:pPr>
        <w:spacing w:line="240" w:lineRule="auto"/>
        <w:jc w:val="both"/>
        <w:rPr>
          <w:sz w:val="22"/>
          <w:szCs w:val="22"/>
        </w:rPr>
      </w:pPr>
      <w:r w:rsidRPr="00F34C24">
        <w:rPr>
          <w:sz w:val="22"/>
          <w:szCs w:val="22"/>
        </w:rPr>
        <w:t xml:space="preserve">Momentum is of interest because it provides a raw estimation of how strong the price of a stock is moving. In a trading strategy, this can signal BUY opportunities when the momentum is positive since the investor can expect, roughly, that the price </w:t>
      </w:r>
      <w:r w:rsidR="00F72110">
        <w:rPr>
          <w:sz w:val="22"/>
          <w:szCs w:val="22"/>
        </w:rPr>
        <w:t>will</w:t>
      </w:r>
      <w:r w:rsidRPr="00F34C24">
        <w:rPr>
          <w:sz w:val="22"/>
          <w:szCs w:val="22"/>
        </w:rPr>
        <w:t xml:space="preserve"> continue t</w:t>
      </w:r>
      <w:r w:rsidR="00F72110">
        <w:rPr>
          <w:sz w:val="22"/>
          <w:szCs w:val="22"/>
        </w:rPr>
        <w:t xml:space="preserve">o increase. A similar reasoning </w:t>
      </w:r>
      <w:r w:rsidRPr="00F34C24">
        <w:rPr>
          <w:sz w:val="22"/>
          <w:szCs w:val="22"/>
        </w:rPr>
        <w:t>signal</w:t>
      </w:r>
      <w:r w:rsidR="00F72110">
        <w:rPr>
          <w:sz w:val="22"/>
          <w:szCs w:val="22"/>
        </w:rPr>
        <w:t>s</w:t>
      </w:r>
      <w:r w:rsidRPr="00F34C24">
        <w:rPr>
          <w:sz w:val="22"/>
          <w:szCs w:val="22"/>
        </w:rPr>
        <w:t xml:space="preserve"> SELL opportunities when the momentum is negative.</w:t>
      </w:r>
    </w:p>
    <w:p w14:paraId="5A398D75" w14:textId="523E635A" w:rsidR="00CA0BD5" w:rsidRDefault="00CA0BD5" w:rsidP="00F34C24">
      <w:pPr>
        <w:spacing w:line="240" w:lineRule="auto"/>
        <w:jc w:val="both"/>
        <w:rPr>
          <w:sz w:val="22"/>
          <w:szCs w:val="22"/>
        </w:rPr>
      </w:pPr>
      <w:r w:rsidRPr="00F34C24">
        <w:rPr>
          <w:sz w:val="22"/>
          <w:szCs w:val="22"/>
        </w:rPr>
        <w:t xml:space="preserve">One of the main issues with momentum, however, is that it is sensitive to price </w:t>
      </w:r>
      <w:r w:rsidRPr="00F34C24">
        <w:rPr>
          <w:i/>
          <w:sz w:val="22"/>
          <w:szCs w:val="22"/>
        </w:rPr>
        <w:t>whips</w:t>
      </w:r>
      <w:r w:rsidRPr="00F34C24">
        <w:rPr>
          <w:sz w:val="22"/>
          <w:szCs w:val="22"/>
        </w:rPr>
        <w:t xml:space="preserve">, i.e. sudden </w:t>
      </w:r>
      <w:r w:rsidR="00FB20F3" w:rsidRPr="00F34C24">
        <w:rPr>
          <w:sz w:val="22"/>
          <w:szCs w:val="22"/>
        </w:rPr>
        <w:t>changes in prices</w:t>
      </w:r>
      <w:r w:rsidR="00CD1F9D" w:rsidRPr="00F34C24">
        <w:rPr>
          <w:sz w:val="22"/>
          <w:szCs w:val="22"/>
        </w:rPr>
        <w:t xml:space="preserve"> from one period to the next</w:t>
      </w:r>
      <w:r w:rsidR="00D87B13">
        <w:rPr>
          <w:sz w:val="22"/>
          <w:szCs w:val="22"/>
        </w:rPr>
        <w:t xml:space="preserve">, </w:t>
      </w:r>
      <w:r w:rsidR="00CD1F9D" w:rsidRPr="00F34C24">
        <w:rPr>
          <w:sz w:val="22"/>
          <w:szCs w:val="22"/>
        </w:rPr>
        <w:t>that are not reflected immediately because the value is smoothed out over the</w:t>
      </w:r>
      <w:r w:rsidR="00FB20F3" w:rsidRPr="00F34C24">
        <w:rPr>
          <w:sz w:val="22"/>
          <w:szCs w:val="22"/>
        </w:rPr>
        <w:t xml:space="preserve"> </w:t>
      </w:r>
      <w:r w:rsidR="00CD1F9D" w:rsidRPr="00F34C24">
        <w:rPr>
          <w:sz w:val="22"/>
          <w:szCs w:val="22"/>
        </w:rPr>
        <w:t>lookback period. This limitation is the reason why this indicator should be used in combination with other ones</w:t>
      </w:r>
      <w:r w:rsidR="002D51F3">
        <w:rPr>
          <w:sz w:val="22"/>
          <w:szCs w:val="22"/>
        </w:rPr>
        <w:t>.</w:t>
      </w:r>
    </w:p>
    <w:p w14:paraId="6A6F1799" w14:textId="7F2CCF51" w:rsidR="002D51F3" w:rsidRPr="0011474D" w:rsidRDefault="002D51F3" w:rsidP="002D51F3">
      <w:pPr>
        <w:spacing w:line="240" w:lineRule="auto"/>
        <w:jc w:val="both"/>
        <w:rPr>
          <w:sz w:val="22"/>
          <w:szCs w:val="22"/>
        </w:rPr>
      </w:pPr>
      <w:r w:rsidRPr="0011474D">
        <w:rPr>
          <w:sz w:val="22"/>
          <w:szCs w:val="22"/>
        </w:rPr>
        <w:t xml:space="preserve">The following figure shows the prices of the stock symbol </w:t>
      </w:r>
      <w:r w:rsidRPr="0011474D">
        <w:rPr>
          <w:b/>
          <w:sz w:val="22"/>
          <w:szCs w:val="22"/>
        </w:rPr>
        <w:t>JPM</w:t>
      </w:r>
      <w:r w:rsidRPr="0011474D">
        <w:rPr>
          <w:sz w:val="22"/>
          <w:szCs w:val="22"/>
        </w:rPr>
        <w:t xml:space="preserve"> and its 10-day momentum for the period of January 1</w:t>
      </w:r>
      <w:r w:rsidRPr="0011474D">
        <w:rPr>
          <w:sz w:val="22"/>
          <w:szCs w:val="22"/>
          <w:vertAlign w:val="superscript"/>
        </w:rPr>
        <w:t>st</w:t>
      </w:r>
      <w:r w:rsidRPr="0011474D">
        <w:rPr>
          <w:sz w:val="22"/>
          <w:szCs w:val="22"/>
        </w:rPr>
        <w:t>, 2008 to December 31</w:t>
      </w:r>
      <w:r w:rsidRPr="0011474D">
        <w:rPr>
          <w:sz w:val="22"/>
          <w:szCs w:val="22"/>
          <w:vertAlign w:val="superscript"/>
        </w:rPr>
        <w:t>st</w:t>
      </w:r>
      <w:r w:rsidRPr="0011474D">
        <w:rPr>
          <w:sz w:val="22"/>
          <w:szCs w:val="22"/>
        </w:rPr>
        <w:t>, 2009</w:t>
      </w:r>
      <w:r w:rsidR="00E21550">
        <w:rPr>
          <w:sz w:val="22"/>
          <w:szCs w:val="22"/>
        </w:rPr>
        <w:t xml:space="preserve"> (in-sample period)</w:t>
      </w:r>
      <w:r w:rsidRPr="0011474D">
        <w:rPr>
          <w:sz w:val="22"/>
          <w:szCs w:val="22"/>
        </w:rPr>
        <w:t>. Notice how it describes changes in price. For example, between March and April 2009 there was a big increase in the price of the stock, and this is captured by the large value that momentum shows around the same time.</w:t>
      </w:r>
    </w:p>
    <w:p w14:paraId="5D0A75E0" w14:textId="6B0FFCCC" w:rsidR="002D51F3" w:rsidRPr="00F34C24" w:rsidRDefault="002D51F3" w:rsidP="00F34C24">
      <w:pPr>
        <w:spacing w:line="240" w:lineRule="auto"/>
        <w:jc w:val="both"/>
        <w:rPr>
          <w:sz w:val="22"/>
          <w:szCs w:val="22"/>
        </w:rPr>
      </w:pPr>
      <w:r>
        <w:rPr>
          <w:noProof/>
        </w:rPr>
        <w:lastRenderedPageBreak/>
        <w:drawing>
          <wp:anchor distT="0" distB="0" distL="114300" distR="114300" simplePos="0" relativeHeight="251659264" behindDoc="1" locked="0" layoutInCell="1" allowOverlap="1" wp14:anchorId="2299A766" wp14:editId="1BC24002">
            <wp:simplePos x="0" y="0"/>
            <wp:positionH relativeFrom="column">
              <wp:posOffset>-291465</wp:posOffset>
            </wp:positionH>
            <wp:positionV relativeFrom="paragraph">
              <wp:posOffset>0</wp:posOffset>
            </wp:positionV>
            <wp:extent cx="3154680" cy="2505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cesForJPM.png"/>
                    <pic:cNvPicPr/>
                  </pic:nvPicPr>
                  <pic:blipFill>
                    <a:blip r:embed="rId8">
                      <a:extLst>
                        <a:ext uri="{28A0092B-C50C-407E-A947-70E740481C1C}">
                          <a14:useLocalDpi xmlns:a14="http://schemas.microsoft.com/office/drawing/2010/main" val="0"/>
                        </a:ext>
                      </a:extLst>
                    </a:blip>
                    <a:stretch>
                      <a:fillRect/>
                    </a:stretch>
                  </pic:blipFill>
                  <pic:spPr>
                    <a:xfrm>
                      <a:off x="0" y="0"/>
                      <a:ext cx="3154680" cy="2505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2CA99BD" wp14:editId="77FEFC57">
            <wp:simplePos x="0" y="0"/>
            <wp:positionH relativeFrom="column">
              <wp:posOffset>3023235</wp:posOffset>
            </wp:positionH>
            <wp:positionV relativeFrom="paragraph">
              <wp:posOffset>0</wp:posOffset>
            </wp:positionV>
            <wp:extent cx="3154680" cy="24961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dayMomentumForJPM.png"/>
                    <pic:cNvPicPr/>
                  </pic:nvPicPr>
                  <pic:blipFill>
                    <a:blip r:embed="rId9">
                      <a:extLst>
                        <a:ext uri="{28A0092B-C50C-407E-A947-70E740481C1C}">
                          <a14:useLocalDpi xmlns:a14="http://schemas.microsoft.com/office/drawing/2010/main" val="0"/>
                        </a:ext>
                      </a:extLst>
                    </a:blip>
                    <a:stretch>
                      <a:fillRect/>
                    </a:stretch>
                  </pic:blipFill>
                  <pic:spPr>
                    <a:xfrm>
                      <a:off x="0" y="0"/>
                      <a:ext cx="3154680" cy="2496185"/>
                    </a:xfrm>
                    <a:prstGeom prst="rect">
                      <a:avLst/>
                    </a:prstGeom>
                  </pic:spPr>
                </pic:pic>
              </a:graphicData>
            </a:graphic>
            <wp14:sizeRelH relativeFrom="page">
              <wp14:pctWidth>0</wp14:pctWidth>
            </wp14:sizeRelH>
            <wp14:sizeRelV relativeFrom="page">
              <wp14:pctHeight>0</wp14:pctHeight>
            </wp14:sizeRelV>
          </wp:anchor>
        </w:drawing>
      </w:r>
    </w:p>
    <w:p w14:paraId="78023908" w14:textId="4B85AB12" w:rsidR="00810E81" w:rsidRDefault="00810E81" w:rsidP="00810E81">
      <w:pPr>
        <w:pStyle w:val="Heading2"/>
      </w:pPr>
      <w:r>
        <w:t>Price/SMA ratio</w:t>
      </w:r>
    </w:p>
    <w:p w14:paraId="0852E411" w14:textId="4089EDC4" w:rsidR="00810E81" w:rsidRPr="004F7B2C" w:rsidRDefault="001F529E" w:rsidP="004F7B2C">
      <w:pPr>
        <w:spacing w:line="240" w:lineRule="auto"/>
        <w:jc w:val="both"/>
        <w:rPr>
          <w:sz w:val="22"/>
          <w:szCs w:val="22"/>
        </w:rPr>
      </w:pPr>
      <w:r w:rsidRPr="004F7B2C">
        <w:rPr>
          <w:sz w:val="22"/>
          <w:szCs w:val="22"/>
        </w:rPr>
        <w:t xml:space="preserve">Simple Moving Average (SMA) can be defined as the </w:t>
      </w:r>
      <w:r w:rsidRPr="004F7B2C">
        <w:rPr>
          <w:i/>
          <w:sz w:val="22"/>
          <w:szCs w:val="22"/>
        </w:rPr>
        <w:t>rolling</w:t>
      </w:r>
      <w:r w:rsidRPr="004F7B2C">
        <w:rPr>
          <w:sz w:val="22"/>
          <w:szCs w:val="22"/>
        </w:rPr>
        <w:t xml:space="preserve"> average over a window </w:t>
      </w:r>
      <w:r w:rsidR="004226D4">
        <w:rPr>
          <w:sz w:val="22"/>
          <w:szCs w:val="22"/>
        </w:rPr>
        <w:t xml:space="preserve">of </w:t>
      </w:r>
      <w:r w:rsidRPr="004F7B2C">
        <w:rPr>
          <w:sz w:val="22"/>
          <w:szCs w:val="22"/>
        </w:rPr>
        <w:t>time of the price of a stock. In other words, it describes the mean of the price over a lookback period. Now, price/SMA ratio is a technical indicator that measures how much the price has diverged from its rolling average, and it can be computed as follows:</w:t>
      </w:r>
    </w:p>
    <w:p w14:paraId="45485130" w14:textId="6E99B4D4" w:rsidR="001F529E" w:rsidRPr="004F7B2C" w:rsidRDefault="001F529E" w:rsidP="004F7B2C">
      <w:pPr>
        <w:pStyle w:val="ListParagraph"/>
        <w:numPr>
          <w:ilvl w:val="0"/>
          <w:numId w:val="14"/>
        </w:numPr>
        <w:spacing w:line="240" w:lineRule="auto"/>
        <w:jc w:val="both"/>
        <w:rPr>
          <w:sz w:val="22"/>
          <w:szCs w:val="22"/>
        </w:rPr>
      </w:pPr>
      <w:r w:rsidRPr="004F7B2C">
        <w:rPr>
          <w:sz w:val="22"/>
          <w:szCs w:val="22"/>
        </w:rPr>
        <w:t xml:space="preserve">Define a lookback period </w:t>
      </w:r>
      <w:r w:rsidRPr="004F7B2C">
        <w:rPr>
          <w:b/>
          <w:i/>
          <w:sz w:val="22"/>
          <w:szCs w:val="22"/>
        </w:rPr>
        <w:t>n</w:t>
      </w:r>
    </w:p>
    <w:p w14:paraId="227D528E" w14:textId="7EF2266F" w:rsidR="001F529E" w:rsidRPr="004F7B2C" w:rsidRDefault="001F529E" w:rsidP="004F7B2C">
      <w:pPr>
        <w:pStyle w:val="ListParagraph"/>
        <w:numPr>
          <w:ilvl w:val="0"/>
          <w:numId w:val="14"/>
        </w:numPr>
        <w:spacing w:line="240" w:lineRule="auto"/>
        <w:jc w:val="both"/>
        <w:rPr>
          <w:sz w:val="22"/>
          <w:szCs w:val="22"/>
        </w:rPr>
      </w:pPr>
      <w:r w:rsidRPr="004F7B2C">
        <w:rPr>
          <w:sz w:val="22"/>
          <w:szCs w:val="22"/>
        </w:rPr>
        <w:t xml:space="preserve">Obtain all the historical </w:t>
      </w:r>
      <w:r w:rsidRPr="004F7B2C">
        <w:rPr>
          <w:b/>
          <w:i/>
          <w:sz w:val="22"/>
          <w:szCs w:val="22"/>
        </w:rPr>
        <w:t>prices</w:t>
      </w:r>
      <w:r w:rsidRPr="004F7B2C">
        <w:rPr>
          <w:i/>
          <w:sz w:val="22"/>
          <w:szCs w:val="22"/>
        </w:rPr>
        <w:t xml:space="preserve"> </w:t>
      </w:r>
      <w:r w:rsidRPr="004F7B2C">
        <w:rPr>
          <w:sz w:val="22"/>
          <w:szCs w:val="22"/>
        </w:rPr>
        <w:t>for the stock over a certain period of time</w:t>
      </w:r>
    </w:p>
    <w:p w14:paraId="631B711C" w14:textId="3C9946B1" w:rsidR="00FF50C1" w:rsidRPr="004F7B2C" w:rsidRDefault="002D51F3" w:rsidP="004F7B2C">
      <w:pPr>
        <w:pStyle w:val="ListParagraph"/>
        <w:numPr>
          <w:ilvl w:val="0"/>
          <w:numId w:val="14"/>
        </w:numPr>
        <w:spacing w:line="240" w:lineRule="auto"/>
        <w:jc w:val="both"/>
        <w:rPr>
          <w:sz w:val="22"/>
          <w:szCs w:val="22"/>
        </w:rPr>
      </w:pPr>
      <w:r w:rsidRPr="004F7B2C">
        <w:rPr>
          <w:sz w:val="22"/>
          <w:szCs w:val="22"/>
        </w:rPr>
        <w:t xml:space="preserve">Calculate the </w:t>
      </w:r>
      <w:r w:rsidRPr="007B34DD">
        <w:rPr>
          <w:b/>
          <w:sz w:val="22"/>
          <w:szCs w:val="22"/>
        </w:rPr>
        <w:t>price/SMA</w:t>
      </w:r>
      <w:r w:rsidRPr="004F7B2C">
        <w:rPr>
          <w:sz w:val="22"/>
          <w:szCs w:val="22"/>
        </w:rPr>
        <w:t xml:space="preserve"> </w:t>
      </w:r>
      <w:r w:rsidR="00997336" w:rsidRPr="004F7B2C">
        <w:rPr>
          <w:sz w:val="22"/>
          <w:szCs w:val="22"/>
        </w:rPr>
        <w:t>for each trading day:</w:t>
      </w:r>
      <w:r w:rsidRPr="004F7B2C">
        <w:rPr>
          <w:sz w:val="22"/>
          <w:szCs w:val="22"/>
        </w:rPr>
        <w:t xml:space="preserve"> </w:t>
      </w:r>
      <w:r w:rsidRPr="007B34DD">
        <w:rPr>
          <w:i/>
          <w:sz w:val="22"/>
          <w:szCs w:val="22"/>
        </w:rPr>
        <w:t>ratio[t] = (prices[t] / prices[t-n:t].mean()) – 1</w:t>
      </w:r>
    </w:p>
    <w:p w14:paraId="6750628E" w14:textId="09940A89" w:rsidR="00B15329" w:rsidRPr="004F7B2C" w:rsidRDefault="00353375" w:rsidP="004F7B2C">
      <w:pPr>
        <w:spacing w:line="240" w:lineRule="auto"/>
        <w:jc w:val="both"/>
        <w:rPr>
          <w:sz w:val="22"/>
          <w:szCs w:val="22"/>
        </w:rPr>
      </w:pPr>
      <w:r w:rsidRPr="004F7B2C">
        <w:rPr>
          <w:sz w:val="22"/>
          <w:szCs w:val="22"/>
        </w:rPr>
        <w:t xml:space="preserve">The Simple Moving Average serves as an estimation of the </w:t>
      </w:r>
      <w:r w:rsidRPr="004F7B2C">
        <w:rPr>
          <w:i/>
          <w:sz w:val="22"/>
          <w:szCs w:val="22"/>
        </w:rPr>
        <w:t>true</w:t>
      </w:r>
      <w:r w:rsidRPr="004F7B2C">
        <w:rPr>
          <w:sz w:val="22"/>
          <w:szCs w:val="22"/>
        </w:rPr>
        <w:t xml:space="preserve"> value of a stock so, in a trading strategy, an investor can look for instances where the price of a stock crosses the SMA that can signal particular trading opportunities. In particular, situations where the price went above the SMA and down which suggests the price is regressing back to the mean, and </w:t>
      </w:r>
      <w:r w:rsidR="00B15329" w:rsidRPr="004F7B2C">
        <w:rPr>
          <w:sz w:val="22"/>
          <w:szCs w:val="22"/>
        </w:rPr>
        <w:t>vice versa.</w:t>
      </w:r>
    </w:p>
    <w:p w14:paraId="37028641" w14:textId="24BD427A" w:rsidR="00FF50C1" w:rsidRPr="004F7B2C" w:rsidRDefault="00353375" w:rsidP="004F7B2C">
      <w:pPr>
        <w:spacing w:line="240" w:lineRule="auto"/>
        <w:jc w:val="both"/>
        <w:rPr>
          <w:sz w:val="22"/>
          <w:szCs w:val="22"/>
        </w:rPr>
      </w:pPr>
      <w:r w:rsidRPr="004F7B2C">
        <w:rPr>
          <w:sz w:val="22"/>
          <w:szCs w:val="22"/>
        </w:rPr>
        <w:t xml:space="preserve">Price/SMA ratio is precisely measuring </w:t>
      </w:r>
      <w:r w:rsidR="004226D4">
        <w:rPr>
          <w:sz w:val="22"/>
          <w:szCs w:val="22"/>
        </w:rPr>
        <w:t xml:space="preserve">this, and </w:t>
      </w:r>
      <w:r w:rsidRPr="004F7B2C">
        <w:rPr>
          <w:sz w:val="22"/>
          <w:szCs w:val="22"/>
        </w:rPr>
        <w:t>a SELL opportunity arises for an above-and-down instance since the price is t</w:t>
      </w:r>
      <w:r w:rsidR="00B15329" w:rsidRPr="004F7B2C">
        <w:rPr>
          <w:sz w:val="22"/>
          <w:szCs w:val="22"/>
        </w:rPr>
        <w:t>r</w:t>
      </w:r>
      <w:r w:rsidRPr="004F7B2C">
        <w:rPr>
          <w:sz w:val="22"/>
          <w:szCs w:val="22"/>
        </w:rPr>
        <w:t xml:space="preserve">ending down, and a BUY opportunity, for a below-and-up </w:t>
      </w:r>
      <w:r w:rsidR="00B15329" w:rsidRPr="004F7B2C">
        <w:rPr>
          <w:sz w:val="22"/>
          <w:szCs w:val="22"/>
        </w:rPr>
        <w:t>instance since the price is trending up. To improve the effectiveness of the signal, price/SMA ratio can be used in combination with momentum in order to increase the confidence of the upwards or downwards trend.</w:t>
      </w:r>
    </w:p>
    <w:p w14:paraId="7B6516C5" w14:textId="0BBFAF97" w:rsidR="002D51F3" w:rsidRDefault="002D51F3" w:rsidP="004F7B2C">
      <w:pPr>
        <w:spacing w:line="240" w:lineRule="auto"/>
        <w:jc w:val="both"/>
        <w:rPr>
          <w:sz w:val="22"/>
          <w:szCs w:val="22"/>
        </w:rPr>
      </w:pPr>
      <w:r w:rsidRPr="004F7B2C">
        <w:rPr>
          <w:sz w:val="22"/>
          <w:szCs w:val="22"/>
        </w:rPr>
        <w:t xml:space="preserve">The following figure shows </w:t>
      </w:r>
      <w:r w:rsidR="00B15329" w:rsidRPr="004F7B2C">
        <w:rPr>
          <w:sz w:val="22"/>
          <w:szCs w:val="22"/>
        </w:rPr>
        <w:t xml:space="preserve">the prices and </w:t>
      </w:r>
      <w:r w:rsidRPr="004F7B2C">
        <w:rPr>
          <w:sz w:val="22"/>
          <w:szCs w:val="22"/>
        </w:rPr>
        <w:t xml:space="preserve">the price/SMA ratio </w:t>
      </w:r>
      <w:r w:rsidRPr="004F7B2C">
        <w:rPr>
          <w:sz w:val="22"/>
          <w:szCs w:val="22"/>
        </w:rPr>
        <w:t xml:space="preserve">of the stock symbol </w:t>
      </w:r>
      <w:r w:rsidRPr="004F7B2C">
        <w:rPr>
          <w:b/>
          <w:sz w:val="22"/>
          <w:szCs w:val="22"/>
        </w:rPr>
        <w:t>JPM</w:t>
      </w:r>
      <w:r w:rsidRPr="004F7B2C">
        <w:rPr>
          <w:sz w:val="22"/>
          <w:szCs w:val="22"/>
        </w:rPr>
        <w:t xml:space="preserve"> </w:t>
      </w:r>
      <w:r w:rsidRPr="004F7B2C">
        <w:rPr>
          <w:sz w:val="22"/>
          <w:szCs w:val="22"/>
        </w:rPr>
        <w:t xml:space="preserve">using a lookback window of 10 days </w:t>
      </w:r>
      <w:r w:rsidR="000360BA">
        <w:rPr>
          <w:sz w:val="22"/>
          <w:szCs w:val="22"/>
        </w:rPr>
        <w:t xml:space="preserve">for </w:t>
      </w:r>
      <w:r w:rsidRPr="004F7B2C">
        <w:rPr>
          <w:sz w:val="22"/>
          <w:szCs w:val="22"/>
        </w:rPr>
        <w:t xml:space="preserve">the </w:t>
      </w:r>
      <w:r w:rsidR="00E21550">
        <w:rPr>
          <w:sz w:val="22"/>
          <w:szCs w:val="22"/>
        </w:rPr>
        <w:t>in-sample period</w:t>
      </w:r>
      <w:r w:rsidRPr="004F7B2C">
        <w:rPr>
          <w:sz w:val="22"/>
          <w:szCs w:val="22"/>
        </w:rPr>
        <w:t>.</w:t>
      </w:r>
      <w:r w:rsidR="000400EB">
        <w:rPr>
          <w:sz w:val="22"/>
          <w:szCs w:val="22"/>
        </w:rPr>
        <w:t xml:space="preserve"> Notice how it captures changes in price by crossing up and then down wh</w:t>
      </w:r>
      <w:r w:rsidR="00964AD7">
        <w:rPr>
          <w:sz w:val="22"/>
          <w:szCs w:val="22"/>
        </w:rPr>
        <w:t>enever there is a drop in price;</w:t>
      </w:r>
      <w:r w:rsidR="000400EB">
        <w:rPr>
          <w:sz w:val="22"/>
          <w:szCs w:val="22"/>
        </w:rPr>
        <w:t xml:space="preserve"> for example</w:t>
      </w:r>
      <w:r w:rsidR="00964AD7">
        <w:rPr>
          <w:sz w:val="22"/>
          <w:szCs w:val="22"/>
        </w:rPr>
        <w:t>,</w:t>
      </w:r>
      <w:r w:rsidR="000400EB">
        <w:rPr>
          <w:sz w:val="22"/>
          <w:szCs w:val="22"/>
        </w:rPr>
        <w:t xml:space="preserve"> the big drop between March and April 2009</w:t>
      </w:r>
      <w:r w:rsidR="00964AD7">
        <w:rPr>
          <w:sz w:val="22"/>
          <w:szCs w:val="22"/>
        </w:rPr>
        <w:t xml:space="preserve"> which is shown as a cross above zero and then back down below </w:t>
      </w:r>
      <w:r w:rsidR="004226D4">
        <w:rPr>
          <w:sz w:val="22"/>
          <w:szCs w:val="22"/>
        </w:rPr>
        <w:t xml:space="preserve">it in the </w:t>
      </w:r>
      <w:r w:rsidR="00964AD7">
        <w:rPr>
          <w:sz w:val="22"/>
          <w:szCs w:val="22"/>
        </w:rPr>
        <w:t>price/SMA ratio chart around the same dates.</w:t>
      </w:r>
    </w:p>
    <w:p w14:paraId="36BB1053" w14:textId="5FD5E63B" w:rsidR="00B15329" w:rsidRDefault="00B15329" w:rsidP="002D51F3">
      <w:pPr>
        <w:rPr>
          <w:sz w:val="22"/>
          <w:szCs w:val="22"/>
        </w:rPr>
      </w:pPr>
    </w:p>
    <w:p w14:paraId="62D87D92" w14:textId="6B9982E7" w:rsidR="002D51F3" w:rsidRPr="001F529E" w:rsidRDefault="00B15329" w:rsidP="002D51F3">
      <w:r>
        <w:rPr>
          <w:noProof/>
        </w:rPr>
        <w:drawing>
          <wp:anchor distT="0" distB="0" distL="114300" distR="114300" simplePos="0" relativeHeight="251663360" behindDoc="0" locked="0" layoutInCell="1" allowOverlap="1" wp14:anchorId="3B108AAC" wp14:editId="49041A7D">
            <wp:simplePos x="0" y="0"/>
            <wp:positionH relativeFrom="column">
              <wp:posOffset>3020060</wp:posOffset>
            </wp:positionH>
            <wp:positionV relativeFrom="paragraph">
              <wp:posOffset>5080</wp:posOffset>
            </wp:positionV>
            <wp:extent cx="3154680" cy="24961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ToSMARatioForJPM.png"/>
                    <pic:cNvPicPr/>
                  </pic:nvPicPr>
                  <pic:blipFill>
                    <a:blip r:embed="rId10">
                      <a:extLst>
                        <a:ext uri="{28A0092B-C50C-407E-A947-70E740481C1C}">
                          <a14:useLocalDpi xmlns:a14="http://schemas.microsoft.com/office/drawing/2010/main" val="0"/>
                        </a:ext>
                      </a:extLst>
                    </a:blip>
                    <a:stretch>
                      <a:fillRect/>
                    </a:stretch>
                  </pic:blipFill>
                  <pic:spPr>
                    <a:xfrm>
                      <a:off x="0" y="0"/>
                      <a:ext cx="3154680" cy="24961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5D14F00" wp14:editId="07969537">
            <wp:simplePos x="0" y="0"/>
            <wp:positionH relativeFrom="column">
              <wp:posOffset>-293370</wp:posOffset>
            </wp:positionH>
            <wp:positionV relativeFrom="paragraph">
              <wp:posOffset>0</wp:posOffset>
            </wp:positionV>
            <wp:extent cx="3155160" cy="2505456"/>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cesForJPM.png"/>
                    <pic:cNvPicPr/>
                  </pic:nvPicPr>
                  <pic:blipFill>
                    <a:blip r:embed="rId8">
                      <a:extLst>
                        <a:ext uri="{28A0092B-C50C-407E-A947-70E740481C1C}">
                          <a14:useLocalDpi xmlns:a14="http://schemas.microsoft.com/office/drawing/2010/main" val="0"/>
                        </a:ext>
                      </a:extLst>
                    </a:blip>
                    <a:stretch>
                      <a:fillRect/>
                    </a:stretch>
                  </pic:blipFill>
                  <pic:spPr>
                    <a:xfrm>
                      <a:off x="0" y="0"/>
                      <a:ext cx="3155160" cy="2505456"/>
                    </a:xfrm>
                    <a:prstGeom prst="rect">
                      <a:avLst/>
                    </a:prstGeom>
                  </pic:spPr>
                </pic:pic>
              </a:graphicData>
            </a:graphic>
            <wp14:sizeRelH relativeFrom="page">
              <wp14:pctWidth>0</wp14:pctWidth>
            </wp14:sizeRelH>
            <wp14:sizeRelV relativeFrom="page">
              <wp14:pctHeight>0</wp14:pctHeight>
            </wp14:sizeRelV>
          </wp:anchor>
        </w:drawing>
      </w:r>
    </w:p>
    <w:p w14:paraId="056408D4" w14:textId="69B37133" w:rsidR="00F91FC6" w:rsidRPr="00F91FC6" w:rsidRDefault="00810E81" w:rsidP="00F91FC6">
      <w:pPr>
        <w:pStyle w:val="Heading2"/>
      </w:pPr>
      <w:r>
        <w:t>Bollinger Bands</w:t>
      </w:r>
      <w:r w:rsidR="00F91FC6" w:rsidRPr="00F91FC6">
        <w:rPr>
          <w:vertAlign w:val="superscript"/>
        </w:rPr>
        <w:sym w:font="Symbol" w:char="F0D2"/>
      </w:r>
    </w:p>
    <w:p w14:paraId="5802AB33" w14:textId="02298F15" w:rsidR="00F91FC6" w:rsidRDefault="00F91FC6" w:rsidP="00F91FC6">
      <w:pPr>
        <w:spacing w:line="240" w:lineRule="auto"/>
        <w:jc w:val="both"/>
        <w:rPr>
          <w:sz w:val="22"/>
          <w:szCs w:val="22"/>
        </w:rPr>
      </w:pPr>
      <w:r>
        <w:rPr>
          <w:sz w:val="22"/>
          <w:szCs w:val="22"/>
        </w:rPr>
        <w:t>Bollinger Bands</w:t>
      </w:r>
      <w:r w:rsidRPr="00F91FC6">
        <w:rPr>
          <w:sz w:val="22"/>
          <w:szCs w:val="22"/>
          <w:vertAlign w:val="superscript"/>
        </w:rPr>
        <w:sym w:font="Symbol" w:char="F0D2"/>
      </w:r>
      <w:r>
        <w:rPr>
          <w:sz w:val="22"/>
          <w:szCs w:val="22"/>
        </w:rPr>
        <w:t xml:space="preserve"> (BBands) are, as the name implies, </w:t>
      </w:r>
      <w:r>
        <w:rPr>
          <w:i/>
          <w:sz w:val="22"/>
          <w:szCs w:val="22"/>
        </w:rPr>
        <w:t>bands</w:t>
      </w:r>
      <w:r>
        <w:rPr>
          <w:sz w:val="22"/>
          <w:szCs w:val="22"/>
        </w:rPr>
        <w:t xml:space="preserve"> two standard deviations above and beyond the Simple Moving Average (SMA). </w:t>
      </w:r>
      <w:r w:rsidR="00AC04F8">
        <w:rPr>
          <w:sz w:val="22"/>
          <w:szCs w:val="22"/>
        </w:rPr>
        <w:t xml:space="preserve">For this project, </w:t>
      </w:r>
      <w:r w:rsidR="007C0DB7">
        <w:rPr>
          <w:sz w:val="22"/>
          <w:szCs w:val="22"/>
        </w:rPr>
        <w:t>the BBands values were used as a technical indicator to measure the difference between the SMA and the price with respect to two standard deviations of the mean. The BBands values can be computed as follows:</w:t>
      </w:r>
    </w:p>
    <w:p w14:paraId="2097FF4A" w14:textId="0326B94C" w:rsidR="007C0DB7" w:rsidRDefault="007C0DB7" w:rsidP="007C0DB7">
      <w:pPr>
        <w:pStyle w:val="ListParagraph"/>
        <w:numPr>
          <w:ilvl w:val="0"/>
          <w:numId w:val="16"/>
        </w:numPr>
        <w:spacing w:line="240" w:lineRule="auto"/>
        <w:jc w:val="both"/>
        <w:rPr>
          <w:sz w:val="22"/>
          <w:szCs w:val="22"/>
        </w:rPr>
      </w:pPr>
      <w:r>
        <w:rPr>
          <w:sz w:val="22"/>
          <w:szCs w:val="22"/>
        </w:rPr>
        <w:t xml:space="preserve">Define a lookback period </w:t>
      </w:r>
      <w:r>
        <w:rPr>
          <w:b/>
          <w:i/>
          <w:sz w:val="22"/>
          <w:szCs w:val="22"/>
        </w:rPr>
        <w:t>n</w:t>
      </w:r>
    </w:p>
    <w:p w14:paraId="7F9F4749" w14:textId="0B3FD55F" w:rsidR="007C0DB7" w:rsidRDefault="007C0DB7" w:rsidP="007C0DB7">
      <w:pPr>
        <w:pStyle w:val="ListParagraph"/>
        <w:numPr>
          <w:ilvl w:val="0"/>
          <w:numId w:val="16"/>
        </w:numPr>
        <w:spacing w:line="240" w:lineRule="auto"/>
        <w:jc w:val="both"/>
        <w:rPr>
          <w:sz w:val="22"/>
          <w:szCs w:val="22"/>
        </w:rPr>
      </w:pPr>
      <w:r>
        <w:rPr>
          <w:sz w:val="22"/>
          <w:szCs w:val="22"/>
        </w:rPr>
        <w:t xml:space="preserve">Obtain all the historical </w:t>
      </w:r>
      <w:r>
        <w:rPr>
          <w:b/>
          <w:i/>
          <w:sz w:val="22"/>
          <w:szCs w:val="22"/>
        </w:rPr>
        <w:t>prices</w:t>
      </w:r>
      <w:r>
        <w:rPr>
          <w:sz w:val="22"/>
          <w:szCs w:val="22"/>
        </w:rPr>
        <w:t xml:space="preserve"> for the stock over a certain period of time</w:t>
      </w:r>
    </w:p>
    <w:p w14:paraId="363E3339" w14:textId="276E794F" w:rsidR="007C0DB7" w:rsidRDefault="007C0DB7" w:rsidP="007C0DB7">
      <w:pPr>
        <w:pStyle w:val="ListParagraph"/>
        <w:numPr>
          <w:ilvl w:val="0"/>
          <w:numId w:val="16"/>
        </w:numPr>
        <w:spacing w:line="240" w:lineRule="auto"/>
        <w:jc w:val="both"/>
        <w:rPr>
          <w:sz w:val="22"/>
          <w:szCs w:val="22"/>
        </w:rPr>
      </w:pPr>
      <w:r>
        <w:rPr>
          <w:sz w:val="22"/>
          <w:szCs w:val="22"/>
        </w:rPr>
        <w:t xml:space="preserve">Calculate the </w:t>
      </w:r>
      <w:r>
        <w:rPr>
          <w:b/>
          <w:i/>
          <w:sz w:val="22"/>
          <w:szCs w:val="22"/>
        </w:rPr>
        <w:t>SMA</w:t>
      </w:r>
      <w:r>
        <w:rPr>
          <w:i/>
          <w:sz w:val="22"/>
          <w:szCs w:val="22"/>
        </w:rPr>
        <w:t>,</w:t>
      </w:r>
      <w:r>
        <w:rPr>
          <w:sz w:val="22"/>
          <w:szCs w:val="22"/>
        </w:rPr>
        <w:t xml:space="preserve"> as previously described</w:t>
      </w:r>
    </w:p>
    <w:p w14:paraId="473B5A01" w14:textId="20E93FAF" w:rsidR="00083FC2" w:rsidRPr="00083FC2" w:rsidRDefault="0017569C" w:rsidP="00083FC2">
      <w:pPr>
        <w:pStyle w:val="ListParagraph"/>
        <w:numPr>
          <w:ilvl w:val="0"/>
          <w:numId w:val="16"/>
        </w:numPr>
        <w:spacing w:line="240" w:lineRule="auto"/>
        <w:jc w:val="both"/>
        <w:rPr>
          <w:sz w:val="22"/>
          <w:szCs w:val="22"/>
        </w:rPr>
      </w:pPr>
      <w:r>
        <w:rPr>
          <w:sz w:val="22"/>
          <w:szCs w:val="22"/>
        </w:rPr>
        <w:t xml:space="preserve">Calculate the </w:t>
      </w:r>
      <w:r w:rsidRPr="007B34DD">
        <w:rPr>
          <w:b/>
          <w:sz w:val="22"/>
          <w:szCs w:val="22"/>
        </w:rPr>
        <w:t>BBands</w:t>
      </w:r>
      <w:r>
        <w:rPr>
          <w:sz w:val="22"/>
          <w:szCs w:val="22"/>
        </w:rPr>
        <w:t xml:space="preserve"> </w:t>
      </w:r>
      <w:r w:rsidR="007C0DB7">
        <w:rPr>
          <w:sz w:val="22"/>
          <w:szCs w:val="22"/>
        </w:rPr>
        <w:t xml:space="preserve">for each trading day: </w:t>
      </w:r>
      <w:r w:rsidR="007C0DB7" w:rsidRPr="007B34DD">
        <w:rPr>
          <w:i/>
          <w:sz w:val="22"/>
          <w:szCs w:val="22"/>
        </w:rPr>
        <w:t>bbands[t] =</w:t>
      </w:r>
      <w:r w:rsidR="00083FC2" w:rsidRPr="007B34DD">
        <w:rPr>
          <w:i/>
          <w:sz w:val="22"/>
          <w:szCs w:val="22"/>
        </w:rPr>
        <w:t xml:space="preserve"> (prices[t] - </w:t>
      </w:r>
      <w:r w:rsidRPr="007B34DD">
        <w:rPr>
          <w:i/>
          <w:sz w:val="22"/>
          <w:szCs w:val="22"/>
        </w:rPr>
        <w:t>sma</w:t>
      </w:r>
      <w:r w:rsidR="001A5FFA" w:rsidRPr="007B34DD">
        <w:rPr>
          <w:i/>
          <w:sz w:val="22"/>
          <w:szCs w:val="22"/>
        </w:rPr>
        <w:t xml:space="preserve">[t]) / (2 * </w:t>
      </w:r>
      <w:r w:rsidRPr="007B34DD">
        <w:rPr>
          <w:i/>
          <w:sz w:val="22"/>
          <w:szCs w:val="22"/>
        </w:rPr>
        <w:t>sma</w:t>
      </w:r>
      <w:r w:rsidR="001A5FFA" w:rsidRPr="007B34DD">
        <w:rPr>
          <w:i/>
          <w:sz w:val="22"/>
          <w:szCs w:val="22"/>
        </w:rPr>
        <w:t>[t]</w:t>
      </w:r>
      <w:r w:rsidR="007C0DB7" w:rsidRPr="007B34DD">
        <w:rPr>
          <w:i/>
          <w:sz w:val="22"/>
          <w:szCs w:val="22"/>
        </w:rPr>
        <w:t>.std()</w:t>
      </w:r>
    </w:p>
    <w:p w14:paraId="2CBE279B" w14:textId="39CD33B6" w:rsidR="000360BA" w:rsidRDefault="0017569C" w:rsidP="0017569C">
      <w:pPr>
        <w:spacing w:line="240" w:lineRule="auto"/>
        <w:jc w:val="both"/>
        <w:rPr>
          <w:sz w:val="22"/>
          <w:szCs w:val="22"/>
        </w:rPr>
      </w:pPr>
      <w:r>
        <w:rPr>
          <w:sz w:val="22"/>
          <w:szCs w:val="22"/>
        </w:rPr>
        <w:t xml:space="preserve">In a trading strategy, the </w:t>
      </w:r>
      <w:r>
        <w:rPr>
          <w:sz w:val="22"/>
          <w:szCs w:val="22"/>
        </w:rPr>
        <w:t>Bollinger Bands</w:t>
      </w:r>
      <w:r w:rsidRPr="00F91FC6">
        <w:rPr>
          <w:sz w:val="22"/>
          <w:szCs w:val="22"/>
          <w:vertAlign w:val="superscript"/>
        </w:rPr>
        <w:sym w:font="Symbol" w:char="F0D2"/>
      </w:r>
      <w:r>
        <w:rPr>
          <w:sz w:val="22"/>
          <w:szCs w:val="22"/>
        </w:rPr>
        <w:t xml:space="preserve"> values serve as an indication of whether the stock appears to be </w:t>
      </w:r>
      <w:r>
        <w:rPr>
          <w:b/>
          <w:sz w:val="22"/>
          <w:szCs w:val="22"/>
        </w:rPr>
        <w:t xml:space="preserve">oversold </w:t>
      </w:r>
      <w:r>
        <w:rPr>
          <w:sz w:val="22"/>
          <w:szCs w:val="22"/>
        </w:rPr>
        <w:t xml:space="preserve">(the value seems to be underrated) or </w:t>
      </w:r>
      <w:r>
        <w:rPr>
          <w:b/>
          <w:sz w:val="22"/>
          <w:szCs w:val="22"/>
        </w:rPr>
        <w:t xml:space="preserve">overbought </w:t>
      </w:r>
      <w:r>
        <w:rPr>
          <w:sz w:val="22"/>
          <w:szCs w:val="22"/>
        </w:rPr>
        <w:t>(the value seems to be overrated)</w:t>
      </w:r>
      <w:r w:rsidR="00083FC2">
        <w:rPr>
          <w:sz w:val="22"/>
          <w:szCs w:val="22"/>
        </w:rPr>
        <w:t>. In terms of the BBands values, a stock can be flagged as oversold if the price goes below the bottom band and then cross</w:t>
      </w:r>
      <w:r w:rsidR="000360BA">
        <w:rPr>
          <w:sz w:val="22"/>
          <w:szCs w:val="22"/>
        </w:rPr>
        <w:t>es up; and flagged as overbought if the price goes up the top band and then crosses back down.</w:t>
      </w:r>
    </w:p>
    <w:p w14:paraId="19F694E2" w14:textId="23A800A0" w:rsidR="0017569C" w:rsidRDefault="00083FC2" w:rsidP="0017569C">
      <w:pPr>
        <w:spacing w:line="240" w:lineRule="auto"/>
        <w:jc w:val="both"/>
        <w:rPr>
          <w:sz w:val="22"/>
          <w:szCs w:val="22"/>
        </w:rPr>
      </w:pPr>
      <w:r>
        <w:rPr>
          <w:sz w:val="22"/>
          <w:szCs w:val="22"/>
        </w:rPr>
        <w:t>The reason behind this is that if the difference between the price and the SMA is negatively larger tha</w:t>
      </w:r>
      <w:r w:rsidR="000360BA">
        <w:rPr>
          <w:sz w:val="22"/>
          <w:szCs w:val="22"/>
        </w:rPr>
        <w:t xml:space="preserve">n two standard deviations, then the value of the stock is too low from what it actually is (recall that SMA serves as indication of the </w:t>
      </w:r>
      <w:r w:rsidR="000360BA">
        <w:rPr>
          <w:i/>
          <w:sz w:val="22"/>
          <w:szCs w:val="22"/>
        </w:rPr>
        <w:t>true</w:t>
      </w:r>
      <w:r w:rsidR="000360BA">
        <w:rPr>
          <w:sz w:val="22"/>
          <w:szCs w:val="22"/>
        </w:rPr>
        <w:t xml:space="preserve"> value), and it is expected to regress up to the mean. In this case, a BUY opportunity arises. On the other hand, a SELL opportunity arises when the difference is positively larger because it is can be seen as too high from what it actually is and </w:t>
      </w:r>
      <w:r w:rsidR="00E21550">
        <w:rPr>
          <w:sz w:val="22"/>
          <w:szCs w:val="22"/>
        </w:rPr>
        <w:t>it is</w:t>
      </w:r>
      <w:r w:rsidR="000360BA">
        <w:rPr>
          <w:sz w:val="22"/>
          <w:szCs w:val="22"/>
        </w:rPr>
        <w:t xml:space="preserve"> expected to regress down to the mean.</w:t>
      </w:r>
    </w:p>
    <w:p w14:paraId="32E529B0" w14:textId="04A47359" w:rsidR="000360BA" w:rsidRDefault="00F91FC6" w:rsidP="00F91FC6">
      <w:pPr>
        <w:rPr>
          <w:sz w:val="22"/>
          <w:szCs w:val="22"/>
        </w:rPr>
      </w:pPr>
      <w:r w:rsidRPr="004F7B2C">
        <w:rPr>
          <w:sz w:val="22"/>
          <w:szCs w:val="22"/>
        </w:rPr>
        <w:t xml:space="preserve">The following figure shows the </w:t>
      </w:r>
      <w:r w:rsidR="000360BA">
        <w:rPr>
          <w:sz w:val="22"/>
          <w:szCs w:val="22"/>
        </w:rPr>
        <w:t xml:space="preserve">prices, SMA and </w:t>
      </w:r>
      <w:r w:rsidR="000360BA">
        <w:rPr>
          <w:sz w:val="22"/>
          <w:szCs w:val="22"/>
        </w:rPr>
        <w:t>Bollinger Bands</w:t>
      </w:r>
      <w:r w:rsidR="000360BA" w:rsidRPr="00F91FC6">
        <w:rPr>
          <w:sz w:val="22"/>
          <w:szCs w:val="22"/>
          <w:vertAlign w:val="superscript"/>
        </w:rPr>
        <w:sym w:font="Symbol" w:char="F0D2"/>
      </w:r>
      <w:r w:rsidR="000360BA">
        <w:rPr>
          <w:sz w:val="22"/>
          <w:szCs w:val="22"/>
        </w:rPr>
        <w:t xml:space="preserve">, along with the BBands values of the stock symbol </w:t>
      </w:r>
      <w:r w:rsidR="000360BA">
        <w:rPr>
          <w:b/>
          <w:sz w:val="22"/>
          <w:szCs w:val="22"/>
        </w:rPr>
        <w:t>JPM</w:t>
      </w:r>
      <w:r w:rsidR="000360BA">
        <w:rPr>
          <w:sz w:val="22"/>
          <w:szCs w:val="22"/>
        </w:rPr>
        <w:t xml:space="preserve"> using a lookback window of 10 days for the </w:t>
      </w:r>
      <w:r w:rsidR="00E21550">
        <w:rPr>
          <w:sz w:val="22"/>
          <w:szCs w:val="22"/>
        </w:rPr>
        <w:t xml:space="preserve">in-sample </w:t>
      </w:r>
      <w:r w:rsidR="000360BA">
        <w:rPr>
          <w:sz w:val="22"/>
          <w:szCs w:val="22"/>
        </w:rPr>
        <w:t>period. Notice how the values correspond to increases and decreases in the price of the stock. In particular, as noted in the graph, instances where the values oscillate between 1 and -1 present trading opportunities as these values indicate oversold/overbought instances.</w:t>
      </w:r>
    </w:p>
    <w:p w14:paraId="634A18D3" w14:textId="1FA67CBA" w:rsidR="000360BA" w:rsidRPr="000360BA" w:rsidRDefault="007E42F8" w:rsidP="00F91FC6">
      <w:pPr>
        <w:rPr>
          <w:sz w:val="22"/>
          <w:szCs w:val="22"/>
        </w:rPr>
      </w:pPr>
      <w:r>
        <w:rPr>
          <w:noProof/>
          <w:sz w:val="22"/>
          <w:szCs w:val="22"/>
        </w:rPr>
        <w:drawing>
          <wp:anchor distT="0" distB="0" distL="114300" distR="114300" simplePos="0" relativeHeight="251665408" behindDoc="0" locked="0" layoutInCell="1" allowOverlap="1" wp14:anchorId="384D7967" wp14:editId="4DF9C487">
            <wp:simplePos x="0" y="0"/>
            <wp:positionH relativeFrom="column">
              <wp:posOffset>3023870</wp:posOffset>
            </wp:positionH>
            <wp:positionV relativeFrom="paragraph">
              <wp:posOffset>5080</wp:posOffset>
            </wp:positionV>
            <wp:extent cx="3154680" cy="24961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llingerBandsValuesforJPM.png"/>
                    <pic:cNvPicPr/>
                  </pic:nvPicPr>
                  <pic:blipFill>
                    <a:blip r:embed="rId11">
                      <a:extLst>
                        <a:ext uri="{28A0092B-C50C-407E-A947-70E740481C1C}">
                          <a14:useLocalDpi xmlns:a14="http://schemas.microsoft.com/office/drawing/2010/main" val="0"/>
                        </a:ext>
                      </a:extLst>
                    </a:blip>
                    <a:stretch>
                      <a:fillRect/>
                    </a:stretch>
                  </pic:blipFill>
                  <pic:spPr>
                    <a:xfrm>
                      <a:off x="0" y="0"/>
                      <a:ext cx="3154680" cy="2496185"/>
                    </a:xfrm>
                    <a:prstGeom prst="rect">
                      <a:avLst/>
                    </a:prstGeom>
                  </pic:spPr>
                </pic:pic>
              </a:graphicData>
            </a:graphic>
            <wp14:sizeRelH relativeFrom="page">
              <wp14:pctWidth>0</wp14:pctWidth>
            </wp14:sizeRelH>
            <wp14:sizeRelV relativeFrom="page">
              <wp14:pctHeight>0</wp14:pctHeight>
            </wp14:sizeRelV>
          </wp:anchor>
        </w:drawing>
      </w:r>
      <w:r w:rsidR="000360BA">
        <w:rPr>
          <w:noProof/>
          <w:sz w:val="22"/>
          <w:szCs w:val="22"/>
        </w:rPr>
        <w:drawing>
          <wp:anchor distT="0" distB="0" distL="114300" distR="114300" simplePos="0" relativeHeight="251664384" behindDoc="0" locked="0" layoutInCell="1" allowOverlap="1" wp14:anchorId="123C7B72" wp14:editId="510B9F0C">
            <wp:simplePos x="0" y="0"/>
            <wp:positionH relativeFrom="column">
              <wp:posOffset>-291465</wp:posOffset>
            </wp:positionH>
            <wp:positionV relativeFrom="paragraph">
              <wp:posOffset>2540</wp:posOffset>
            </wp:positionV>
            <wp:extent cx="3154680" cy="25050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cesvsBollingerBandsvs10-daySMAforJPM.png"/>
                    <pic:cNvPicPr/>
                  </pic:nvPicPr>
                  <pic:blipFill>
                    <a:blip r:embed="rId12">
                      <a:extLst>
                        <a:ext uri="{28A0092B-C50C-407E-A947-70E740481C1C}">
                          <a14:useLocalDpi xmlns:a14="http://schemas.microsoft.com/office/drawing/2010/main" val="0"/>
                        </a:ext>
                      </a:extLst>
                    </a:blip>
                    <a:stretch>
                      <a:fillRect/>
                    </a:stretch>
                  </pic:blipFill>
                  <pic:spPr>
                    <a:xfrm>
                      <a:off x="0" y="0"/>
                      <a:ext cx="3154680" cy="2505075"/>
                    </a:xfrm>
                    <a:prstGeom prst="rect">
                      <a:avLst/>
                    </a:prstGeom>
                  </pic:spPr>
                </pic:pic>
              </a:graphicData>
            </a:graphic>
            <wp14:sizeRelH relativeFrom="page">
              <wp14:pctWidth>0</wp14:pctWidth>
            </wp14:sizeRelH>
            <wp14:sizeRelV relativeFrom="page">
              <wp14:pctHeight>0</wp14:pctHeight>
            </wp14:sizeRelV>
          </wp:anchor>
        </w:drawing>
      </w:r>
    </w:p>
    <w:p w14:paraId="20632317" w14:textId="77777777" w:rsidR="00810E81" w:rsidRDefault="00810E81" w:rsidP="00810E81">
      <w:pPr>
        <w:pStyle w:val="Heading2"/>
      </w:pPr>
      <w:r>
        <w:t>Money Flow Index</w:t>
      </w:r>
    </w:p>
    <w:p w14:paraId="389A1359" w14:textId="0577CD5A" w:rsidR="006E51C3" w:rsidRDefault="00012EA1" w:rsidP="006E51C3">
      <w:pPr>
        <w:spacing w:line="240" w:lineRule="auto"/>
        <w:jc w:val="both"/>
        <w:rPr>
          <w:sz w:val="22"/>
          <w:szCs w:val="22"/>
        </w:rPr>
      </w:pPr>
      <w:r>
        <w:rPr>
          <w:sz w:val="22"/>
          <w:szCs w:val="22"/>
        </w:rPr>
        <w:t>The Money Flow Index (MFI)</w:t>
      </w:r>
      <w:r>
        <w:rPr>
          <w:rStyle w:val="FootnoteReference"/>
          <w:sz w:val="22"/>
          <w:szCs w:val="22"/>
        </w:rPr>
        <w:footnoteReference w:id="1"/>
      </w:r>
      <w:r>
        <w:rPr>
          <w:sz w:val="22"/>
          <w:szCs w:val="22"/>
        </w:rPr>
        <w:t xml:space="preserve"> is a technical indicator that measures the flow of incoming and outcoming money over a particular period of time. In other words, the MFI uses the price and volume of a stock to measure buy and sell pressure to produce the index. The MFI is computed as follows:</w:t>
      </w:r>
    </w:p>
    <w:p w14:paraId="41387F92" w14:textId="0371DFA0" w:rsidR="00012EA1" w:rsidRDefault="00012EA1" w:rsidP="00012EA1">
      <w:pPr>
        <w:pStyle w:val="ListParagraph"/>
        <w:numPr>
          <w:ilvl w:val="0"/>
          <w:numId w:val="18"/>
        </w:numPr>
        <w:spacing w:line="240" w:lineRule="auto"/>
        <w:jc w:val="both"/>
        <w:rPr>
          <w:sz w:val="22"/>
          <w:szCs w:val="22"/>
        </w:rPr>
      </w:pPr>
      <w:r>
        <w:rPr>
          <w:sz w:val="22"/>
          <w:szCs w:val="22"/>
        </w:rPr>
        <w:t xml:space="preserve">Define a lookback period </w:t>
      </w:r>
      <w:r>
        <w:rPr>
          <w:b/>
          <w:i/>
          <w:sz w:val="22"/>
          <w:szCs w:val="22"/>
        </w:rPr>
        <w:t>n</w:t>
      </w:r>
    </w:p>
    <w:p w14:paraId="429C9E78" w14:textId="4A7112B3" w:rsidR="00012EA1" w:rsidRDefault="00012EA1" w:rsidP="00012EA1">
      <w:pPr>
        <w:pStyle w:val="ListParagraph"/>
        <w:numPr>
          <w:ilvl w:val="0"/>
          <w:numId w:val="18"/>
        </w:numPr>
        <w:spacing w:line="240" w:lineRule="auto"/>
        <w:jc w:val="both"/>
        <w:rPr>
          <w:sz w:val="22"/>
          <w:szCs w:val="22"/>
        </w:rPr>
      </w:pPr>
      <w:r>
        <w:rPr>
          <w:sz w:val="22"/>
          <w:szCs w:val="22"/>
        </w:rPr>
        <w:t xml:space="preserve">Obtain all historical </w:t>
      </w:r>
      <w:r>
        <w:rPr>
          <w:b/>
          <w:i/>
          <w:sz w:val="22"/>
          <w:szCs w:val="22"/>
        </w:rPr>
        <w:t xml:space="preserve">high, low </w:t>
      </w:r>
      <w:r w:rsidRPr="00012EA1">
        <w:rPr>
          <w:sz w:val="22"/>
          <w:szCs w:val="22"/>
        </w:rPr>
        <w:t>and</w:t>
      </w:r>
      <w:r>
        <w:rPr>
          <w:b/>
          <w:i/>
          <w:sz w:val="22"/>
          <w:szCs w:val="22"/>
        </w:rPr>
        <w:t xml:space="preserve"> closing prices</w:t>
      </w:r>
      <w:r>
        <w:rPr>
          <w:sz w:val="22"/>
          <w:szCs w:val="22"/>
        </w:rPr>
        <w:t xml:space="preserve">, as well as, the </w:t>
      </w:r>
      <w:r>
        <w:rPr>
          <w:b/>
          <w:i/>
          <w:sz w:val="22"/>
          <w:szCs w:val="22"/>
        </w:rPr>
        <w:t>volume</w:t>
      </w:r>
      <w:r>
        <w:rPr>
          <w:i/>
          <w:sz w:val="22"/>
          <w:szCs w:val="22"/>
        </w:rPr>
        <w:t xml:space="preserve"> </w:t>
      </w:r>
      <w:r>
        <w:rPr>
          <w:sz w:val="22"/>
          <w:szCs w:val="22"/>
        </w:rPr>
        <w:t>for the stock</w:t>
      </w:r>
    </w:p>
    <w:p w14:paraId="7BD23611" w14:textId="582D263B" w:rsidR="00012EA1" w:rsidRDefault="00012EA1" w:rsidP="00012EA1">
      <w:pPr>
        <w:pStyle w:val="ListParagraph"/>
        <w:numPr>
          <w:ilvl w:val="0"/>
          <w:numId w:val="18"/>
        </w:numPr>
        <w:spacing w:line="240" w:lineRule="auto"/>
        <w:jc w:val="both"/>
        <w:rPr>
          <w:sz w:val="22"/>
          <w:szCs w:val="22"/>
        </w:rPr>
      </w:pPr>
      <w:r>
        <w:rPr>
          <w:sz w:val="22"/>
          <w:szCs w:val="22"/>
        </w:rPr>
        <w:t xml:space="preserve">Calculate the </w:t>
      </w:r>
      <w:r>
        <w:rPr>
          <w:b/>
          <w:i/>
          <w:sz w:val="22"/>
          <w:szCs w:val="22"/>
        </w:rPr>
        <w:t>typical price</w:t>
      </w:r>
      <w:r>
        <w:rPr>
          <w:sz w:val="22"/>
          <w:szCs w:val="22"/>
        </w:rPr>
        <w:t xml:space="preserve"> as: </w:t>
      </w:r>
      <w:r w:rsidRPr="007B34DD">
        <w:rPr>
          <w:i/>
          <w:sz w:val="22"/>
          <w:szCs w:val="22"/>
        </w:rPr>
        <w:t>typical[t] = (high[t] + low[t] + close[t]) / 3</w:t>
      </w:r>
    </w:p>
    <w:p w14:paraId="57208185" w14:textId="277EC7D2" w:rsidR="00012EA1" w:rsidRPr="00012EA1" w:rsidRDefault="00012EA1" w:rsidP="00012EA1">
      <w:pPr>
        <w:pStyle w:val="ListParagraph"/>
        <w:numPr>
          <w:ilvl w:val="0"/>
          <w:numId w:val="18"/>
        </w:numPr>
        <w:spacing w:line="240" w:lineRule="auto"/>
        <w:jc w:val="both"/>
        <w:rPr>
          <w:sz w:val="22"/>
          <w:szCs w:val="22"/>
        </w:rPr>
      </w:pPr>
      <w:r>
        <w:rPr>
          <w:sz w:val="22"/>
          <w:szCs w:val="22"/>
        </w:rPr>
        <w:t xml:space="preserve">Calculate the </w:t>
      </w:r>
      <w:r>
        <w:rPr>
          <w:b/>
          <w:i/>
          <w:sz w:val="22"/>
          <w:szCs w:val="22"/>
        </w:rPr>
        <w:t>raw money flow</w:t>
      </w:r>
      <w:r>
        <w:rPr>
          <w:sz w:val="22"/>
          <w:szCs w:val="22"/>
        </w:rPr>
        <w:t xml:space="preserve"> as: </w:t>
      </w:r>
      <w:r w:rsidRPr="007B34DD">
        <w:rPr>
          <w:i/>
          <w:sz w:val="22"/>
          <w:szCs w:val="22"/>
        </w:rPr>
        <w:t>raw[t] = typical[t] * volume[t]</w:t>
      </w:r>
    </w:p>
    <w:p w14:paraId="37AA9E11" w14:textId="626B4952" w:rsidR="00012EA1" w:rsidRDefault="00012EA1" w:rsidP="00012EA1">
      <w:pPr>
        <w:pStyle w:val="ListParagraph"/>
        <w:numPr>
          <w:ilvl w:val="0"/>
          <w:numId w:val="18"/>
        </w:numPr>
        <w:spacing w:line="240" w:lineRule="auto"/>
        <w:jc w:val="both"/>
        <w:rPr>
          <w:sz w:val="22"/>
          <w:szCs w:val="22"/>
        </w:rPr>
      </w:pPr>
      <w:r>
        <w:rPr>
          <w:sz w:val="22"/>
          <w:szCs w:val="22"/>
        </w:rPr>
        <w:t xml:space="preserve">Calculate the </w:t>
      </w:r>
      <w:r>
        <w:rPr>
          <w:b/>
          <w:i/>
          <w:sz w:val="22"/>
          <w:szCs w:val="22"/>
        </w:rPr>
        <w:t>n-day positive money</w:t>
      </w:r>
      <w:r>
        <w:rPr>
          <w:i/>
          <w:sz w:val="22"/>
          <w:szCs w:val="22"/>
        </w:rPr>
        <w:t xml:space="preserve"> </w:t>
      </w:r>
      <w:r>
        <w:rPr>
          <w:sz w:val="22"/>
          <w:szCs w:val="22"/>
        </w:rPr>
        <w:t>by summing up all of the raw money flow on days where the typical price is higher than the day before</w:t>
      </w:r>
    </w:p>
    <w:p w14:paraId="48E8C34D" w14:textId="766A4080" w:rsidR="00012EA1" w:rsidRDefault="00012EA1" w:rsidP="00012EA1">
      <w:pPr>
        <w:pStyle w:val="ListParagraph"/>
        <w:numPr>
          <w:ilvl w:val="0"/>
          <w:numId w:val="18"/>
        </w:numPr>
        <w:spacing w:line="240" w:lineRule="auto"/>
        <w:jc w:val="both"/>
        <w:rPr>
          <w:sz w:val="22"/>
          <w:szCs w:val="22"/>
        </w:rPr>
      </w:pPr>
      <w:r>
        <w:rPr>
          <w:sz w:val="22"/>
          <w:szCs w:val="22"/>
        </w:rPr>
        <w:t xml:space="preserve">Calculate the </w:t>
      </w:r>
      <w:r>
        <w:rPr>
          <w:b/>
          <w:i/>
          <w:sz w:val="22"/>
          <w:szCs w:val="22"/>
        </w:rPr>
        <w:t>n-day negative money</w:t>
      </w:r>
      <w:r>
        <w:rPr>
          <w:sz w:val="22"/>
          <w:szCs w:val="22"/>
        </w:rPr>
        <w:t xml:space="preserve"> by summing up all of the raw money flow on days where the typical price is lower than the day before</w:t>
      </w:r>
    </w:p>
    <w:p w14:paraId="2548D6EE" w14:textId="374AFA21" w:rsidR="00012EA1" w:rsidRDefault="00012EA1" w:rsidP="00012EA1">
      <w:pPr>
        <w:pStyle w:val="ListParagraph"/>
        <w:numPr>
          <w:ilvl w:val="0"/>
          <w:numId w:val="18"/>
        </w:numPr>
        <w:spacing w:line="240" w:lineRule="auto"/>
        <w:jc w:val="both"/>
        <w:rPr>
          <w:sz w:val="22"/>
          <w:szCs w:val="22"/>
        </w:rPr>
      </w:pPr>
      <w:r>
        <w:rPr>
          <w:sz w:val="22"/>
          <w:szCs w:val="22"/>
        </w:rPr>
        <w:t xml:space="preserve">Calculate the </w:t>
      </w:r>
      <w:r w:rsidRPr="00012EA1">
        <w:rPr>
          <w:b/>
          <w:i/>
          <w:sz w:val="22"/>
          <w:szCs w:val="22"/>
        </w:rPr>
        <w:t>money flow ratio</w:t>
      </w:r>
      <w:r>
        <w:rPr>
          <w:sz w:val="22"/>
          <w:szCs w:val="22"/>
        </w:rPr>
        <w:t xml:space="preserve"> as: </w:t>
      </w:r>
      <w:r w:rsidRPr="007B34DD">
        <w:rPr>
          <w:i/>
          <w:sz w:val="22"/>
          <w:szCs w:val="22"/>
        </w:rPr>
        <w:t>ratio[t] =</w:t>
      </w:r>
      <w:r w:rsidR="00581632" w:rsidRPr="007B34DD">
        <w:rPr>
          <w:i/>
          <w:sz w:val="22"/>
          <w:szCs w:val="22"/>
        </w:rPr>
        <w:t xml:space="preserve"> positive[t] / negative[t]</w:t>
      </w:r>
    </w:p>
    <w:p w14:paraId="526AA76B" w14:textId="7169CCDF" w:rsidR="00581632" w:rsidRPr="00D87080" w:rsidRDefault="00581632" w:rsidP="00012EA1">
      <w:pPr>
        <w:pStyle w:val="ListParagraph"/>
        <w:numPr>
          <w:ilvl w:val="0"/>
          <w:numId w:val="18"/>
        </w:numPr>
        <w:spacing w:line="240" w:lineRule="auto"/>
        <w:jc w:val="both"/>
        <w:rPr>
          <w:sz w:val="22"/>
          <w:szCs w:val="22"/>
        </w:rPr>
      </w:pPr>
      <w:r>
        <w:rPr>
          <w:sz w:val="22"/>
          <w:szCs w:val="22"/>
        </w:rPr>
        <w:t xml:space="preserve">Calculate the </w:t>
      </w:r>
      <w:r>
        <w:rPr>
          <w:b/>
          <w:i/>
          <w:sz w:val="22"/>
          <w:szCs w:val="22"/>
        </w:rPr>
        <w:t>MFI</w:t>
      </w:r>
      <w:r>
        <w:rPr>
          <w:sz w:val="22"/>
          <w:szCs w:val="22"/>
        </w:rPr>
        <w:t xml:space="preserve"> as: </w:t>
      </w:r>
      <w:r w:rsidRPr="007B34DD">
        <w:rPr>
          <w:i/>
          <w:sz w:val="22"/>
          <w:szCs w:val="22"/>
        </w:rPr>
        <w:t>mfi[t] = 100 – (100 / (1 + ratio[t]))</w:t>
      </w:r>
    </w:p>
    <w:p w14:paraId="1C05C24F" w14:textId="36BDAF93" w:rsidR="00D87080" w:rsidRPr="00D87080" w:rsidRDefault="00D87080" w:rsidP="00D87080">
      <w:pPr>
        <w:spacing w:line="240" w:lineRule="auto"/>
        <w:jc w:val="both"/>
        <w:rPr>
          <w:sz w:val="22"/>
          <w:szCs w:val="22"/>
        </w:rPr>
      </w:pPr>
      <w:r>
        <w:rPr>
          <w:sz w:val="22"/>
          <w:szCs w:val="22"/>
        </w:rPr>
        <w:t xml:space="preserve">Money Flow Index is used in a trading strategy as leading indication of </w:t>
      </w:r>
      <w:r>
        <w:rPr>
          <w:b/>
          <w:sz w:val="22"/>
          <w:szCs w:val="22"/>
        </w:rPr>
        <w:t>oversold</w:t>
      </w:r>
      <w:r>
        <w:rPr>
          <w:sz w:val="22"/>
          <w:szCs w:val="22"/>
        </w:rPr>
        <w:t xml:space="preserve"> or </w:t>
      </w:r>
      <w:r>
        <w:rPr>
          <w:b/>
          <w:sz w:val="22"/>
          <w:szCs w:val="22"/>
        </w:rPr>
        <w:t>overbought</w:t>
      </w:r>
      <w:r>
        <w:rPr>
          <w:sz w:val="22"/>
          <w:szCs w:val="22"/>
        </w:rPr>
        <w:t xml:space="preserve"> </w:t>
      </w:r>
      <w:r w:rsidR="007B34DD">
        <w:rPr>
          <w:sz w:val="22"/>
          <w:szCs w:val="22"/>
        </w:rPr>
        <w:t>instances for a particular stock. As described in the previous section, these instances can signal BUY and SELL opportunities, respectively. According to the creators of this index, Gene Quong and Avrum Soudack, an MFI of over 80 suggests the stock is overbought, while a value lower than 20 suggests that it is oversold. For the purposes of this project, values of 70 and 30 were found to produce better results as they were not as strict (</w:t>
      </w:r>
      <w:r w:rsidR="007B34DD">
        <w:rPr>
          <w:i/>
          <w:sz w:val="22"/>
          <w:szCs w:val="22"/>
        </w:rPr>
        <w:t>see rule-based strategy section</w:t>
      </w:r>
      <w:r w:rsidR="007B34DD">
        <w:rPr>
          <w:sz w:val="22"/>
          <w:szCs w:val="22"/>
        </w:rPr>
        <w:t>). To increase the confidence of this signal, this indicator can be combined with the BBands values described in the previous section.</w:t>
      </w:r>
    </w:p>
    <w:p w14:paraId="5D017272" w14:textId="274FBB6D" w:rsidR="006E51C3" w:rsidRDefault="006E51C3" w:rsidP="006E51C3">
      <w:pPr>
        <w:rPr>
          <w:sz w:val="22"/>
          <w:szCs w:val="22"/>
        </w:rPr>
      </w:pPr>
      <w:r w:rsidRPr="004F7B2C">
        <w:rPr>
          <w:sz w:val="22"/>
          <w:szCs w:val="22"/>
        </w:rPr>
        <w:t xml:space="preserve">The following figure shows </w:t>
      </w:r>
      <w:r w:rsidR="00EA5240">
        <w:rPr>
          <w:sz w:val="22"/>
          <w:szCs w:val="22"/>
        </w:rPr>
        <w:t xml:space="preserve">the prices </w:t>
      </w:r>
      <w:r w:rsidR="00FA013D">
        <w:rPr>
          <w:sz w:val="22"/>
          <w:szCs w:val="22"/>
        </w:rPr>
        <w:t xml:space="preserve">and the </w:t>
      </w:r>
      <w:r w:rsidR="00EA5240">
        <w:rPr>
          <w:sz w:val="22"/>
          <w:szCs w:val="22"/>
        </w:rPr>
        <w:t xml:space="preserve">MFI </w:t>
      </w:r>
      <w:r>
        <w:rPr>
          <w:sz w:val="22"/>
          <w:szCs w:val="22"/>
        </w:rPr>
        <w:t xml:space="preserve">values of the stock symbol </w:t>
      </w:r>
      <w:r>
        <w:rPr>
          <w:b/>
          <w:sz w:val="22"/>
          <w:szCs w:val="22"/>
        </w:rPr>
        <w:t>JPM</w:t>
      </w:r>
      <w:r>
        <w:rPr>
          <w:sz w:val="22"/>
          <w:szCs w:val="22"/>
        </w:rPr>
        <w:t xml:space="preserve"> using a lookback window of 10 days for the </w:t>
      </w:r>
      <w:r w:rsidR="00FA013D">
        <w:rPr>
          <w:sz w:val="22"/>
          <w:szCs w:val="22"/>
        </w:rPr>
        <w:t>in-sample</w:t>
      </w:r>
      <w:r w:rsidR="00EA5240">
        <w:rPr>
          <w:sz w:val="22"/>
          <w:szCs w:val="22"/>
        </w:rPr>
        <w:t>. It also shows those instances where the stock can be flagged as oversold or overbought which correspond to price increases and decreases.</w:t>
      </w:r>
    </w:p>
    <w:p w14:paraId="3E80746F" w14:textId="40797E80" w:rsidR="00EA5240" w:rsidRDefault="00D10BC2" w:rsidP="006E51C3">
      <w:pPr>
        <w:rPr>
          <w:sz w:val="22"/>
          <w:szCs w:val="22"/>
        </w:rPr>
      </w:pPr>
      <w:r>
        <w:rPr>
          <w:noProof/>
        </w:rPr>
        <w:drawing>
          <wp:anchor distT="0" distB="0" distL="114300" distR="114300" simplePos="0" relativeHeight="251668480" behindDoc="0" locked="0" layoutInCell="1" allowOverlap="1" wp14:anchorId="7F388796" wp14:editId="60C79A94">
            <wp:simplePos x="0" y="0"/>
            <wp:positionH relativeFrom="column">
              <wp:posOffset>3023870</wp:posOffset>
            </wp:positionH>
            <wp:positionV relativeFrom="paragraph">
              <wp:posOffset>341630</wp:posOffset>
            </wp:positionV>
            <wp:extent cx="3190875" cy="249618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dayMFIforJPM.png"/>
                    <pic:cNvPicPr/>
                  </pic:nvPicPr>
                  <pic:blipFill>
                    <a:blip r:embed="rId13">
                      <a:extLst>
                        <a:ext uri="{28A0092B-C50C-407E-A947-70E740481C1C}">
                          <a14:useLocalDpi xmlns:a14="http://schemas.microsoft.com/office/drawing/2010/main" val="0"/>
                        </a:ext>
                      </a:extLst>
                    </a:blip>
                    <a:stretch>
                      <a:fillRect/>
                    </a:stretch>
                  </pic:blipFill>
                  <pic:spPr>
                    <a:xfrm>
                      <a:off x="0" y="0"/>
                      <a:ext cx="3190875" cy="2496185"/>
                    </a:xfrm>
                    <a:prstGeom prst="rect">
                      <a:avLst/>
                    </a:prstGeom>
                  </pic:spPr>
                </pic:pic>
              </a:graphicData>
            </a:graphic>
            <wp14:sizeRelH relativeFrom="page">
              <wp14:pctWidth>0</wp14:pctWidth>
            </wp14:sizeRelH>
            <wp14:sizeRelV relativeFrom="page">
              <wp14:pctHeight>0</wp14:pctHeight>
            </wp14:sizeRelV>
          </wp:anchor>
        </w:drawing>
      </w:r>
      <w:r w:rsidR="00EA5240">
        <w:rPr>
          <w:noProof/>
        </w:rPr>
        <w:drawing>
          <wp:anchor distT="0" distB="0" distL="114300" distR="114300" simplePos="0" relativeHeight="251667456" behindDoc="1" locked="0" layoutInCell="1" allowOverlap="1" wp14:anchorId="2A8C052F" wp14:editId="75494A5F">
            <wp:simplePos x="0" y="0"/>
            <wp:positionH relativeFrom="column">
              <wp:posOffset>-291465</wp:posOffset>
            </wp:positionH>
            <wp:positionV relativeFrom="paragraph">
              <wp:posOffset>345440</wp:posOffset>
            </wp:positionV>
            <wp:extent cx="3154680" cy="25050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cesForJPM.png"/>
                    <pic:cNvPicPr/>
                  </pic:nvPicPr>
                  <pic:blipFill>
                    <a:blip r:embed="rId8">
                      <a:extLst>
                        <a:ext uri="{28A0092B-C50C-407E-A947-70E740481C1C}">
                          <a14:useLocalDpi xmlns:a14="http://schemas.microsoft.com/office/drawing/2010/main" val="0"/>
                        </a:ext>
                      </a:extLst>
                    </a:blip>
                    <a:stretch>
                      <a:fillRect/>
                    </a:stretch>
                  </pic:blipFill>
                  <pic:spPr>
                    <a:xfrm>
                      <a:off x="0" y="0"/>
                      <a:ext cx="3154680" cy="2505075"/>
                    </a:xfrm>
                    <a:prstGeom prst="rect">
                      <a:avLst/>
                    </a:prstGeom>
                  </pic:spPr>
                </pic:pic>
              </a:graphicData>
            </a:graphic>
            <wp14:sizeRelH relativeFrom="page">
              <wp14:pctWidth>0</wp14:pctWidth>
            </wp14:sizeRelH>
            <wp14:sizeRelV relativeFrom="page">
              <wp14:pctHeight>0</wp14:pctHeight>
            </wp14:sizeRelV>
          </wp:anchor>
        </w:drawing>
      </w:r>
    </w:p>
    <w:p w14:paraId="1645F3D6" w14:textId="20EDA29B" w:rsidR="00810E81" w:rsidRPr="00810E81" w:rsidRDefault="00810E81" w:rsidP="00810E81"/>
    <w:p w14:paraId="14A8215A" w14:textId="3F3FA445" w:rsidR="00810E81" w:rsidRDefault="00810E81" w:rsidP="00810E81">
      <w:pPr>
        <w:pStyle w:val="Heading1"/>
      </w:pPr>
      <w:r>
        <w:t>Best possible strategy</w:t>
      </w:r>
    </w:p>
    <w:p w14:paraId="45E06DE6" w14:textId="7C21D102" w:rsidR="00FB1B4B" w:rsidRPr="00937748" w:rsidRDefault="005315D4" w:rsidP="00937748">
      <w:pPr>
        <w:spacing w:line="240" w:lineRule="auto"/>
        <w:jc w:val="both"/>
        <w:rPr>
          <w:sz w:val="22"/>
          <w:szCs w:val="22"/>
        </w:rPr>
      </w:pPr>
      <w:r w:rsidRPr="00937748">
        <w:rPr>
          <w:sz w:val="22"/>
          <w:szCs w:val="22"/>
        </w:rPr>
        <w:t>To provide an upper band on performance, the best possible strategy was developed fir</w:t>
      </w:r>
      <w:r w:rsidR="00FB1B4B" w:rsidRPr="00937748">
        <w:rPr>
          <w:sz w:val="22"/>
          <w:szCs w:val="22"/>
        </w:rPr>
        <w:t xml:space="preserve">st. This strategy assumes that </w:t>
      </w:r>
      <w:r w:rsidR="00FB1B4B" w:rsidRPr="00937748">
        <w:rPr>
          <w:i/>
          <w:sz w:val="22"/>
          <w:szCs w:val="22"/>
        </w:rPr>
        <w:t>tomorrow’s</w:t>
      </w:r>
      <w:r w:rsidR="00FB1B4B" w:rsidRPr="00937748">
        <w:rPr>
          <w:sz w:val="22"/>
          <w:szCs w:val="22"/>
        </w:rPr>
        <w:t xml:space="preserve"> prices are known to the trader</w:t>
      </w:r>
      <w:r w:rsidR="00A86527">
        <w:rPr>
          <w:sz w:val="22"/>
          <w:szCs w:val="22"/>
        </w:rPr>
        <w:t xml:space="preserve">. It </w:t>
      </w:r>
      <w:r w:rsidR="00FB1B4B" w:rsidRPr="00937748">
        <w:rPr>
          <w:sz w:val="22"/>
          <w:szCs w:val="22"/>
        </w:rPr>
        <w:t xml:space="preserve">was comprised of two actions: shorting or going long on the stock. </w:t>
      </w:r>
      <w:r w:rsidR="00A86527">
        <w:rPr>
          <w:sz w:val="22"/>
          <w:szCs w:val="22"/>
        </w:rPr>
        <w:t xml:space="preserve">The decision was made simply by looking at tomorrow and today’s prices. If the price </w:t>
      </w:r>
      <w:r w:rsidR="00FB4864">
        <w:rPr>
          <w:sz w:val="22"/>
          <w:szCs w:val="22"/>
        </w:rPr>
        <w:t>is</w:t>
      </w:r>
      <w:r w:rsidR="00A86527">
        <w:rPr>
          <w:sz w:val="22"/>
          <w:szCs w:val="22"/>
        </w:rPr>
        <w:t xml:space="preserve"> </w:t>
      </w:r>
      <w:r w:rsidR="00FB1B4B" w:rsidRPr="00937748">
        <w:rPr>
          <w:sz w:val="22"/>
          <w:szCs w:val="22"/>
        </w:rPr>
        <w:t>going to decrease tomorrow, then order a SELL and short the stock</w:t>
      </w:r>
      <w:r w:rsidR="007F1677">
        <w:rPr>
          <w:sz w:val="22"/>
          <w:szCs w:val="22"/>
        </w:rPr>
        <w:t xml:space="preserve"> today</w:t>
      </w:r>
      <w:r w:rsidR="00FB1B4B" w:rsidRPr="00937748">
        <w:rPr>
          <w:sz w:val="22"/>
          <w:szCs w:val="22"/>
        </w:rPr>
        <w:t>.</w:t>
      </w:r>
      <w:r w:rsidR="00A86527">
        <w:rPr>
          <w:sz w:val="22"/>
          <w:szCs w:val="22"/>
        </w:rPr>
        <w:t xml:space="preserve"> If the price </w:t>
      </w:r>
      <w:r w:rsidR="00FB4864">
        <w:rPr>
          <w:sz w:val="22"/>
          <w:szCs w:val="22"/>
        </w:rPr>
        <w:t xml:space="preserve">is </w:t>
      </w:r>
      <w:r w:rsidR="00A86527">
        <w:rPr>
          <w:sz w:val="22"/>
          <w:szCs w:val="22"/>
        </w:rPr>
        <w:t xml:space="preserve">going to increase </w:t>
      </w:r>
      <w:r w:rsidR="00FB1B4B" w:rsidRPr="00937748">
        <w:rPr>
          <w:sz w:val="22"/>
          <w:szCs w:val="22"/>
        </w:rPr>
        <w:t xml:space="preserve">then </w:t>
      </w:r>
      <w:r w:rsidR="003836A3" w:rsidRPr="00937748">
        <w:rPr>
          <w:sz w:val="22"/>
          <w:szCs w:val="22"/>
        </w:rPr>
        <w:t>order a BUY and go long.</w:t>
      </w:r>
    </w:p>
    <w:p w14:paraId="7E1B1661" w14:textId="16A8CC8C" w:rsidR="004C7CAC" w:rsidRDefault="00A86527" w:rsidP="00937748">
      <w:pPr>
        <w:spacing w:line="240" w:lineRule="auto"/>
        <w:jc w:val="both"/>
      </w:pPr>
      <w:r>
        <w:rPr>
          <w:sz w:val="22"/>
          <w:szCs w:val="22"/>
        </w:rPr>
        <w:t>The</w:t>
      </w:r>
      <w:r w:rsidR="004C7CAC" w:rsidRPr="00937748">
        <w:rPr>
          <w:sz w:val="22"/>
          <w:szCs w:val="22"/>
        </w:rPr>
        <w:t xml:space="preserve"> overall effectiveness</w:t>
      </w:r>
      <w:r>
        <w:rPr>
          <w:sz w:val="22"/>
          <w:szCs w:val="22"/>
        </w:rPr>
        <w:t xml:space="preserve"> of this best possible strategy was measured against a </w:t>
      </w:r>
      <w:r w:rsidR="004C7CAC" w:rsidRPr="00937748">
        <w:rPr>
          <w:sz w:val="22"/>
          <w:szCs w:val="22"/>
        </w:rPr>
        <w:t>benchmark strategy</w:t>
      </w:r>
      <w:r>
        <w:rPr>
          <w:sz w:val="22"/>
          <w:szCs w:val="22"/>
        </w:rPr>
        <w:t xml:space="preserve"> that c</w:t>
      </w:r>
      <w:r w:rsidR="004C7CAC" w:rsidRPr="00937748">
        <w:rPr>
          <w:sz w:val="22"/>
          <w:szCs w:val="22"/>
        </w:rPr>
        <w:t>onsisted on buying the stock the first day and then holding</w:t>
      </w:r>
      <w:r>
        <w:rPr>
          <w:sz w:val="22"/>
          <w:szCs w:val="22"/>
        </w:rPr>
        <w:t xml:space="preserve"> it</w:t>
      </w:r>
      <w:r w:rsidR="004C7CAC" w:rsidRPr="00937748">
        <w:rPr>
          <w:sz w:val="22"/>
          <w:szCs w:val="22"/>
        </w:rPr>
        <w:t>. The following figure shows a graph with the performance of these two strategies, as well as, a table with other key portfolio statistics.</w:t>
      </w:r>
      <w:r>
        <w:rPr>
          <w:sz w:val="22"/>
          <w:szCs w:val="22"/>
        </w:rPr>
        <w:t xml:space="preserve"> As it can be seen this strategy never lost and outperformed the benchmark by around 7x times.</w:t>
      </w:r>
    </w:p>
    <w:tbl>
      <w:tblPr>
        <w:tblStyle w:val="PlainTable1"/>
        <w:tblpPr w:leftFromText="187" w:rightFromText="187" w:vertAnchor="text" w:tblpXSpec="right" w:tblpY="1"/>
        <w:tblOverlap w:val="never"/>
        <w:tblW w:w="0" w:type="auto"/>
        <w:tblLook w:val="04A0" w:firstRow="1" w:lastRow="0" w:firstColumn="1" w:lastColumn="0" w:noHBand="0" w:noVBand="1"/>
      </w:tblPr>
      <w:tblGrid>
        <w:gridCol w:w="1709"/>
        <w:gridCol w:w="1926"/>
        <w:gridCol w:w="2039"/>
        <w:gridCol w:w="1889"/>
        <w:gridCol w:w="1787"/>
      </w:tblGrid>
      <w:tr w:rsidR="003836A3" w14:paraId="54D9AFE0" w14:textId="4DFC5B47" w:rsidTr="00383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7E9E255D" w14:textId="6DD5C154" w:rsidR="003836A3" w:rsidRDefault="003836A3" w:rsidP="003836A3">
            <w:pPr>
              <w:jc w:val="center"/>
            </w:pPr>
            <w:r>
              <w:t>Strategy</w:t>
            </w:r>
          </w:p>
        </w:tc>
        <w:tc>
          <w:tcPr>
            <w:tcW w:w="1946" w:type="dxa"/>
          </w:tcPr>
          <w:p w14:paraId="7624E28F" w14:textId="71C3B775" w:rsidR="003836A3" w:rsidRDefault="003836A3" w:rsidP="003836A3">
            <w:pPr>
              <w:jc w:val="center"/>
              <w:cnfStyle w:val="100000000000" w:firstRow="1" w:lastRow="0" w:firstColumn="0" w:lastColumn="0" w:oddVBand="0" w:evenVBand="0" w:oddHBand="0" w:evenHBand="0" w:firstRowFirstColumn="0" w:firstRowLastColumn="0" w:lastRowFirstColumn="0" w:lastRowLastColumn="0"/>
            </w:pPr>
            <w:r>
              <w:t>Portfolio Value</w:t>
            </w:r>
          </w:p>
        </w:tc>
        <w:tc>
          <w:tcPr>
            <w:tcW w:w="2061" w:type="dxa"/>
          </w:tcPr>
          <w:p w14:paraId="0014743A" w14:textId="5193D8E6" w:rsidR="003836A3" w:rsidRDefault="003836A3" w:rsidP="003836A3">
            <w:pPr>
              <w:jc w:val="center"/>
              <w:cnfStyle w:val="100000000000" w:firstRow="1" w:lastRow="0" w:firstColumn="0" w:lastColumn="0" w:oddVBand="0" w:evenVBand="0" w:oddHBand="0" w:evenHBand="0" w:firstRowFirstColumn="0" w:firstRowLastColumn="0" w:lastRowFirstColumn="0" w:lastRowLastColumn="0"/>
            </w:pPr>
            <w:r>
              <w:t>Cumulative Return</w:t>
            </w:r>
          </w:p>
        </w:tc>
        <w:tc>
          <w:tcPr>
            <w:tcW w:w="1879" w:type="dxa"/>
          </w:tcPr>
          <w:p w14:paraId="2BBB8B3F" w14:textId="1A9CF562" w:rsidR="003836A3" w:rsidRDefault="003836A3" w:rsidP="003836A3">
            <w:pPr>
              <w:jc w:val="center"/>
              <w:cnfStyle w:val="100000000000" w:firstRow="1" w:lastRow="0" w:firstColumn="0" w:lastColumn="0" w:oddVBand="0" w:evenVBand="0" w:oddHBand="0" w:evenHBand="0" w:firstRowFirstColumn="0" w:firstRowLastColumn="0" w:lastRowFirstColumn="0" w:lastRowLastColumn="0"/>
            </w:pPr>
            <w:r>
              <w:t>Daily returns (avg)</w:t>
            </w:r>
          </w:p>
        </w:tc>
        <w:tc>
          <w:tcPr>
            <w:tcW w:w="1740" w:type="dxa"/>
          </w:tcPr>
          <w:p w14:paraId="6546A369" w14:textId="7917A94C" w:rsidR="003836A3" w:rsidRDefault="003836A3" w:rsidP="003836A3">
            <w:pPr>
              <w:jc w:val="center"/>
              <w:cnfStyle w:val="100000000000" w:firstRow="1" w:lastRow="0" w:firstColumn="0" w:lastColumn="0" w:oddVBand="0" w:evenVBand="0" w:oddHBand="0" w:evenHBand="0" w:firstRowFirstColumn="0" w:firstRowLastColumn="0" w:lastRowFirstColumn="0" w:lastRowLastColumn="0"/>
            </w:pPr>
            <w:r>
              <w:t>Daily returns (std)</w:t>
            </w:r>
          </w:p>
        </w:tc>
      </w:tr>
      <w:tr w:rsidR="003836A3" w14:paraId="740A9C26" w14:textId="61F7CD35" w:rsidTr="00383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3AA3D3A4" w14:textId="1BC6BCD3" w:rsidR="003836A3" w:rsidRDefault="003836A3" w:rsidP="003836A3">
            <w:r>
              <w:t>Best possible</w:t>
            </w:r>
          </w:p>
        </w:tc>
        <w:tc>
          <w:tcPr>
            <w:tcW w:w="1946" w:type="dxa"/>
          </w:tcPr>
          <w:p w14:paraId="3E3D107F" w14:textId="427F82ED" w:rsidR="003836A3" w:rsidRDefault="003836A3" w:rsidP="003836A3">
            <w:pPr>
              <w:jc w:val="center"/>
              <w:cnfStyle w:val="000000100000" w:firstRow="0" w:lastRow="0" w:firstColumn="0" w:lastColumn="0" w:oddVBand="0" w:evenVBand="0" w:oddHBand="1" w:evenHBand="0" w:firstRowFirstColumn="0" w:firstRowLastColumn="0" w:lastRowFirstColumn="0" w:lastRowLastColumn="0"/>
            </w:pPr>
            <w:r>
              <w:t>$678,610.0</w:t>
            </w:r>
          </w:p>
        </w:tc>
        <w:tc>
          <w:tcPr>
            <w:tcW w:w="2061" w:type="dxa"/>
          </w:tcPr>
          <w:p w14:paraId="47AEB619" w14:textId="30CE9C82" w:rsidR="003836A3" w:rsidRDefault="003836A3" w:rsidP="003836A3">
            <w:pPr>
              <w:jc w:val="center"/>
              <w:cnfStyle w:val="000000100000" w:firstRow="0" w:lastRow="0" w:firstColumn="0" w:lastColumn="0" w:oddVBand="0" w:evenVBand="0" w:oddHBand="1" w:evenHBand="0" w:firstRowFirstColumn="0" w:firstRowLastColumn="0" w:lastRowFirstColumn="0" w:lastRowLastColumn="0"/>
            </w:pPr>
            <w:r>
              <w:t>5.7861</w:t>
            </w:r>
          </w:p>
        </w:tc>
        <w:tc>
          <w:tcPr>
            <w:tcW w:w="1879" w:type="dxa"/>
          </w:tcPr>
          <w:p w14:paraId="148CAE62" w14:textId="74E8CFA8" w:rsidR="003836A3" w:rsidRDefault="003836A3" w:rsidP="003836A3">
            <w:pPr>
              <w:jc w:val="center"/>
              <w:cnfStyle w:val="000000100000" w:firstRow="0" w:lastRow="0" w:firstColumn="0" w:lastColumn="0" w:oddVBand="0" w:evenVBand="0" w:oddHBand="1" w:evenHBand="0" w:firstRowFirstColumn="0" w:firstRowLastColumn="0" w:lastRowFirstColumn="0" w:lastRowLastColumn="0"/>
            </w:pPr>
            <w:r w:rsidRPr="003836A3">
              <w:t>0.00381678615086</w:t>
            </w:r>
          </w:p>
        </w:tc>
        <w:tc>
          <w:tcPr>
            <w:tcW w:w="1740" w:type="dxa"/>
          </w:tcPr>
          <w:p w14:paraId="7A8850D4" w14:textId="6ADEFDD4" w:rsidR="003836A3" w:rsidRDefault="003836A3" w:rsidP="003836A3">
            <w:pPr>
              <w:jc w:val="center"/>
              <w:cnfStyle w:val="000000100000" w:firstRow="0" w:lastRow="0" w:firstColumn="0" w:lastColumn="0" w:oddVBand="0" w:evenVBand="0" w:oddHBand="1" w:evenHBand="0" w:firstRowFirstColumn="0" w:firstRowLastColumn="0" w:lastRowFirstColumn="0" w:lastRowLastColumn="0"/>
            </w:pPr>
            <w:r w:rsidRPr="003836A3">
              <w:t>0.00454782319791</w:t>
            </w:r>
          </w:p>
        </w:tc>
      </w:tr>
      <w:tr w:rsidR="003836A3" w14:paraId="2B1B3C0C" w14:textId="5A91C867" w:rsidTr="00A9093E">
        <w:trPr>
          <w:trHeight w:val="422"/>
        </w:trPr>
        <w:tc>
          <w:tcPr>
            <w:cnfStyle w:val="001000000000" w:firstRow="0" w:lastRow="0" w:firstColumn="1" w:lastColumn="0" w:oddVBand="0" w:evenVBand="0" w:oddHBand="0" w:evenHBand="0" w:firstRowFirstColumn="0" w:firstRowLastColumn="0" w:lastRowFirstColumn="0" w:lastRowLastColumn="0"/>
            <w:tcW w:w="1724" w:type="dxa"/>
          </w:tcPr>
          <w:p w14:paraId="6D799F00" w14:textId="3246BA01" w:rsidR="003836A3" w:rsidRDefault="003836A3" w:rsidP="003836A3">
            <w:r>
              <w:t>Benchmark</w:t>
            </w:r>
          </w:p>
        </w:tc>
        <w:tc>
          <w:tcPr>
            <w:tcW w:w="1946" w:type="dxa"/>
          </w:tcPr>
          <w:p w14:paraId="561540A2" w14:textId="07BCA1EF" w:rsidR="003836A3" w:rsidRDefault="003836A3" w:rsidP="003836A3">
            <w:pPr>
              <w:jc w:val="center"/>
              <w:cnfStyle w:val="000000000000" w:firstRow="0" w:lastRow="0" w:firstColumn="0" w:lastColumn="0" w:oddVBand="0" w:evenVBand="0" w:oddHBand="0" w:evenHBand="0" w:firstRowFirstColumn="0" w:firstRowLastColumn="0" w:lastRowFirstColumn="0" w:lastRowLastColumn="0"/>
            </w:pPr>
            <w:r>
              <w:t>$101,230.0</w:t>
            </w:r>
          </w:p>
        </w:tc>
        <w:tc>
          <w:tcPr>
            <w:tcW w:w="2061" w:type="dxa"/>
          </w:tcPr>
          <w:p w14:paraId="085D772C" w14:textId="4CA8A355" w:rsidR="003836A3" w:rsidRDefault="003836A3" w:rsidP="003836A3">
            <w:pPr>
              <w:jc w:val="center"/>
              <w:cnfStyle w:val="000000000000" w:firstRow="0" w:lastRow="0" w:firstColumn="0" w:lastColumn="0" w:oddVBand="0" w:evenVBand="0" w:oddHBand="0" w:evenHBand="0" w:firstRowFirstColumn="0" w:firstRowLastColumn="0" w:lastRowFirstColumn="0" w:lastRowLastColumn="0"/>
            </w:pPr>
            <w:r>
              <w:t>0.0123</w:t>
            </w:r>
          </w:p>
        </w:tc>
        <w:tc>
          <w:tcPr>
            <w:tcW w:w="1879" w:type="dxa"/>
          </w:tcPr>
          <w:p w14:paraId="04B1912E" w14:textId="4BD7375D" w:rsidR="003836A3" w:rsidRDefault="00A9093E" w:rsidP="00A9093E">
            <w:pPr>
              <w:jc w:val="center"/>
              <w:cnfStyle w:val="000000000000" w:firstRow="0" w:lastRow="0" w:firstColumn="0" w:lastColumn="0" w:oddVBand="0" w:evenVBand="0" w:oddHBand="0" w:evenHBand="0" w:firstRowFirstColumn="0" w:firstRowLastColumn="0" w:lastRowFirstColumn="0" w:lastRowLastColumn="0"/>
            </w:pPr>
            <w:r w:rsidRPr="00A9093E">
              <w:t>0.000168086978191</w:t>
            </w:r>
          </w:p>
        </w:tc>
        <w:tc>
          <w:tcPr>
            <w:tcW w:w="1740" w:type="dxa"/>
          </w:tcPr>
          <w:p w14:paraId="25C20D22" w14:textId="72D80B7A" w:rsidR="003836A3" w:rsidRDefault="00A9093E" w:rsidP="003836A3">
            <w:pPr>
              <w:jc w:val="center"/>
              <w:cnfStyle w:val="000000000000" w:firstRow="0" w:lastRow="0" w:firstColumn="0" w:lastColumn="0" w:oddVBand="0" w:evenVBand="0" w:oddHBand="0" w:evenHBand="0" w:firstRowFirstColumn="0" w:firstRowLastColumn="0" w:lastRowFirstColumn="0" w:lastRowLastColumn="0"/>
            </w:pPr>
            <w:r w:rsidRPr="00A9093E">
              <w:t>0.0170043662712</w:t>
            </w:r>
          </w:p>
        </w:tc>
      </w:tr>
    </w:tbl>
    <w:p w14:paraId="48C8175A" w14:textId="10E1F627" w:rsidR="003836A3" w:rsidRDefault="00A86527" w:rsidP="00FB1B4B">
      <w:r>
        <w:rPr>
          <w:noProof/>
        </w:rPr>
        <w:drawing>
          <wp:anchor distT="0" distB="0" distL="114300" distR="114300" simplePos="0" relativeHeight="251669504" behindDoc="1" locked="0" layoutInCell="1" allowOverlap="1" wp14:anchorId="037BEFAC" wp14:editId="70755A82">
            <wp:simplePos x="0" y="0"/>
            <wp:positionH relativeFrom="column">
              <wp:posOffset>1425575</wp:posOffset>
            </wp:positionH>
            <wp:positionV relativeFrom="paragraph">
              <wp:posOffset>961390</wp:posOffset>
            </wp:positionV>
            <wp:extent cx="3145536" cy="2505456"/>
            <wp:effectExtent l="0" t="0" r="444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PossibleStrategyvsBenchmark.png"/>
                    <pic:cNvPicPr/>
                  </pic:nvPicPr>
                  <pic:blipFill>
                    <a:blip r:embed="rId14">
                      <a:extLst>
                        <a:ext uri="{28A0092B-C50C-407E-A947-70E740481C1C}">
                          <a14:useLocalDpi xmlns:a14="http://schemas.microsoft.com/office/drawing/2010/main" val="0"/>
                        </a:ext>
                      </a:extLst>
                    </a:blip>
                    <a:stretch>
                      <a:fillRect/>
                    </a:stretch>
                  </pic:blipFill>
                  <pic:spPr>
                    <a:xfrm>
                      <a:off x="0" y="0"/>
                      <a:ext cx="3145536" cy="2505456"/>
                    </a:xfrm>
                    <a:prstGeom prst="rect">
                      <a:avLst/>
                    </a:prstGeom>
                  </pic:spPr>
                </pic:pic>
              </a:graphicData>
            </a:graphic>
            <wp14:sizeRelH relativeFrom="page">
              <wp14:pctWidth>0</wp14:pctWidth>
            </wp14:sizeRelH>
            <wp14:sizeRelV relativeFrom="page">
              <wp14:pctHeight>0</wp14:pctHeight>
            </wp14:sizeRelV>
          </wp:anchor>
        </w:drawing>
      </w:r>
    </w:p>
    <w:p w14:paraId="4FBCDA83" w14:textId="77777777" w:rsidR="004C7CAC" w:rsidRDefault="004C7CAC" w:rsidP="00FB1B4B"/>
    <w:p w14:paraId="1F31114D" w14:textId="77777777" w:rsidR="003836A3" w:rsidRDefault="003836A3" w:rsidP="00FB1B4B"/>
    <w:p w14:paraId="4BB2B5AE" w14:textId="77777777" w:rsidR="004C7CAC" w:rsidRDefault="004C7CAC" w:rsidP="00FB1B4B"/>
    <w:p w14:paraId="02566E0A" w14:textId="77777777" w:rsidR="003836A3" w:rsidRDefault="003836A3" w:rsidP="00FB1B4B"/>
    <w:p w14:paraId="73DF3A7F" w14:textId="15280D0F" w:rsidR="003836A3" w:rsidRPr="00FB1B4B" w:rsidRDefault="003836A3" w:rsidP="00FB1B4B"/>
    <w:p w14:paraId="4E242202" w14:textId="77777777" w:rsidR="00810E81" w:rsidRDefault="00810E81" w:rsidP="00810E81">
      <w:pPr>
        <w:pStyle w:val="Heading1"/>
      </w:pPr>
      <w:r>
        <w:t>Rule-based strategy</w:t>
      </w:r>
    </w:p>
    <w:p w14:paraId="5B3991DF" w14:textId="4E8393B6" w:rsidR="00810E81" w:rsidRPr="007A7410" w:rsidRDefault="003810CC" w:rsidP="007A7410">
      <w:pPr>
        <w:spacing w:line="240" w:lineRule="auto"/>
        <w:jc w:val="both"/>
        <w:rPr>
          <w:sz w:val="22"/>
          <w:szCs w:val="22"/>
        </w:rPr>
      </w:pPr>
      <w:r w:rsidRPr="007A7410">
        <w:rPr>
          <w:sz w:val="22"/>
          <w:szCs w:val="22"/>
        </w:rPr>
        <w:t xml:space="preserve">The main strategy created for this project </w:t>
      </w:r>
      <w:r w:rsidR="00F6465F">
        <w:rPr>
          <w:sz w:val="22"/>
          <w:szCs w:val="22"/>
        </w:rPr>
        <w:t>is</w:t>
      </w:r>
      <w:r w:rsidRPr="007A7410">
        <w:rPr>
          <w:sz w:val="22"/>
          <w:szCs w:val="22"/>
        </w:rPr>
        <w:t xml:space="preserve"> a rule-based strategy consisting of four different decisions: </w:t>
      </w:r>
      <w:r w:rsidRPr="0054376F">
        <w:rPr>
          <w:b/>
          <w:sz w:val="22"/>
          <w:szCs w:val="22"/>
        </w:rPr>
        <w:t>shorting</w:t>
      </w:r>
      <w:r w:rsidRPr="007A7410">
        <w:rPr>
          <w:sz w:val="22"/>
          <w:szCs w:val="22"/>
        </w:rPr>
        <w:t xml:space="preserve">, going </w:t>
      </w:r>
      <w:r w:rsidRPr="0054376F">
        <w:rPr>
          <w:b/>
          <w:sz w:val="22"/>
          <w:szCs w:val="22"/>
        </w:rPr>
        <w:t>long</w:t>
      </w:r>
      <w:r w:rsidRPr="007A7410">
        <w:rPr>
          <w:sz w:val="22"/>
          <w:szCs w:val="22"/>
        </w:rPr>
        <w:t xml:space="preserve">, </w:t>
      </w:r>
      <w:r w:rsidRPr="0054376F">
        <w:rPr>
          <w:b/>
          <w:sz w:val="22"/>
          <w:szCs w:val="22"/>
        </w:rPr>
        <w:t>closing</w:t>
      </w:r>
      <w:r w:rsidRPr="007A7410">
        <w:rPr>
          <w:sz w:val="22"/>
          <w:szCs w:val="22"/>
        </w:rPr>
        <w:t xml:space="preserve"> a </w:t>
      </w:r>
      <w:r w:rsidRPr="0054376F">
        <w:rPr>
          <w:b/>
          <w:sz w:val="22"/>
          <w:szCs w:val="22"/>
        </w:rPr>
        <w:t>short</w:t>
      </w:r>
      <w:r w:rsidRPr="007A7410">
        <w:rPr>
          <w:sz w:val="22"/>
          <w:szCs w:val="22"/>
        </w:rPr>
        <w:t xml:space="preserve"> position and </w:t>
      </w:r>
      <w:r w:rsidRPr="0054376F">
        <w:rPr>
          <w:b/>
          <w:sz w:val="22"/>
          <w:szCs w:val="22"/>
        </w:rPr>
        <w:t>closing</w:t>
      </w:r>
      <w:r w:rsidRPr="007A7410">
        <w:rPr>
          <w:sz w:val="22"/>
          <w:szCs w:val="22"/>
        </w:rPr>
        <w:t xml:space="preserve"> a </w:t>
      </w:r>
      <w:r w:rsidRPr="0054376F">
        <w:rPr>
          <w:b/>
          <w:sz w:val="22"/>
          <w:szCs w:val="22"/>
        </w:rPr>
        <w:t>long</w:t>
      </w:r>
      <w:r w:rsidRPr="007A7410">
        <w:rPr>
          <w:sz w:val="22"/>
          <w:szCs w:val="22"/>
        </w:rPr>
        <w:t xml:space="preserve"> position. Each decision was made by using a combination of the technical indicators mentioned in the</w:t>
      </w:r>
      <w:r w:rsidR="00470AAB" w:rsidRPr="007A7410">
        <w:rPr>
          <w:sz w:val="22"/>
          <w:szCs w:val="22"/>
        </w:rPr>
        <w:t xml:space="preserve"> first sections of this report. Following are the rules that were used to generate each particular order.</w:t>
      </w:r>
    </w:p>
    <w:p w14:paraId="03A2E005" w14:textId="4B7B2B45" w:rsidR="00470AAB" w:rsidRDefault="00470AAB" w:rsidP="00470AAB">
      <w:pPr>
        <w:pStyle w:val="Heading2"/>
      </w:pPr>
      <w:r>
        <w:t>Entering a long position</w:t>
      </w:r>
    </w:p>
    <w:p w14:paraId="3B4E1FF6" w14:textId="77777777" w:rsidR="00643083" w:rsidRPr="007A7410" w:rsidRDefault="00470AAB" w:rsidP="007A7410">
      <w:pPr>
        <w:spacing w:line="240" w:lineRule="auto"/>
        <w:jc w:val="both"/>
        <w:rPr>
          <w:sz w:val="22"/>
          <w:szCs w:val="22"/>
        </w:rPr>
      </w:pPr>
      <w:r w:rsidRPr="007A7410">
        <w:rPr>
          <w:sz w:val="22"/>
          <w:szCs w:val="22"/>
        </w:rPr>
        <w:t>The idea for this rule was to look for instances where the stock seemed to be oversold, i.e. an opportunity to BUY enough shares to go long. To achieve this, two indicators were used: Money Flow Index (MFI) and Bollinger Bands</w:t>
      </w:r>
      <w:r w:rsidRPr="007A7410">
        <w:rPr>
          <w:sz w:val="22"/>
          <w:szCs w:val="22"/>
          <w:vertAlign w:val="superscript"/>
        </w:rPr>
        <w:sym w:font="Symbol" w:char="F0D2"/>
      </w:r>
      <w:r w:rsidRPr="007A7410">
        <w:rPr>
          <w:sz w:val="22"/>
          <w:szCs w:val="22"/>
        </w:rPr>
        <w:t xml:space="preserve">. As previously explained, the combination </w:t>
      </w:r>
      <w:r w:rsidR="00643083" w:rsidRPr="007A7410">
        <w:rPr>
          <w:sz w:val="22"/>
          <w:szCs w:val="22"/>
        </w:rPr>
        <w:t>of these two indicators strongly identified the value of the stock as being underrated and thus expected to increase.</w:t>
      </w:r>
    </w:p>
    <w:p w14:paraId="42A0532C" w14:textId="594E811B" w:rsidR="00470AAB" w:rsidRPr="007A7410" w:rsidRDefault="00643083" w:rsidP="007A7410">
      <w:pPr>
        <w:spacing w:line="240" w:lineRule="auto"/>
        <w:jc w:val="both"/>
        <w:rPr>
          <w:sz w:val="22"/>
          <w:szCs w:val="22"/>
        </w:rPr>
      </w:pPr>
      <w:r w:rsidRPr="007A7410">
        <w:rPr>
          <w:sz w:val="22"/>
          <w:szCs w:val="22"/>
        </w:rPr>
        <w:t xml:space="preserve">Concretely, the rule was described as follows: </w:t>
      </w:r>
      <w:r w:rsidRPr="007A7410">
        <w:rPr>
          <w:i/>
          <w:sz w:val="22"/>
          <w:szCs w:val="22"/>
        </w:rPr>
        <w:t>MFI &lt; 30 &amp;&amp; BBands &lt; -1.0</w:t>
      </w:r>
      <w:r w:rsidRPr="007A7410">
        <w:rPr>
          <w:sz w:val="22"/>
          <w:szCs w:val="22"/>
        </w:rPr>
        <w:t xml:space="preserve">, where the value for the MFI comes from the direct definition of the index, as mentioned before, and the value for the </w:t>
      </w:r>
      <w:r w:rsidRPr="007A7410">
        <w:rPr>
          <w:sz w:val="22"/>
          <w:szCs w:val="22"/>
        </w:rPr>
        <w:t>Bollinger Bands</w:t>
      </w:r>
      <w:r w:rsidRPr="007A7410">
        <w:rPr>
          <w:sz w:val="22"/>
          <w:szCs w:val="22"/>
          <w:vertAlign w:val="superscript"/>
        </w:rPr>
        <w:sym w:font="Symbol" w:char="F0D2"/>
      </w:r>
      <w:r w:rsidRPr="007A7410">
        <w:rPr>
          <w:sz w:val="22"/>
          <w:szCs w:val="22"/>
        </w:rPr>
        <w:t xml:space="preserve"> indicates the difference between the price and the SMA is negatively larger than two standard deviation</w:t>
      </w:r>
      <w:r w:rsidR="0054376F">
        <w:rPr>
          <w:sz w:val="22"/>
          <w:szCs w:val="22"/>
        </w:rPr>
        <w:t>s</w:t>
      </w:r>
      <w:r w:rsidRPr="007A7410">
        <w:rPr>
          <w:sz w:val="22"/>
          <w:szCs w:val="22"/>
        </w:rPr>
        <w:t>, but it is trending up.</w:t>
      </w:r>
    </w:p>
    <w:p w14:paraId="518F262C" w14:textId="4DEAF339" w:rsidR="007A7410" w:rsidRDefault="007A7410" w:rsidP="007A7410">
      <w:pPr>
        <w:spacing w:line="240" w:lineRule="auto"/>
        <w:jc w:val="both"/>
        <w:rPr>
          <w:sz w:val="22"/>
          <w:szCs w:val="22"/>
        </w:rPr>
      </w:pPr>
      <w:r w:rsidRPr="007A7410">
        <w:rPr>
          <w:sz w:val="22"/>
          <w:szCs w:val="22"/>
        </w:rPr>
        <w:t>It is important to mention that due to the limitations imposed as part of this project, entering a long position was only possible if the current of shares held was not greater than the maximum allowed, i.e. 1000 shares.</w:t>
      </w:r>
    </w:p>
    <w:p w14:paraId="573BDE1C" w14:textId="4F26BE22" w:rsidR="00416B29" w:rsidRDefault="00416B29" w:rsidP="00416B29">
      <w:pPr>
        <w:pStyle w:val="Heading2"/>
      </w:pPr>
      <w:r>
        <w:t>Enterting a short position</w:t>
      </w:r>
    </w:p>
    <w:p w14:paraId="2EC4CE2F" w14:textId="6EF59705" w:rsidR="00416B29" w:rsidRPr="0054376F" w:rsidRDefault="0054376F" w:rsidP="0054376F">
      <w:pPr>
        <w:spacing w:line="240" w:lineRule="auto"/>
        <w:jc w:val="both"/>
        <w:rPr>
          <w:sz w:val="22"/>
          <w:szCs w:val="22"/>
        </w:rPr>
      </w:pPr>
      <w:r w:rsidRPr="0054376F">
        <w:rPr>
          <w:sz w:val="22"/>
          <w:szCs w:val="22"/>
        </w:rPr>
        <w:t>In this case, the idea for this rule was to look for instances where the stock seemed to be overbought, i.e. an opportunity to SELL enough shares to short the stock. As with the previous rule, Money Flow Index (MFI) and Bollinger Bands</w:t>
      </w:r>
      <w:r w:rsidRPr="0054376F">
        <w:rPr>
          <w:sz w:val="22"/>
          <w:szCs w:val="22"/>
          <w:vertAlign w:val="superscript"/>
        </w:rPr>
        <w:sym w:font="Symbol" w:char="F0D2"/>
      </w:r>
      <w:r w:rsidRPr="0054376F">
        <w:rPr>
          <w:sz w:val="22"/>
          <w:szCs w:val="22"/>
        </w:rPr>
        <w:t xml:space="preserve"> were used as technical indicators. The combination of the two also strongly identified the value of the stock as being overrated and thus expected to decrease.</w:t>
      </w:r>
    </w:p>
    <w:p w14:paraId="3DB8A097" w14:textId="33BBE08C" w:rsidR="0054376F" w:rsidRPr="0054376F" w:rsidRDefault="0054376F" w:rsidP="0054376F">
      <w:pPr>
        <w:spacing w:line="240" w:lineRule="auto"/>
        <w:jc w:val="both"/>
        <w:rPr>
          <w:sz w:val="22"/>
          <w:szCs w:val="22"/>
        </w:rPr>
      </w:pPr>
      <w:r w:rsidRPr="0054376F">
        <w:rPr>
          <w:sz w:val="22"/>
          <w:szCs w:val="22"/>
        </w:rPr>
        <w:t xml:space="preserve">The rule was generated as follows: </w:t>
      </w:r>
      <w:r w:rsidRPr="0054376F">
        <w:rPr>
          <w:i/>
          <w:sz w:val="22"/>
          <w:szCs w:val="22"/>
        </w:rPr>
        <w:t>MFI &gt; 70 &amp;&amp; BBands &gt; 1.0</w:t>
      </w:r>
      <w:r w:rsidRPr="0054376F">
        <w:rPr>
          <w:sz w:val="22"/>
          <w:szCs w:val="22"/>
        </w:rPr>
        <w:t xml:space="preserve">, where the value for the MFI again comes from its definition, and the value of </w:t>
      </w:r>
      <w:r w:rsidRPr="0054376F">
        <w:rPr>
          <w:sz w:val="22"/>
          <w:szCs w:val="22"/>
        </w:rPr>
        <w:t>Bollinger Bands</w:t>
      </w:r>
      <w:r w:rsidRPr="0054376F">
        <w:rPr>
          <w:sz w:val="22"/>
          <w:szCs w:val="22"/>
          <w:vertAlign w:val="superscript"/>
        </w:rPr>
        <w:sym w:font="Symbol" w:char="F0D2"/>
      </w:r>
      <w:r w:rsidRPr="0054376F">
        <w:rPr>
          <w:sz w:val="22"/>
          <w:szCs w:val="22"/>
        </w:rPr>
        <w:t xml:space="preserve"> indicates the difference between the price and the SMA is positively larger than two standard deviations, but trending down.</w:t>
      </w:r>
    </w:p>
    <w:p w14:paraId="11275B84" w14:textId="1F2724EF" w:rsidR="0054376F" w:rsidRDefault="0054376F" w:rsidP="0054376F">
      <w:pPr>
        <w:spacing w:line="240" w:lineRule="auto"/>
        <w:jc w:val="both"/>
        <w:rPr>
          <w:sz w:val="22"/>
          <w:szCs w:val="22"/>
        </w:rPr>
      </w:pPr>
      <w:r w:rsidRPr="0054376F">
        <w:rPr>
          <w:sz w:val="22"/>
          <w:szCs w:val="22"/>
        </w:rPr>
        <w:t xml:space="preserve">As with the rule for going long, this one also considered the limitations of this project, and entering a short position was only possible if the current shares held was not greater </w:t>
      </w:r>
      <w:r w:rsidR="007806B0">
        <w:rPr>
          <w:sz w:val="22"/>
          <w:szCs w:val="22"/>
        </w:rPr>
        <w:t xml:space="preserve">than the maximum allowed, i.e. negative </w:t>
      </w:r>
      <w:r w:rsidRPr="0054376F">
        <w:rPr>
          <w:sz w:val="22"/>
          <w:szCs w:val="22"/>
        </w:rPr>
        <w:t>1000 shares.</w:t>
      </w:r>
    </w:p>
    <w:p w14:paraId="5FF0BC30" w14:textId="276A64EB" w:rsidR="00E3570D" w:rsidRDefault="00E3570D" w:rsidP="00E3570D">
      <w:pPr>
        <w:pStyle w:val="Heading2"/>
      </w:pPr>
      <w:r>
        <w:t>Closing a long position</w:t>
      </w:r>
    </w:p>
    <w:p w14:paraId="2AF137AC" w14:textId="364E5F12" w:rsidR="00B135D0" w:rsidRPr="00FF29C1" w:rsidRDefault="00B135D0" w:rsidP="00FF29C1">
      <w:pPr>
        <w:spacing w:line="240" w:lineRule="auto"/>
        <w:jc w:val="both"/>
        <w:rPr>
          <w:sz w:val="22"/>
          <w:szCs w:val="22"/>
        </w:rPr>
      </w:pPr>
      <w:r w:rsidRPr="00FF29C1">
        <w:rPr>
          <w:sz w:val="22"/>
          <w:szCs w:val="22"/>
        </w:rPr>
        <w:t>Going long indefinitely, or until a short position is available, is</w:t>
      </w:r>
      <w:r w:rsidR="00CD4DF1">
        <w:rPr>
          <w:sz w:val="22"/>
          <w:szCs w:val="22"/>
        </w:rPr>
        <w:t xml:space="preserve"> not effective as the price can </w:t>
      </w:r>
      <w:r w:rsidRPr="00FF29C1">
        <w:rPr>
          <w:sz w:val="22"/>
          <w:szCs w:val="22"/>
        </w:rPr>
        <w:t>decrease without reaching the measure for strong short signals, but still generate losses for holding that long position on the stock. In order to avoid this, a third rule allowed the trade</w:t>
      </w:r>
      <w:r w:rsidR="00CD4DF1">
        <w:rPr>
          <w:sz w:val="22"/>
          <w:szCs w:val="22"/>
        </w:rPr>
        <w:t>r</w:t>
      </w:r>
      <w:r w:rsidRPr="00FF29C1">
        <w:rPr>
          <w:sz w:val="22"/>
          <w:szCs w:val="22"/>
        </w:rPr>
        <w:t xml:space="preserve"> to identify situations where holding that long position was not going to generate any more profits and thus </w:t>
      </w:r>
      <w:r w:rsidRPr="00FF29C1">
        <w:rPr>
          <w:i/>
          <w:sz w:val="22"/>
          <w:szCs w:val="22"/>
        </w:rPr>
        <w:t>closing</w:t>
      </w:r>
      <w:r w:rsidRPr="00FF29C1">
        <w:rPr>
          <w:sz w:val="22"/>
          <w:szCs w:val="22"/>
        </w:rPr>
        <w:t xml:space="preserve"> would be smarter. For this case, two different indicators were used: </w:t>
      </w:r>
      <w:r w:rsidR="00452167" w:rsidRPr="00FF29C1">
        <w:rPr>
          <w:sz w:val="22"/>
          <w:szCs w:val="22"/>
        </w:rPr>
        <w:t>price/SMA ratio and momentum.</w:t>
      </w:r>
      <w:r w:rsidR="00DC5C28" w:rsidRPr="00FF29C1">
        <w:rPr>
          <w:sz w:val="22"/>
          <w:szCs w:val="22"/>
        </w:rPr>
        <w:t xml:space="preserve"> </w:t>
      </w:r>
      <w:r w:rsidR="00CD4DF1">
        <w:rPr>
          <w:sz w:val="22"/>
          <w:szCs w:val="22"/>
        </w:rPr>
        <w:t xml:space="preserve">However, these indicators were used </w:t>
      </w:r>
      <w:r w:rsidR="00CD4DF1" w:rsidRPr="00CD4DF1">
        <w:rPr>
          <w:i/>
          <w:sz w:val="22"/>
          <w:szCs w:val="22"/>
        </w:rPr>
        <w:t>independently</w:t>
      </w:r>
      <w:r w:rsidR="00CD4DF1">
        <w:rPr>
          <w:sz w:val="22"/>
          <w:szCs w:val="22"/>
        </w:rPr>
        <w:t xml:space="preserve"> in contrast to the first two rules described above.</w:t>
      </w:r>
    </w:p>
    <w:p w14:paraId="40765369" w14:textId="01FB49FF" w:rsidR="00452167" w:rsidRPr="00FF29C1" w:rsidRDefault="00452167" w:rsidP="00FF29C1">
      <w:pPr>
        <w:spacing w:line="240" w:lineRule="auto"/>
        <w:jc w:val="both"/>
        <w:rPr>
          <w:sz w:val="22"/>
          <w:szCs w:val="22"/>
        </w:rPr>
      </w:pPr>
      <w:r w:rsidRPr="00FF29C1">
        <w:rPr>
          <w:sz w:val="22"/>
          <w:szCs w:val="22"/>
        </w:rPr>
        <w:t xml:space="preserve">In the case of price/SMA ratio, the idea was to identify if the price is regressing down to the mean by </w:t>
      </w:r>
      <w:r w:rsidR="003307C4" w:rsidRPr="00FF29C1">
        <w:rPr>
          <w:sz w:val="22"/>
          <w:szCs w:val="22"/>
        </w:rPr>
        <w:t xml:space="preserve">noticing crosses from above the SMA and down. On the other hand, momentum was used to identify drops in the movement of the price which could signal of downwards trends. Note that in the case of momentum, the raw value was not used, but rather the </w:t>
      </w:r>
      <w:r w:rsidR="003307C4" w:rsidRPr="00FF29C1">
        <w:rPr>
          <w:b/>
          <w:sz w:val="22"/>
          <w:szCs w:val="22"/>
        </w:rPr>
        <w:t>percent of change</w:t>
      </w:r>
      <w:r w:rsidR="003307C4" w:rsidRPr="00FF29C1">
        <w:rPr>
          <w:sz w:val="22"/>
          <w:szCs w:val="22"/>
        </w:rPr>
        <w:t xml:space="preserve"> between yesterday’s and today’s momentum. This allowed the trader to take into account sudden changes in price and avoid the problems mentioned in the first sections of this document (</w:t>
      </w:r>
      <w:r w:rsidR="003307C4" w:rsidRPr="00FF29C1">
        <w:rPr>
          <w:i/>
          <w:sz w:val="22"/>
          <w:szCs w:val="22"/>
        </w:rPr>
        <w:t>see Technical Indicators section</w:t>
      </w:r>
      <w:r w:rsidR="003307C4" w:rsidRPr="00FF29C1">
        <w:rPr>
          <w:sz w:val="22"/>
          <w:szCs w:val="22"/>
        </w:rPr>
        <w:t>).</w:t>
      </w:r>
    </w:p>
    <w:p w14:paraId="5BA3A13E" w14:textId="14308F49" w:rsidR="003307C4" w:rsidRPr="00FF29C1" w:rsidRDefault="003307C4" w:rsidP="00FF29C1">
      <w:pPr>
        <w:spacing w:line="240" w:lineRule="auto"/>
        <w:jc w:val="both"/>
        <w:rPr>
          <w:sz w:val="22"/>
          <w:szCs w:val="22"/>
        </w:rPr>
      </w:pPr>
      <w:r w:rsidRPr="00FF29C1">
        <w:rPr>
          <w:sz w:val="22"/>
          <w:szCs w:val="22"/>
        </w:rPr>
        <w:t>The rule was created as follows:</w:t>
      </w:r>
    </w:p>
    <w:p w14:paraId="0F06D546" w14:textId="5EF1798D" w:rsidR="003307C4" w:rsidRPr="00FF29C1" w:rsidRDefault="003307C4" w:rsidP="00FF29C1">
      <w:pPr>
        <w:pStyle w:val="ListParagraph"/>
        <w:numPr>
          <w:ilvl w:val="0"/>
          <w:numId w:val="21"/>
        </w:numPr>
        <w:spacing w:line="240" w:lineRule="auto"/>
        <w:rPr>
          <w:i/>
          <w:sz w:val="22"/>
          <w:szCs w:val="22"/>
        </w:rPr>
      </w:pPr>
      <w:r w:rsidRPr="00FF29C1">
        <w:rPr>
          <w:i/>
          <w:sz w:val="22"/>
          <w:szCs w:val="22"/>
        </w:rPr>
        <w:t>sma_trending_down = sma_yesterday &gt; 1 and sma_today &lt;= 1</w:t>
      </w:r>
    </w:p>
    <w:p w14:paraId="70D0FB4C" w14:textId="351DE574" w:rsidR="003307C4" w:rsidRPr="00FF29C1" w:rsidRDefault="003307C4" w:rsidP="00FF29C1">
      <w:pPr>
        <w:pStyle w:val="ListParagraph"/>
        <w:numPr>
          <w:ilvl w:val="0"/>
          <w:numId w:val="21"/>
        </w:numPr>
        <w:spacing w:line="240" w:lineRule="auto"/>
        <w:rPr>
          <w:i/>
          <w:sz w:val="22"/>
          <w:szCs w:val="22"/>
        </w:rPr>
      </w:pPr>
      <w:r w:rsidRPr="00FF29C1">
        <w:rPr>
          <w:i/>
          <w:sz w:val="22"/>
          <w:szCs w:val="22"/>
        </w:rPr>
        <w:t xml:space="preserve">drop_in_momentum = </w:t>
      </w:r>
      <w:r w:rsidR="00DC5C28" w:rsidRPr="00FF29C1">
        <w:rPr>
          <w:i/>
          <w:sz w:val="22"/>
          <w:szCs w:val="22"/>
        </w:rPr>
        <w:t>momentum_today &lt; momentum_yesterday</w:t>
      </w:r>
    </w:p>
    <w:p w14:paraId="04B72B0D" w14:textId="7F9D01D6" w:rsidR="003307C4" w:rsidRPr="00FF29C1" w:rsidRDefault="00FF29C1" w:rsidP="00FF29C1">
      <w:pPr>
        <w:pStyle w:val="ListParagraph"/>
        <w:numPr>
          <w:ilvl w:val="0"/>
          <w:numId w:val="21"/>
        </w:numPr>
        <w:spacing w:line="240" w:lineRule="auto"/>
        <w:rPr>
          <w:i/>
          <w:sz w:val="22"/>
          <w:szCs w:val="22"/>
        </w:rPr>
      </w:pPr>
      <w:r>
        <w:rPr>
          <w:i/>
          <w:sz w:val="22"/>
          <w:szCs w:val="22"/>
        </w:rPr>
        <w:t>percent_drop</w:t>
      </w:r>
      <w:r w:rsidR="00DC5C28" w:rsidRPr="00FF29C1">
        <w:rPr>
          <w:i/>
          <w:sz w:val="22"/>
          <w:szCs w:val="22"/>
        </w:rPr>
        <w:t xml:space="preserve"> = (momentum_yesterday – momentum_today) / momentum_yesterday</w:t>
      </w:r>
    </w:p>
    <w:p w14:paraId="234724FC" w14:textId="031C6E11" w:rsidR="00DC5C28" w:rsidRPr="00FF29C1" w:rsidRDefault="00DC5C28" w:rsidP="00FF29C1">
      <w:pPr>
        <w:pStyle w:val="ListParagraph"/>
        <w:numPr>
          <w:ilvl w:val="0"/>
          <w:numId w:val="21"/>
        </w:numPr>
        <w:spacing w:line="240" w:lineRule="auto"/>
        <w:rPr>
          <w:i/>
          <w:sz w:val="22"/>
          <w:szCs w:val="22"/>
        </w:rPr>
      </w:pPr>
      <w:r w:rsidRPr="00FF29C1">
        <w:rPr>
          <w:i/>
          <w:sz w:val="22"/>
          <w:szCs w:val="22"/>
        </w:rPr>
        <w:t>sma_trending_down || (drop_in_m</w:t>
      </w:r>
      <w:r w:rsidR="00FF29C1">
        <w:rPr>
          <w:i/>
          <w:sz w:val="22"/>
          <w:szCs w:val="22"/>
        </w:rPr>
        <w:t>omentum &amp;&amp; percent_drop</w:t>
      </w:r>
      <w:r w:rsidRPr="00FF29C1">
        <w:rPr>
          <w:i/>
          <w:sz w:val="22"/>
          <w:szCs w:val="22"/>
        </w:rPr>
        <w:t xml:space="preserve"> &gt; 0.50)</w:t>
      </w:r>
    </w:p>
    <w:p w14:paraId="4E1C264B" w14:textId="02B8743B" w:rsidR="00DC5C28" w:rsidRDefault="001D2EBC" w:rsidP="00FF29C1">
      <w:pPr>
        <w:spacing w:line="240" w:lineRule="auto"/>
        <w:jc w:val="both"/>
        <w:rPr>
          <w:sz w:val="22"/>
          <w:szCs w:val="22"/>
        </w:rPr>
      </w:pPr>
      <w:r w:rsidRPr="00FF29C1">
        <w:rPr>
          <w:sz w:val="22"/>
          <w:szCs w:val="22"/>
        </w:rPr>
        <w:t>where a value greater than 1 for price/SMA ratio means the price is above the SMA, and a value less than or equal to 1, means it is below or at the SMA</w:t>
      </w:r>
      <w:r w:rsidR="00FF29C1" w:rsidRPr="00FF29C1">
        <w:rPr>
          <w:sz w:val="22"/>
          <w:szCs w:val="22"/>
        </w:rPr>
        <w:t>; and in terms of the change in momentum, a value of 0.50 was used to only consider changes greater than 50% because that increased the confidence of a downwards trends</w:t>
      </w:r>
      <w:r w:rsidR="00FF29C1" w:rsidRPr="00FF29C1">
        <w:rPr>
          <w:rStyle w:val="FootnoteReference"/>
          <w:sz w:val="22"/>
          <w:szCs w:val="22"/>
        </w:rPr>
        <w:footnoteReference w:id="2"/>
      </w:r>
      <w:r w:rsidR="00FF29C1" w:rsidRPr="00FF29C1">
        <w:rPr>
          <w:sz w:val="22"/>
          <w:szCs w:val="22"/>
        </w:rPr>
        <w:t>.</w:t>
      </w:r>
    </w:p>
    <w:p w14:paraId="74B72BD5" w14:textId="18DADF53" w:rsidR="00FF29C1" w:rsidRDefault="00FF29C1" w:rsidP="00FF29C1">
      <w:pPr>
        <w:pStyle w:val="Heading2"/>
      </w:pPr>
      <w:r>
        <w:t>Closing a short position</w:t>
      </w:r>
    </w:p>
    <w:p w14:paraId="32198A49" w14:textId="31C4BD37" w:rsidR="00FF29C1" w:rsidRPr="002025B5" w:rsidRDefault="00CD4DF1" w:rsidP="002025B5">
      <w:pPr>
        <w:spacing w:line="240" w:lineRule="auto"/>
        <w:jc w:val="both"/>
        <w:rPr>
          <w:sz w:val="22"/>
          <w:szCs w:val="22"/>
        </w:rPr>
      </w:pPr>
      <w:r w:rsidRPr="002025B5">
        <w:rPr>
          <w:sz w:val="22"/>
          <w:szCs w:val="22"/>
        </w:rPr>
        <w:t xml:space="preserve">As with a long position, shorting a stock indefinitely, or until a long position is available, is also not effective as the price can increase and generate losses for holding that short position without ever reaching the limits for strong long signals. A fourth rule was created to identify this kind of situation and </w:t>
      </w:r>
      <w:r w:rsidRPr="002025B5">
        <w:rPr>
          <w:i/>
          <w:sz w:val="22"/>
          <w:szCs w:val="22"/>
        </w:rPr>
        <w:t>close</w:t>
      </w:r>
      <w:r w:rsidRPr="002025B5">
        <w:rPr>
          <w:sz w:val="22"/>
          <w:szCs w:val="22"/>
        </w:rPr>
        <w:t xml:space="preserve"> the short position. For this rule, price/SMA ra</w:t>
      </w:r>
      <w:r w:rsidR="00EF0DB3" w:rsidRPr="002025B5">
        <w:rPr>
          <w:sz w:val="22"/>
          <w:szCs w:val="22"/>
        </w:rPr>
        <w:t>tio and momentum were also used.</w:t>
      </w:r>
    </w:p>
    <w:p w14:paraId="2601E541" w14:textId="118B9D0E" w:rsidR="00EF0DB3" w:rsidRPr="002025B5" w:rsidRDefault="00EF0DB3" w:rsidP="002025B5">
      <w:pPr>
        <w:spacing w:line="240" w:lineRule="auto"/>
        <w:jc w:val="both"/>
        <w:rPr>
          <w:sz w:val="22"/>
          <w:szCs w:val="22"/>
        </w:rPr>
      </w:pPr>
      <w:r w:rsidRPr="002025B5">
        <w:rPr>
          <w:sz w:val="22"/>
          <w:szCs w:val="22"/>
        </w:rPr>
        <w:t xml:space="preserve">The idea was for the trader to identify if the price was regressing up to the mean by noticing crosses from below the SMA and up. In the case of momentum, it was used to identify upwards trends in the movement of the price of the stock. As with the previous rule, a </w:t>
      </w:r>
      <w:r w:rsidRPr="002025B5">
        <w:rPr>
          <w:b/>
          <w:sz w:val="22"/>
          <w:szCs w:val="22"/>
        </w:rPr>
        <w:t>percent of change</w:t>
      </w:r>
      <w:r w:rsidRPr="002025B5">
        <w:rPr>
          <w:sz w:val="22"/>
          <w:szCs w:val="22"/>
        </w:rPr>
        <w:t xml:space="preserve"> </w:t>
      </w:r>
      <w:r w:rsidR="00062D04">
        <w:rPr>
          <w:sz w:val="22"/>
          <w:szCs w:val="22"/>
        </w:rPr>
        <w:t>between</w:t>
      </w:r>
      <w:r w:rsidRPr="002025B5">
        <w:rPr>
          <w:sz w:val="22"/>
          <w:szCs w:val="22"/>
        </w:rPr>
        <w:t xml:space="preserve"> the previous and current day </w:t>
      </w:r>
      <w:r w:rsidR="00AE353A">
        <w:rPr>
          <w:sz w:val="22"/>
          <w:szCs w:val="22"/>
        </w:rPr>
        <w:t>was</w:t>
      </w:r>
      <w:r w:rsidRPr="002025B5">
        <w:rPr>
          <w:sz w:val="22"/>
          <w:szCs w:val="22"/>
        </w:rPr>
        <w:t xml:space="preserve"> used instead of the raw momentum value.</w:t>
      </w:r>
    </w:p>
    <w:p w14:paraId="7BC11874" w14:textId="5203A815" w:rsidR="00EF0DB3" w:rsidRPr="002025B5" w:rsidRDefault="00EF0DB3" w:rsidP="002025B5">
      <w:pPr>
        <w:spacing w:line="240" w:lineRule="auto"/>
        <w:jc w:val="both"/>
        <w:rPr>
          <w:sz w:val="22"/>
          <w:szCs w:val="22"/>
        </w:rPr>
      </w:pPr>
      <w:r w:rsidRPr="002025B5">
        <w:rPr>
          <w:sz w:val="22"/>
          <w:szCs w:val="22"/>
        </w:rPr>
        <w:t>The rule was created as follows:</w:t>
      </w:r>
    </w:p>
    <w:p w14:paraId="3EBDE321" w14:textId="77BDA185" w:rsidR="002025B5" w:rsidRPr="002025B5" w:rsidRDefault="002025B5" w:rsidP="002025B5">
      <w:pPr>
        <w:pStyle w:val="ListParagraph"/>
        <w:numPr>
          <w:ilvl w:val="0"/>
          <w:numId w:val="21"/>
        </w:numPr>
        <w:spacing w:line="240" w:lineRule="auto"/>
        <w:rPr>
          <w:i/>
          <w:sz w:val="22"/>
          <w:szCs w:val="22"/>
        </w:rPr>
      </w:pPr>
      <w:r w:rsidRPr="002025B5">
        <w:rPr>
          <w:i/>
          <w:sz w:val="22"/>
          <w:szCs w:val="22"/>
        </w:rPr>
        <w:t>sma</w:t>
      </w:r>
      <w:r w:rsidRPr="002025B5">
        <w:rPr>
          <w:i/>
          <w:sz w:val="22"/>
          <w:szCs w:val="22"/>
        </w:rPr>
        <w:t>_trending_up</w:t>
      </w:r>
      <w:r w:rsidRPr="002025B5">
        <w:rPr>
          <w:i/>
          <w:sz w:val="22"/>
          <w:szCs w:val="22"/>
        </w:rPr>
        <w:t xml:space="preserve"> = </w:t>
      </w:r>
      <w:r w:rsidRPr="002025B5">
        <w:rPr>
          <w:i/>
          <w:sz w:val="22"/>
          <w:szCs w:val="22"/>
        </w:rPr>
        <w:t>sma_yesterday &lt; 1 and sma_today &gt;</w:t>
      </w:r>
      <w:r w:rsidRPr="002025B5">
        <w:rPr>
          <w:i/>
          <w:sz w:val="22"/>
          <w:szCs w:val="22"/>
        </w:rPr>
        <w:t>= 1</w:t>
      </w:r>
    </w:p>
    <w:p w14:paraId="15BF436E" w14:textId="3326F1C9" w:rsidR="002025B5" w:rsidRPr="002025B5" w:rsidRDefault="002025B5" w:rsidP="002025B5">
      <w:pPr>
        <w:pStyle w:val="ListParagraph"/>
        <w:numPr>
          <w:ilvl w:val="0"/>
          <w:numId w:val="21"/>
        </w:numPr>
        <w:spacing w:line="240" w:lineRule="auto"/>
        <w:rPr>
          <w:i/>
          <w:sz w:val="22"/>
          <w:szCs w:val="22"/>
        </w:rPr>
      </w:pPr>
      <w:r w:rsidRPr="002025B5">
        <w:rPr>
          <w:i/>
          <w:sz w:val="22"/>
          <w:szCs w:val="22"/>
        </w:rPr>
        <w:t>increase</w:t>
      </w:r>
      <w:r w:rsidRPr="002025B5">
        <w:rPr>
          <w:i/>
          <w:sz w:val="22"/>
          <w:szCs w:val="22"/>
        </w:rPr>
        <w:t>_in_momentum = mome</w:t>
      </w:r>
      <w:r w:rsidRPr="002025B5">
        <w:rPr>
          <w:i/>
          <w:sz w:val="22"/>
          <w:szCs w:val="22"/>
        </w:rPr>
        <w:t>ntum_today &gt;</w:t>
      </w:r>
      <w:r w:rsidRPr="002025B5">
        <w:rPr>
          <w:i/>
          <w:sz w:val="22"/>
          <w:szCs w:val="22"/>
        </w:rPr>
        <w:t xml:space="preserve"> momentum_yesterday</w:t>
      </w:r>
    </w:p>
    <w:p w14:paraId="1B70A3E3" w14:textId="4A5B0BA6" w:rsidR="002025B5" w:rsidRPr="002025B5" w:rsidRDefault="002025B5" w:rsidP="002025B5">
      <w:pPr>
        <w:pStyle w:val="ListParagraph"/>
        <w:numPr>
          <w:ilvl w:val="0"/>
          <w:numId w:val="21"/>
        </w:numPr>
        <w:spacing w:line="240" w:lineRule="auto"/>
        <w:rPr>
          <w:i/>
          <w:sz w:val="22"/>
          <w:szCs w:val="22"/>
        </w:rPr>
      </w:pPr>
      <w:r w:rsidRPr="002025B5">
        <w:rPr>
          <w:i/>
          <w:sz w:val="22"/>
          <w:szCs w:val="22"/>
        </w:rPr>
        <w:t>percent_increase = (momentum_today</w:t>
      </w:r>
      <w:r w:rsidRPr="002025B5">
        <w:rPr>
          <w:i/>
          <w:sz w:val="22"/>
          <w:szCs w:val="22"/>
        </w:rPr>
        <w:t xml:space="preserve"> – momentum_</w:t>
      </w:r>
      <w:r w:rsidRPr="002025B5">
        <w:rPr>
          <w:i/>
          <w:sz w:val="22"/>
          <w:szCs w:val="22"/>
        </w:rPr>
        <w:t>yesterday</w:t>
      </w:r>
      <w:r w:rsidRPr="002025B5">
        <w:rPr>
          <w:i/>
          <w:sz w:val="22"/>
          <w:szCs w:val="22"/>
        </w:rPr>
        <w:t>) / momentum_yesterday</w:t>
      </w:r>
    </w:p>
    <w:p w14:paraId="7154012C" w14:textId="7674025C" w:rsidR="002025B5" w:rsidRPr="002025B5" w:rsidRDefault="002025B5" w:rsidP="002025B5">
      <w:pPr>
        <w:pStyle w:val="ListParagraph"/>
        <w:numPr>
          <w:ilvl w:val="0"/>
          <w:numId w:val="21"/>
        </w:numPr>
        <w:spacing w:line="240" w:lineRule="auto"/>
        <w:rPr>
          <w:i/>
          <w:sz w:val="22"/>
          <w:szCs w:val="22"/>
        </w:rPr>
      </w:pPr>
      <w:r w:rsidRPr="002025B5">
        <w:rPr>
          <w:i/>
          <w:sz w:val="22"/>
          <w:szCs w:val="22"/>
        </w:rPr>
        <w:t>sma_trending_up || (increase</w:t>
      </w:r>
      <w:r w:rsidRPr="002025B5">
        <w:rPr>
          <w:i/>
          <w:sz w:val="22"/>
          <w:szCs w:val="22"/>
        </w:rPr>
        <w:t>_in_m</w:t>
      </w:r>
      <w:r w:rsidRPr="002025B5">
        <w:rPr>
          <w:i/>
          <w:sz w:val="22"/>
          <w:szCs w:val="22"/>
        </w:rPr>
        <w:t>omentum &amp;&amp; percent_increase</w:t>
      </w:r>
      <w:r w:rsidRPr="002025B5">
        <w:rPr>
          <w:i/>
          <w:sz w:val="22"/>
          <w:szCs w:val="22"/>
        </w:rPr>
        <w:t xml:space="preserve"> &gt; 0.50)</w:t>
      </w:r>
    </w:p>
    <w:p w14:paraId="5B8B6AAC" w14:textId="50537540" w:rsidR="002025B5" w:rsidRDefault="002025B5" w:rsidP="002025B5">
      <w:pPr>
        <w:spacing w:line="240" w:lineRule="auto"/>
        <w:jc w:val="both"/>
        <w:rPr>
          <w:sz w:val="22"/>
          <w:szCs w:val="22"/>
        </w:rPr>
      </w:pPr>
      <w:r w:rsidRPr="002025B5">
        <w:rPr>
          <w:sz w:val="22"/>
          <w:szCs w:val="22"/>
        </w:rPr>
        <w:t>where the values for price/SMA ratio and the percent of change in momentum follow the same rationale as with the rule for closing a long position.</w:t>
      </w:r>
    </w:p>
    <w:p w14:paraId="3349D325" w14:textId="5B827A5B" w:rsidR="00A9093E" w:rsidRDefault="00A9093E" w:rsidP="00A9093E">
      <w:pPr>
        <w:pStyle w:val="Heading2"/>
      </w:pPr>
      <w:r>
        <w:t>Performance</w:t>
      </w:r>
    </w:p>
    <w:p w14:paraId="7FFBDD5B" w14:textId="2C4B92F2" w:rsidR="00F95ED6" w:rsidRDefault="00A9093E" w:rsidP="00A9093E">
      <w:pPr>
        <w:spacing w:line="240" w:lineRule="auto"/>
        <w:jc w:val="both"/>
        <w:rPr>
          <w:sz w:val="22"/>
          <w:szCs w:val="22"/>
        </w:rPr>
      </w:pPr>
      <w:r w:rsidRPr="00A9093E">
        <w:rPr>
          <w:sz w:val="22"/>
          <w:szCs w:val="22"/>
        </w:rPr>
        <w:t xml:space="preserve">The effectiveness of this rule-based strategy was measured against the same benchmark strategy as </w:t>
      </w:r>
      <w:r>
        <w:rPr>
          <w:sz w:val="22"/>
          <w:szCs w:val="22"/>
        </w:rPr>
        <w:t xml:space="preserve">described in previous sections; however, a commission of $9.95 and a market impact of 0.005 </w:t>
      </w:r>
      <w:r w:rsidR="002232BA">
        <w:rPr>
          <w:sz w:val="22"/>
          <w:szCs w:val="22"/>
        </w:rPr>
        <w:t>were</w:t>
      </w:r>
      <w:r>
        <w:rPr>
          <w:sz w:val="22"/>
          <w:szCs w:val="22"/>
        </w:rPr>
        <w:t xml:space="preserve"> added. </w:t>
      </w:r>
    </w:p>
    <w:p w14:paraId="3235F847" w14:textId="6F865130" w:rsidR="00A9093E" w:rsidRDefault="00A9093E" w:rsidP="00A9093E">
      <w:pPr>
        <w:spacing w:line="240" w:lineRule="auto"/>
        <w:jc w:val="both"/>
        <w:rPr>
          <w:sz w:val="22"/>
          <w:szCs w:val="22"/>
        </w:rPr>
      </w:pPr>
      <w:r w:rsidRPr="00A9093E">
        <w:rPr>
          <w:sz w:val="22"/>
          <w:szCs w:val="22"/>
        </w:rPr>
        <w:t>The following figure shows a graph with the performance</w:t>
      </w:r>
      <w:r w:rsidR="00F95ED6">
        <w:rPr>
          <w:sz w:val="22"/>
          <w:szCs w:val="22"/>
        </w:rPr>
        <w:t xml:space="preserve"> (where green lines indicate the trader entered a LONG position and red, that it entered a SHORT position)</w:t>
      </w:r>
      <w:r w:rsidRPr="00A9093E">
        <w:rPr>
          <w:sz w:val="22"/>
          <w:szCs w:val="22"/>
        </w:rPr>
        <w:t>, as well as, a table with other key portfolio statistics.</w:t>
      </w:r>
    </w:p>
    <w:tbl>
      <w:tblPr>
        <w:tblStyle w:val="PlainTable1"/>
        <w:tblpPr w:leftFromText="187" w:rightFromText="187" w:vertAnchor="text" w:tblpXSpec="right" w:tblpY="1"/>
        <w:tblOverlap w:val="never"/>
        <w:tblW w:w="0" w:type="auto"/>
        <w:tblLook w:val="04A0" w:firstRow="1" w:lastRow="0" w:firstColumn="1" w:lastColumn="0" w:noHBand="0" w:noVBand="1"/>
      </w:tblPr>
      <w:tblGrid>
        <w:gridCol w:w="1705"/>
        <w:gridCol w:w="1921"/>
        <w:gridCol w:w="2048"/>
        <w:gridCol w:w="1889"/>
        <w:gridCol w:w="1787"/>
      </w:tblGrid>
      <w:tr w:rsidR="00A9093E" w14:paraId="7E80F9A0" w14:textId="77777777" w:rsidTr="00D44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2DB54AB5" w14:textId="77777777" w:rsidR="00A9093E" w:rsidRDefault="00A9093E" w:rsidP="00D4495B">
            <w:pPr>
              <w:jc w:val="center"/>
            </w:pPr>
            <w:r>
              <w:t>Strategy</w:t>
            </w:r>
          </w:p>
        </w:tc>
        <w:tc>
          <w:tcPr>
            <w:tcW w:w="1946" w:type="dxa"/>
          </w:tcPr>
          <w:p w14:paraId="1EFFC63E" w14:textId="77777777" w:rsidR="00A9093E" w:rsidRDefault="00A9093E" w:rsidP="00D4495B">
            <w:pPr>
              <w:jc w:val="center"/>
              <w:cnfStyle w:val="100000000000" w:firstRow="1" w:lastRow="0" w:firstColumn="0" w:lastColumn="0" w:oddVBand="0" w:evenVBand="0" w:oddHBand="0" w:evenHBand="0" w:firstRowFirstColumn="0" w:firstRowLastColumn="0" w:lastRowFirstColumn="0" w:lastRowLastColumn="0"/>
            </w:pPr>
            <w:r>
              <w:t>Portfolio Value</w:t>
            </w:r>
          </w:p>
        </w:tc>
        <w:tc>
          <w:tcPr>
            <w:tcW w:w="2061" w:type="dxa"/>
          </w:tcPr>
          <w:p w14:paraId="5564ECBF" w14:textId="77777777" w:rsidR="00A9093E" w:rsidRDefault="00A9093E" w:rsidP="00D4495B">
            <w:pPr>
              <w:jc w:val="center"/>
              <w:cnfStyle w:val="100000000000" w:firstRow="1" w:lastRow="0" w:firstColumn="0" w:lastColumn="0" w:oddVBand="0" w:evenVBand="0" w:oddHBand="0" w:evenHBand="0" w:firstRowFirstColumn="0" w:firstRowLastColumn="0" w:lastRowFirstColumn="0" w:lastRowLastColumn="0"/>
            </w:pPr>
            <w:r>
              <w:t>Cumulative Return</w:t>
            </w:r>
          </w:p>
        </w:tc>
        <w:tc>
          <w:tcPr>
            <w:tcW w:w="1879" w:type="dxa"/>
          </w:tcPr>
          <w:p w14:paraId="1BDB4C62" w14:textId="77777777" w:rsidR="00A9093E" w:rsidRDefault="00A9093E" w:rsidP="00D4495B">
            <w:pPr>
              <w:jc w:val="center"/>
              <w:cnfStyle w:val="100000000000" w:firstRow="1" w:lastRow="0" w:firstColumn="0" w:lastColumn="0" w:oddVBand="0" w:evenVBand="0" w:oddHBand="0" w:evenHBand="0" w:firstRowFirstColumn="0" w:firstRowLastColumn="0" w:lastRowFirstColumn="0" w:lastRowLastColumn="0"/>
            </w:pPr>
            <w:r>
              <w:t>Daily returns (avg)</w:t>
            </w:r>
          </w:p>
        </w:tc>
        <w:tc>
          <w:tcPr>
            <w:tcW w:w="1740" w:type="dxa"/>
          </w:tcPr>
          <w:p w14:paraId="470DFBC8" w14:textId="77777777" w:rsidR="00A9093E" w:rsidRDefault="00A9093E" w:rsidP="00D4495B">
            <w:pPr>
              <w:jc w:val="center"/>
              <w:cnfStyle w:val="100000000000" w:firstRow="1" w:lastRow="0" w:firstColumn="0" w:lastColumn="0" w:oddVBand="0" w:evenVBand="0" w:oddHBand="0" w:evenHBand="0" w:firstRowFirstColumn="0" w:firstRowLastColumn="0" w:lastRowFirstColumn="0" w:lastRowLastColumn="0"/>
            </w:pPr>
            <w:r>
              <w:t>Daily returns (std)</w:t>
            </w:r>
          </w:p>
        </w:tc>
      </w:tr>
      <w:tr w:rsidR="00A9093E" w14:paraId="5DBF44AB" w14:textId="77777777" w:rsidTr="00D44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34F56464" w14:textId="0FB091A2" w:rsidR="00A9093E" w:rsidRDefault="00A9093E" w:rsidP="00A9093E">
            <w:r>
              <w:t>Rule-based</w:t>
            </w:r>
          </w:p>
        </w:tc>
        <w:tc>
          <w:tcPr>
            <w:tcW w:w="1946" w:type="dxa"/>
          </w:tcPr>
          <w:p w14:paraId="45190E25" w14:textId="50BA8E88" w:rsidR="00A9093E" w:rsidRDefault="00A9093E" w:rsidP="00A9093E">
            <w:pPr>
              <w:jc w:val="center"/>
              <w:cnfStyle w:val="000000100000" w:firstRow="0" w:lastRow="0" w:firstColumn="0" w:lastColumn="0" w:oddVBand="0" w:evenVBand="0" w:oddHBand="1" w:evenHBand="0" w:firstRowFirstColumn="0" w:firstRowLastColumn="0" w:lastRowFirstColumn="0" w:lastRowLastColumn="0"/>
            </w:pPr>
            <w:r>
              <w:t>$</w:t>
            </w:r>
            <w:r>
              <w:t>136,557.25</w:t>
            </w:r>
          </w:p>
        </w:tc>
        <w:tc>
          <w:tcPr>
            <w:tcW w:w="2061" w:type="dxa"/>
          </w:tcPr>
          <w:p w14:paraId="6D4075A9" w14:textId="74EC678A" w:rsidR="00A9093E" w:rsidRDefault="00A9093E" w:rsidP="00D4495B">
            <w:pPr>
              <w:jc w:val="center"/>
              <w:cnfStyle w:val="000000100000" w:firstRow="0" w:lastRow="0" w:firstColumn="0" w:lastColumn="0" w:oddVBand="0" w:evenVBand="0" w:oddHBand="1" w:evenHBand="0" w:firstRowFirstColumn="0" w:firstRowLastColumn="0" w:lastRowFirstColumn="0" w:lastRowLastColumn="0"/>
            </w:pPr>
            <w:r>
              <w:t>0.3655725</w:t>
            </w:r>
          </w:p>
        </w:tc>
        <w:tc>
          <w:tcPr>
            <w:tcW w:w="1879" w:type="dxa"/>
          </w:tcPr>
          <w:p w14:paraId="5CEEB487" w14:textId="70A084E1" w:rsidR="00A9093E" w:rsidRDefault="00A9093E" w:rsidP="00D4495B">
            <w:pPr>
              <w:jc w:val="center"/>
              <w:cnfStyle w:val="000000100000" w:firstRow="0" w:lastRow="0" w:firstColumn="0" w:lastColumn="0" w:oddVBand="0" w:evenVBand="0" w:oddHBand="1" w:evenHBand="0" w:firstRowFirstColumn="0" w:firstRowLastColumn="0" w:lastRowFirstColumn="0" w:lastRowLastColumn="0"/>
            </w:pPr>
            <w:r w:rsidRPr="00A9093E">
              <w:t>0.000666083096356</w:t>
            </w:r>
          </w:p>
        </w:tc>
        <w:tc>
          <w:tcPr>
            <w:tcW w:w="1740" w:type="dxa"/>
          </w:tcPr>
          <w:p w14:paraId="4C907AAE" w14:textId="2868D94F" w:rsidR="00A9093E" w:rsidRDefault="00A9093E" w:rsidP="00D4495B">
            <w:pPr>
              <w:jc w:val="center"/>
              <w:cnfStyle w:val="000000100000" w:firstRow="0" w:lastRow="0" w:firstColumn="0" w:lastColumn="0" w:oddVBand="0" w:evenVBand="0" w:oddHBand="1" w:evenHBand="0" w:firstRowFirstColumn="0" w:firstRowLastColumn="0" w:lastRowFirstColumn="0" w:lastRowLastColumn="0"/>
            </w:pPr>
            <w:r w:rsidRPr="00A9093E">
              <w:t>0.00978090198654</w:t>
            </w:r>
          </w:p>
        </w:tc>
      </w:tr>
      <w:tr w:rsidR="00A9093E" w14:paraId="63900C19" w14:textId="77777777" w:rsidTr="00A9093E">
        <w:trPr>
          <w:trHeight w:val="422"/>
        </w:trPr>
        <w:tc>
          <w:tcPr>
            <w:cnfStyle w:val="001000000000" w:firstRow="0" w:lastRow="0" w:firstColumn="1" w:lastColumn="0" w:oddVBand="0" w:evenVBand="0" w:oddHBand="0" w:evenHBand="0" w:firstRowFirstColumn="0" w:firstRowLastColumn="0" w:lastRowFirstColumn="0" w:lastRowLastColumn="0"/>
            <w:tcW w:w="1724" w:type="dxa"/>
          </w:tcPr>
          <w:p w14:paraId="0DBA3DB3" w14:textId="77777777" w:rsidR="00A9093E" w:rsidRDefault="00A9093E" w:rsidP="00D4495B">
            <w:r>
              <w:t>Benchmark</w:t>
            </w:r>
          </w:p>
        </w:tc>
        <w:tc>
          <w:tcPr>
            <w:tcW w:w="1946" w:type="dxa"/>
          </w:tcPr>
          <w:p w14:paraId="3CDDACE2" w14:textId="42B16892" w:rsidR="00A9093E" w:rsidRDefault="00A9093E" w:rsidP="00D4495B">
            <w:pPr>
              <w:jc w:val="center"/>
              <w:cnfStyle w:val="000000000000" w:firstRow="0" w:lastRow="0" w:firstColumn="0" w:lastColumn="0" w:oddVBand="0" w:evenVBand="0" w:oddHBand="0" w:evenHBand="0" w:firstRowFirstColumn="0" w:firstRowLastColumn="0" w:lastRowFirstColumn="0" w:lastRowLastColumn="0"/>
            </w:pPr>
            <w:r>
              <w:t>$101,027</w:t>
            </w:r>
            <w:r>
              <w:t>.0</w:t>
            </w:r>
          </w:p>
        </w:tc>
        <w:tc>
          <w:tcPr>
            <w:tcW w:w="2061" w:type="dxa"/>
          </w:tcPr>
          <w:p w14:paraId="1F3E1E10" w14:textId="10D73CA5" w:rsidR="00A9093E" w:rsidRDefault="00A9093E" w:rsidP="00D4495B">
            <w:pPr>
              <w:jc w:val="center"/>
              <w:cnfStyle w:val="000000000000" w:firstRow="0" w:lastRow="0" w:firstColumn="0" w:lastColumn="0" w:oddVBand="0" w:evenVBand="0" w:oddHBand="0" w:evenHBand="0" w:firstRowFirstColumn="0" w:firstRowLastColumn="0" w:lastRowFirstColumn="0" w:lastRowLastColumn="0"/>
            </w:pPr>
            <w:r w:rsidRPr="00A9093E">
              <w:t>0.0123249333401</w:t>
            </w:r>
          </w:p>
        </w:tc>
        <w:tc>
          <w:tcPr>
            <w:tcW w:w="1879" w:type="dxa"/>
          </w:tcPr>
          <w:p w14:paraId="2D141BFD" w14:textId="58496DD3" w:rsidR="00A9093E" w:rsidRDefault="00A9093E" w:rsidP="00D4495B">
            <w:pPr>
              <w:jc w:val="center"/>
              <w:cnfStyle w:val="000000000000" w:firstRow="0" w:lastRow="0" w:firstColumn="0" w:lastColumn="0" w:oddVBand="0" w:evenVBand="0" w:oddHBand="0" w:evenHBand="0" w:firstRowFirstColumn="0" w:firstRowLastColumn="0" w:lastRowFirstColumn="0" w:lastRowLastColumn="0"/>
            </w:pPr>
            <w:r w:rsidRPr="00A9093E">
              <w:t>0.000168759162146</w:t>
            </w:r>
          </w:p>
        </w:tc>
        <w:tc>
          <w:tcPr>
            <w:tcW w:w="1740" w:type="dxa"/>
          </w:tcPr>
          <w:p w14:paraId="77827A05" w14:textId="7DCAB21A" w:rsidR="00A9093E" w:rsidRDefault="00A9093E" w:rsidP="00D4495B">
            <w:pPr>
              <w:jc w:val="center"/>
              <w:cnfStyle w:val="000000000000" w:firstRow="0" w:lastRow="0" w:firstColumn="0" w:lastColumn="0" w:oddVBand="0" w:evenVBand="0" w:oddHBand="0" w:evenHBand="0" w:firstRowFirstColumn="0" w:firstRowLastColumn="0" w:lastRowFirstColumn="0" w:lastRowLastColumn="0"/>
            </w:pPr>
            <w:r w:rsidRPr="00A9093E">
              <w:t>0.0170412470682</w:t>
            </w:r>
          </w:p>
        </w:tc>
      </w:tr>
    </w:tbl>
    <w:p w14:paraId="4CB4BA47" w14:textId="6CEB8B52" w:rsidR="00A9093E" w:rsidRPr="00A9093E" w:rsidRDefault="00EB2D90" w:rsidP="00A9093E">
      <w:pPr>
        <w:spacing w:line="240" w:lineRule="auto"/>
        <w:jc w:val="both"/>
        <w:rPr>
          <w:sz w:val="22"/>
          <w:szCs w:val="22"/>
        </w:rPr>
      </w:pPr>
      <w:r>
        <w:rPr>
          <w:noProof/>
          <w:sz w:val="22"/>
          <w:szCs w:val="22"/>
        </w:rPr>
        <w:drawing>
          <wp:anchor distT="0" distB="0" distL="114300" distR="114300" simplePos="0" relativeHeight="251670528" behindDoc="1" locked="0" layoutInCell="1" allowOverlap="1" wp14:anchorId="611E2017" wp14:editId="675321E4">
            <wp:simplePos x="0" y="0"/>
            <wp:positionH relativeFrom="column">
              <wp:posOffset>1308735</wp:posOffset>
            </wp:positionH>
            <wp:positionV relativeFrom="paragraph">
              <wp:posOffset>1020445</wp:posOffset>
            </wp:positionV>
            <wp:extent cx="3163570" cy="2505075"/>
            <wp:effectExtent l="0" t="0" r="1143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ualStrategyvsBenchmark-InSample.png"/>
                    <pic:cNvPicPr/>
                  </pic:nvPicPr>
                  <pic:blipFill>
                    <a:blip r:embed="rId15">
                      <a:extLst>
                        <a:ext uri="{28A0092B-C50C-407E-A947-70E740481C1C}">
                          <a14:useLocalDpi xmlns:a14="http://schemas.microsoft.com/office/drawing/2010/main" val="0"/>
                        </a:ext>
                      </a:extLst>
                    </a:blip>
                    <a:stretch>
                      <a:fillRect/>
                    </a:stretch>
                  </pic:blipFill>
                  <pic:spPr>
                    <a:xfrm>
                      <a:off x="0" y="0"/>
                      <a:ext cx="3163570" cy="2505075"/>
                    </a:xfrm>
                    <a:prstGeom prst="rect">
                      <a:avLst/>
                    </a:prstGeom>
                  </pic:spPr>
                </pic:pic>
              </a:graphicData>
            </a:graphic>
            <wp14:sizeRelH relativeFrom="page">
              <wp14:pctWidth>0</wp14:pctWidth>
            </wp14:sizeRelH>
            <wp14:sizeRelV relativeFrom="page">
              <wp14:pctHeight>0</wp14:pctHeight>
            </wp14:sizeRelV>
          </wp:anchor>
        </w:drawing>
      </w:r>
    </w:p>
    <w:p w14:paraId="02F17FE7" w14:textId="77777777" w:rsidR="00B135D0" w:rsidRDefault="00B135D0" w:rsidP="00E3570D"/>
    <w:p w14:paraId="32968C90" w14:textId="77777777" w:rsidR="00133603" w:rsidRDefault="00133603" w:rsidP="00E3570D"/>
    <w:p w14:paraId="549B4069" w14:textId="77777777" w:rsidR="00133603" w:rsidRDefault="00133603" w:rsidP="00E3570D"/>
    <w:p w14:paraId="6302DCA6" w14:textId="77777777" w:rsidR="00133603" w:rsidRDefault="00133603" w:rsidP="00E3570D"/>
    <w:p w14:paraId="7FD7CAB5" w14:textId="77777777" w:rsidR="00133603" w:rsidRDefault="00133603" w:rsidP="00E3570D"/>
    <w:p w14:paraId="14886C01" w14:textId="77777777" w:rsidR="00133603" w:rsidRDefault="00133603" w:rsidP="00E3570D"/>
    <w:p w14:paraId="50A42BB8" w14:textId="77777777" w:rsidR="00133603" w:rsidRDefault="00133603" w:rsidP="00E3570D"/>
    <w:p w14:paraId="452E0504" w14:textId="77777777" w:rsidR="00133603" w:rsidRDefault="00133603" w:rsidP="00E3570D"/>
    <w:p w14:paraId="0EE58FCF" w14:textId="56524B41" w:rsidR="00F95ED6" w:rsidRPr="00F95ED6" w:rsidRDefault="00F95ED6" w:rsidP="00F95ED6">
      <w:pPr>
        <w:spacing w:line="240" w:lineRule="auto"/>
        <w:jc w:val="both"/>
        <w:rPr>
          <w:sz w:val="22"/>
          <w:szCs w:val="22"/>
        </w:rPr>
      </w:pPr>
      <w:r w:rsidRPr="00F95ED6">
        <w:rPr>
          <w:sz w:val="22"/>
          <w:szCs w:val="22"/>
        </w:rPr>
        <w:t>As it can be seen from the graph, this rule-based strategy was able to outperform the benchmark</w:t>
      </w:r>
      <w:r w:rsidRPr="00F95ED6">
        <w:rPr>
          <w:sz w:val="22"/>
          <w:szCs w:val="22"/>
        </w:rPr>
        <w:t xml:space="preserve"> generating a cumulative return over the in-sample period of 36%. This proves that the rules generated for this strategy were indeed effective as they were able to correctly </w:t>
      </w:r>
      <w:r w:rsidR="001722D7">
        <w:rPr>
          <w:sz w:val="22"/>
          <w:szCs w:val="22"/>
        </w:rPr>
        <w:t>identify</w:t>
      </w:r>
      <w:r w:rsidRPr="00F95ED6">
        <w:rPr>
          <w:sz w:val="22"/>
          <w:szCs w:val="22"/>
        </w:rPr>
        <w:t xml:space="preserve"> instances where the stock was overbought or oversold, as well as, situations where closing either position was better than holding it.</w:t>
      </w:r>
    </w:p>
    <w:p w14:paraId="4A9E0E79" w14:textId="07CC955C" w:rsidR="00810E81" w:rsidRDefault="00810E81" w:rsidP="00810E81">
      <w:pPr>
        <w:pStyle w:val="Heading1"/>
      </w:pPr>
      <w:r>
        <w:t>Comparative analysis</w:t>
      </w:r>
    </w:p>
    <w:p w14:paraId="2C9E1877" w14:textId="3C21AE86" w:rsidR="00810E81" w:rsidRPr="0004757B" w:rsidRDefault="00842ACE" w:rsidP="0004757B">
      <w:pPr>
        <w:spacing w:line="240" w:lineRule="auto"/>
        <w:jc w:val="both"/>
        <w:rPr>
          <w:sz w:val="22"/>
          <w:szCs w:val="22"/>
        </w:rPr>
      </w:pPr>
      <w:r w:rsidRPr="0004757B">
        <w:rPr>
          <w:sz w:val="22"/>
          <w:szCs w:val="22"/>
        </w:rPr>
        <w:t xml:space="preserve">A strategy cannot be called effective </w:t>
      </w:r>
      <w:r w:rsidR="00AA57D8">
        <w:rPr>
          <w:sz w:val="22"/>
          <w:szCs w:val="22"/>
        </w:rPr>
        <w:t xml:space="preserve">if </w:t>
      </w:r>
      <w:r w:rsidRPr="0004757B">
        <w:rPr>
          <w:sz w:val="22"/>
          <w:szCs w:val="22"/>
        </w:rPr>
        <w:t xml:space="preserve">it is not tested on </w:t>
      </w:r>
      <w:r w:rsidRPr="0004757B">
        <w:rPr>
          <w:i/>
          <w:sz w:val="22"/>
          <w:szCs w:val="22"/>
        </w:rPr>
        <w:t>unseen</w:t>
      </w:r>
      <w:r w:rsidRPr="0004757B">
        <w:rPr>
          <w:sz w:val="22"/>
          <w:szCs w:val="22"/>
        </w:rPr>
        <w:t xml:space="preserve"> data. The rule-based </w:t>
      </w:r>
      <w:r w:rsidR="0013771E" w:rsidRPr="0004757B">
        <w:rPr>
          <w:sz w:val="22"/>
          <w:szCs w:val="22"/>
        </w:rPr>
        <w:t>and benchmark strategies were applied to the out-of-sample period from January 1</w:t>
      </w:r>
      <w:r w:rsidR="0013771E" w:rsidRPr="0004757B">
        <w:rPr>
          <w:sz w:val="22"/>
          <w:szCs w:val="22"/>
          <w:vertAlign w:val="superscript"/>
        </w:rPr>
        <w:t>st</w:t>
      </w:r>
      <w:r w:rsidR="0013771E" w:rsidRPr="0004757B">
        <w:rPr>
          <w:sz w:val="22"/>
          <w:szCs w:val="22"/>
        </w:rPr>
        <w:t xml:space="preserve"> 2010 to December 31</w:t>
      </w:r>
      <w:r w:rsidR="0013771E" w:rsidRPr="0004757B">
        <w:rPr>
          <w:sz w:val="22"/>
          <w:szCs w:val="22"/>
          <w:vertAlign w:val="superscript"/>
        </w:rPr>
        <w:t>st</w:t>
      </w:r>
      <w:r w:rsidR="0013771E" w:rsidRPr="0004757B">
        <w:rPr>
          <w:sz w:val="22"/>
          <w:szCs w:val="22"/>
        </w:rPr>
        <w:t xml:space="preserve"> 2011. The following </w:t>
      </w:r>
      <w:r w:rsidR="00146286" w:rsidRPr="0004757B">
        <w:rPr>
          <w:sz w:val="22"/>
          <w:szCs w:val="22"/>
        </w:rPr>
        <w:t xml:space="preserve">figure shows </w:t>
      </w:r>
      <w:r w:rsidR="0013771E" w:rsidRPr="0004757B">
        <w:rPr>
          <w:sz w:val="22"/>
          <w:szCs w:val="22"/>
        </w:rPr>
        <w:t>the performance of the manual strategy with respect to the benchmark for both the in-s</w:t>
      </w:r>
      <w:r w:rsidR="00146286" w:rsidRPr="0004757B">
        <w:rPr>
          <w:sz w:val="22"/>
          <w:szCs w:val="22"/>
        </w:rPr>
        <w:t xml:space="preserve">ample and out-of-sample periods, the </w:t>
      </w:r>
      <w:r w:rsidR="00C35548" w:rsidRPr="0004757B">
        <w:rPr>
          <w:sz w:val="22"/>
          <w:szCs w:val="22"/>
        </w:rPr>
        <w:t>prices for the stock during both periods</w:t>
      </w:r>
      <w:r w:rsidR="00146286" w:rsidRPr="0004757B">
        <w:rPr>
          <w:sz w:val="22"/>
          <w:szCs w:val="22"/>
        </w:rPr>
        <w:t>, as well as, a table with key portfolio statistics.</w:t>
      </w:r>
    </w:p>
    <w:tbl>
      <w:tblPr>
        <w:tblStyle w:val="PlainTable1"/>
        <w:tblpPr w:leftFromText="187" w:rightFromText="187" w:vertAnchor="text" w:tblpXSpec="right" w:tblpY="1"/>
        <w:tblOverlap w:val="never"/>
        <w:tblW w:w="0" w:type="auto"/>
        <w:tblLook w:val="04A0" w:firstRow="1" w:lastRow="0" w:firstColumn="1" w:lastColumn="0" w:noHBand="0" w:noVBand="1"/>
      </w:tblPr>
      <w:tblGrid>
        <w:gridCol w:w="1703"/>
        <w:gridCol w:w="1930"/>
        <w:gridCol w:w="2041"/>
        <w:gridCol w:w="1889"/>
        <w:gridCol w:w="1787"/>
      </w:tblGrid>
      <w:tr w:rsidR="00146286" w14:paraId="600C6D5D" w14:textId="77777777" w:rsidTr="00D44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42379A77" w14:textId="77777777" w:rsidR="00146286" w:rsidRDefault="00146286" w:rsidP="00D4495B">
            <w:pPr>
              <w:jc w:val="center"/>
            </w:pPr>
            <w:r>
              <w:t>Period</w:t>
            </w:r>
          </w:p>
        </w:tc>
        <w:tc>
          <w:tcPr>
            <w:tcW w:w="1946" w:type="dxa"/>
          </w:tcPr>
          <w:p w14:paraId="6A2D9681" w14:textId="77777777" w:rsidR="00146286" w:rsidRDefault="00146286" w:rsidP="00D4495B">
            <w:pPr>
              <w:jc w:val="center"/>
              <w:cnfStyle w:val="100000000000" w:firstRow="1" w:lastRow="0" w:firstColumn="0" w:lastColumn="0" w:oddVBand="0" w:evenVBand="0" w:oddHBand="0" w:evenHBand="0" w:firstRowFirstColumn="0" w:firstRowLastColumn="0" w:lastRowFirstColumn="0" w:lastRowLastColumn="0"/>
            </w:pPr>
            <w:r>
              <w:t>Portfolio Value</w:t>
            </w:r>
          </w:p>
        </w:tc>
        <w:tc>
          <w:tcPr>
            <w:tcW w:w="2061" w:type="dxa"/>
          </w:tcPr>
          <w:p w14:paraId="71F3B371" w14:textId="77777777" w:rsidR="00146286" w:rsidRDefault="00146286" w:rsidP="00D4495B">
            <w:pPr>
              <w:jc w:val="center"/>
              <w:cnfStyle w:val="100000000000" w:firstRow="1" w:lastRow="0" w:firstColumn="0" w:lastColumn="0" w:oddVBand="0" w:evenVBand="0" w:oddHBand="0" w:evenHBand="0" w:firstRowFirstColumn="0" w:firstRowLastColumn="0" w:lastRowFirstColumn="0" w:lastRowLastColumn="0"/>
            </w:pPr>
            <w:r>
              <w:t>Cumulative Return</w:t>
            </w:r>
          </w:p>
        </w:tc>
        <w:tc>
          <w:tcPr>
            <w:tcW w:w="1879" w:type="dxa"/>
          </w:tcPr>
          <w:p w14:paraId="2D37FB6D" w14:textId="77777777" w:rsidR="00146286" w:rsidRDefault="00146286" w:rsidP="00D4495B">
            <w:pPr>
              <w:jc w:val="center"/>
              <w:cnfStyle w:val="100000000000" w:firstRow="1" w:lastRow="0" w:firstColumn="0" w:lastColumn="0" w:oddVBand="0" w:evenVBand="0" w:oddHBand="0" w:evenHBand="0" w:firstRowFirstColumn="0" w:firstRowLastColumn="0" w:lastRowFirstColumn="0" w:lastRowLastColumn="0"/>
            </w:pPr>
            <w:r>
              <w:t>Daily returns (avg)</w:t>
            </w:r>
          </w:p>
        </w:tc>
        <w:tc>
          <w:tcPr>
            <w:tcW w:w="1740" w:type="dxa"/>
          </w:tcPr>
          <w:p w14:paraId="57B5445C" w14:textId="77777777" w:rsidR="00146286" w:rsidRDefault="00146286" w:rsidP="00D4495B">
            <w:pPr>
              <w:jc w:val="center"/>
              <w:cnfStyle w:val="100000000000" w:firstRow="1" w:lastRow="0" w:firstColumn="0" w:lastColumn="0" w:oddVBand="0" w:evenVBand="0" w:oddHBand="0" w:evenHBand="0" w:firstRowFirstColumn="0" w:firstRowLastColumn="0" w:lastRowFirstColumn="0" w:lastRowLastColumn="0"/>
            </w:pPr>
            <w:r>
              <w:t>Daily returns (std)</w:t>
            </w:r>
          </w:p>
        </w:tc>
      </w:tr>
      <w:tr w:rsidR="00146286" w14:paraId="22A66B6E" w14:textId="77777777" w:rsidTr="00D44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57CC70DC" w14:textId="77777777" w:rsidR="00146286" w:rsidRDefault="00146286" w:rsidP="00D4495B">
            <w:r>
              <w:t>In-sample</w:t>
            </w:r>
          </w:p>
        </w:tc>
        <w:tc>
          <w:tcPr>
            <w:tcW w:w="1946" w:type="dxa"/>
          </w:tcPr>
          <w:p w14:paraId="59128D39" w14:textId="77777777" w:rsidR="00146286" w:rsidRDefault="00146286" w:rsidP="00D4495B">
            <w:pPr>
              <w:jc w:val="center"/>
              <w:cnfStyle w:val="000000100000" w:firstRow="0" w:lastRow="0" w:firstColumn="0" w:lastColumn="0" w:oddVBand="0" w:evenVBand="0" w:oddHBand="1" w:evenHBand="0" w:firstRowFirstColumn="0" w:firstRowLastColumn="0" w:lastRowFirstColumn="0" w:lastRowLastColumn="0"/>
            </w:pPr>
            <w:r>
              <w:t>$136,557.25</w:t>
            </w:r>
          </w:p>
        </w:tc>
        <w:tc>
          <w:tcPr>
            <w:tcW w:w="2061" w:type="dxa"/>
          </w:tcPr>
          <w:p w14:paraId="37C0B3BA" w14:textId="77777777" w:rsidR="00146286" w:rsidRDefault="00146286" w:rsidP="00D4495B">
            <w:pPr>
              <w:jc w:val="center"/>
              <w:cnfStyle w:val="000000100000" w:firstRow="0" w:lastRow="0" w:firstColumn="0" w:lastColumn="0" w:oddVBand="0" w:evenVBand="0" w:oddHBand="1" w:evenHBand="0" w:firstRowFirstColumn="0" w:firstRowLastColumn="0" w:lastRowFirstColumn="0" w:lastRowLastColumn="0"/>
            </w:pPr>
            <w:r>
              <w:t>0.3655725</w:t>
            </w:r>
          </w:p>
        </w:tc>
        <w:tc>
          <w:tcPr>
            <w:tcW w:w="1879" w:type="dxa"/>
          </w:tcPr>
          <w:p w14:paraId="76BBAF3F" w14:textId="77777777" w:rsidR="00146286" w:rsidRDefault="00146286" w:rsidP="00D4495B">
            <w:pPr>
              <w:jc w:val="center"/>
              <w:cnfStyle w:val="000000100000" w:firstRow="0" w:lastRow="0" w:firstColumn="0" w:lastColumn="0" w:oddVBand="0" w:evenVBand="0" w:oddHBand="1" w:evenHBand="0" w:firstRowFirstColumn="0" w:firstRowLastColumn="0" w:lastRowFirstColumn="0" w:lastRowLastColumn="0"/>
            </w:pPr>
            <w:r w:rsidRPr="00A9093E">
              <w:t>0.000666083096356</w:t>
            </w:r>
          </w:p>
        </w:tc>
        <w:tc>
          <w:tcPr>
            <w:tcW w:w="1740" w:type="dxa"/>
          </w:tcPr>
          <w:p w14:paraId="193F0B6F" w14:textId="77777777" w:rsidR="00146286" w:rsidRDefault="00146286" w:rsidP="00D4495B">
            <w:pPr>
              <w:jc w:val="center"/>
              <w:cnfStyle w:val="000000100000" w:firstRow="0" w:lastRow="0" w:firstColumn="0" w:lastColumn="0" w:oddVBand="0" w:evenVBand="0" w:oddHBand="1" w:evenHBand="0" w:firstRowFirstColumn="0" w:firstRowLastColumn="0" w:lastRowFirstColumn="0" w:lastRowLastColumn="0"/>
            </w:pPr>
            <w:r w:rsidRPr="00A9093E">
              <w:t>0.00978090198654</w:t>
            </w:r>
          </w:p>
        </w:tc>
      </w:tr>
      <w:tr w:rsidR="00146286" w14:paraId="4FF38EE9" w14:textId="77777777" w:rsidTr="00D4495B">
        <w:trPr>
          <w:trHeight w:val="422"/>
        </w:trPr>
        <w:tc>
          <w:tcPr>
            <w:cnfStyle w:val="001000000000" w:firstRow="0" w:lastRow="0" w:firstColumn="1" w:lastColumn="0" w:oddVBand="0" w:evenVBand="0" w:oddHBand="0" w:evenHBand="0" w:firstRowFirstColumn="0" w:firstRowLastColumn="0" w:lastRowFirstColumn="0" w:lastRowLastColumn="0"/>
            <w:tcW w:w="1724" w:type="dxa"/>
          </w:tcPr>
          <w:p w14:paraId="65742716" w14:textId="77777777" w:rsidR="00146286" w:rsidRDefault="00146286" w:rsidP="00D4495B">
            <w:r>
              <w:t>Out-of-sample</w:t>
            </w:r>
          </w:p>
        </w:tc>
        <w:tc>
          <w:tcPr>
            <w:tcW w:w="1946" w:type="dxa"/>
          </w:tcPr>
          <w:p w14:paraId="340C65D0" w14:textId="77777777" w:rsidR="00146286" w:rsidRDefault="00146286" w:rsidP="00D4495B">
            <w:pPr>
              <w:jc w:val="center"/>
              <w:cnfStyle w:val="000000000000" w:firstRow="0" w:lastRow="0" w:firstColumn="0" w:lastColumn="0" w:oddVBand="0" w:evenVBand="0" w:oddHBand="0" w:evenHBand="0" w:firstRowFirstColumn="0" w:firstRowLastColumn="0" w:lastRowFirstColumn="0" w:lastRowLastColumn="0"/>
            </w:pPr>
            <w:r>
              <w:t>$111,404.1</w:t>
            </w:r>
          </w:p>
        </w:tc>
        <w:tc>
          <w:tcPr>
            <w:tcW w:w="2061" w:type="dxa"/>
          </w:tcPr>
          <w:p w14:paraId="5AAAA8D7" w14:textId="77777777" w:rsidR="00146286" w:rsidRDefault="00146286" w:rsidP="00D4495B">
            <w:pPr>
              <w:jc w:val="center"/>
              <w:cnfStyle w:val="000000000000" w:firstRow="0" w:lastRow="0" w:firstColumn="0" w:lastColumn="0" w:oddVBand="0" w:evenVBand="0" w:oddHBand="0" w:evenHBand="0" w:firstRowFirstColumn="0" w:firstRowLastColumn="0" w:lastRowFirstColumn="0" w:lastRowLastColumn="0"/>
            </w:pPr>
            <w:r w:rsidRPr="00F34463">
              <w:t>0.114041</w:t>
            </w:r>
          </w:p>
        </w:tc>
        <w:tc>
          <w:tcPr>
            <w:tcW w:w="1879" w:type="dxa"/>
          </w:tcPr>
          <w:p w14:paraId="601C167F" w14:textId="77777777" w:rsidR="00146286" w:rsidRDefault="00146286" w:rsidP="00D4495B">
            <w:pPr>
              <w:jc w:val="center"/>
              <w:cnfStyle w:val="000000000000" w:firstRow="0" w:lastRow="0" w:firstColumn="0" w:lastColumn="0" w:oddVBand="0" w:evenVBand="0" w:oddHBand="0" w:evenHBand="0" w:firstRowFirstColumn="0" w:firstRowLastColumn="0" w:lastRowFirstColumn="0" w:lastRowLastColumn="0"/>
            </w:pPr>
            <w:r w:rsidRPr="00F34463">
              <w:t>0.000231729061093</w:t>
            </w:r>
          </w:p>
        </w:tc>
        <w:tc>
          <w:tcPr>
            <w:tcW w:w="1740" w:type="dxa"/>
          </w:tcPr>
          <w:p w14:paraId="3097F089" w14:textId="77777777" w:rsidR="00146286" w:rsidRDefault="00146286" w:rsidP="00D4495B">
            <w:pPr>
              <w:jc w:val="center"/>
              <w:cnfStyle w:val="000000000000" w:firstRow="0" w:lastRow="0" w:firstColumn="0" w:lastColumn="0" w:oddVBand="0" w:evenVBand="0" w:oddHBand="0" w:evenHBand="0" w:firstRowFirstColumn="0" w:firstRowLastColumn="0" w:lastRowFirstColumn="0" w:lastRowLastColumn="0"/>
            </w:pPr>
            <w:r w:rsidRPr="00F34463">
              <w:t>0.00584239915918</w:t>
            </w:r>
          </w:p>
        </w:tc>
      </w:tr>
    </w:tbl>
    <w:p w14:paraId="2B965B41" w14:textId="7A654624" w:rsidR="00146286" w:rsidRDefault="00146286" w:rsidP="00810E81"/>
    <w:p w14:paraId="6778F018" w14:textId="3053BBAC" w:rsidR="0013771E" w:rsidRDefault="0013771E" w:rsidP="00810E81"/>
    <w:p w14:paraId="66483DBD" w14:textId="77777777" w:rsidR="0013771E" w:rsidRDefault="0013771E" w:rsidP="00810E81"/>
    <w:p w14:paraId="7C756C20" w14:textId="1A40BDEE" w:rsidR="0013771E" w:rsidRDefault="00146286" w:rsidP="00810E81">
      <w:r>
        <w:rPr>
          <w:noProof/>
          <w:sz w:val="22"/>
          <w:szCs w:val="22"/>
        </w:rPr>
        <w:drawing>
          <wp:anchor distT="0" distB="0" distL="114300" distR="114300" simplePos="0" relativeHeight="251673600" behindDoc="1" locked="0" layoutInCell="1" allowOverlap="1" wp14:anchorId="0EBA9602" wp14:editId="7C19457C">
            <wp:simplePos x="0" y="0"/>
            <wp:positionH relativeFrom="column">
              <wp:posOffset>3025775</wp:posOffset>
            </wp:positionH>
            <wp:positionV relativeFrom="paragraph">
              <wp:posOffset>-341630</wp:posOffset>
            </wp:positionV>
            <wp:extent cx="3163570" cy="2505075"/>
            <wp:effectExtent l="0" t="0" r="1143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ualStrategyvsBenchmark-InSample.png"/>
                    <pic:cNvPicPr/>
                  </pic:nvPicPr>
                  <pic:blipFill>
                    <a:blip r:embed="rId15">
                      <a:extLst>
                        <a:ext uri="{28A0092B-C50C-407E-A947-70E740481C1C}">
                          <a14:useLocalDpi xmlns:a14="http://schemas.microsoft.com/office/drawing/2010/main" val="0"/>
                        </a:ext>
                      </a:extLst>
                    </a:blip>
                    <a:stretch>
                      <a:fillRect/>
                    </a:stretch>
                  </pic:blipFill>
                  <pic:spPr>
                    <a:xfrm>
                      <a:off x="0" y="0"/>
                      <a:ext cx="3163570" cy="2505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3E94385B" wp14:editId="5621E173">
            <wp:simplePos x="0" y="0"/>
            <wp:positionH relativeFrom="column">
              <wp:posOffset>-403860</wp:posOffset>
            </wp:positionH>
            <wp:positionV relativeFrom="paragraph">
              <wp:posOffset>-344805</wp:posOffset>
            </wp:positionV>
            <wp:extent cx="3218688" cy="2505456"/>
            <wp:effectExtent l="0" t="0" r="762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ualStrategyvsBenchmark-OutofSample.png"/>
                    <pic:cNvPicPr/>
                  </pic:nvPicPr>
                  <pic:blipFill>
                    <a:blip r:embed="rId16">
                      <a:extLst>
                        <a:ext uri="{28A0092B-C50C-407E-A947-70E740481C1C}">
                          <a14:useLocalDpi xmlns:a14="http://schemas.microsoft.com/office/drawing/2010/main" val="0"/>
                        </a:ext>
                      </a:extLst>
                    </a:blip>
                    <a:stretch>
                      <a:fillRect/>
                    </a:stretch>
                  </pic:blipFill>
                  <pic:spPr>
                    <a:xfrm>
                      <a:off x="0" y="0"/>
                      <a:ext cx="3218688" cy="2505456"/>
                    </a:xfrm>
                    <a:prstGeom prst="rect">
                      <a:avLst/>
                    </a:prstGeom>
                  </pic:spPr>
                </pic:pic>
              </a:graphicData>
            </a:graphic>
            <wp14:sizeRelH relativeFrom="page">
              <wp14:pctWidth>0</wp14:pctWidth>
            </wp14:sizeRelH>
            <wp14:sizeRelV relativeFrom="page">
              <wp14:pctHeight>0</wp14:pctHeight>
            </wp14:sizeRelV>
          </wp:anchor>
        </w:drawing>
      </w:r>
    </w:p>
    <w:p w14:paraId="3FC1FA1E" w14:textId="77777777" w:rsidR="0013771E" w:rsidRDefault="0013771E" w:rsidP="00810E81"/>
    <w:p w14:paraId="0FA5195B" w14:textId="77777777" w:rsidR="0013771E" w:rsidRDefault="0013771E" w:rsidP="00810E81"/>
    <w:p w14:paraId="33B0C486" w14:textId="771F6002" w:rsidR="0013771E" w:rsidRDefault="0013771E" w:rsidP="00810E81"/>
    <w:p w14:paraId="4DBE6400" w14:textId="77777777" w:rsidR="00146286" w:rsidRDefault="00146286" w:rsidP="00810E81"/>
    <w:p w14:paraId="1A01062B" w14:textId="77777777" w:rsidR="00146286" w:rsidRDefault="00146286" w:rsidP="00810E81"/>
    <w:p w14:paraId="34565D37" w14:textId="0C870C55" w:rsidR="00146286" w:rsidRDefault="00C35548" w:rsidP="00810E81">
      <w:r>
        <w:rPr>
          <w:noProof/>
        </w:rPr>
        <w:drawing>
          <wp:anchor distT="0" distB="0" distL="114300" distR="114300" simplePos="0" relativeHeight="251674624" behindDoc="1" locked="0" layoutInCell="1" allowOverlap="1" wp14:anchorId="1C429103" wp14:editId="1A3BF6C3">
            <wp:simplePos x="0" y="0"/>
            <wp:positionH relativeFrom="column">
              <wp:posOffset>-404495</wp:posOffset>
            </wp:positionH>
            <wp:positionV relativeFrom="paragraph">
              <wp:posOffset>338455</wp:posOffset>
            </wp:positionV>
            <wp:extent cx="3218688" cy="2505456"/>
            <wp:effectExtent l="0" t="0" r="762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cesforJPM-OutofSample.png"/>
                    <pic:cNvPicPr/>
                  </pic:nvPicPr>
                  <pic:blipFill>
                    <a:blip r:embed="rId17">
                      <a:extLst>
                        <a:ext uri="{28A0092B-C50C-407E-A947-70E740481C1C}">
                          <a14:useLocalDpi xmlns:a14="http://schemas.microsoft.com/office/drawing/2010/main" val="0"/>
                        </a:ext>
                      </a:extLst>
                    </a:blip>
                    <a:stretch>
                      <a:fillRect/>
                    </a:stretch>
                  </pic:blipFill>
                  <pic:spPr>
                    <a:xfrm>
                      <a:off x="0" y="0"/>
                      <a:ext cx="3218688" cy="2505456"/>
                    </a:xfrm>
                    <a:prstGeom prst="rect">
                      <a:avLst/>
                    </a:prstGeom>
                  </pic:spPr>
                </pic:pic>
              </a:graphicData>
            </a:graphic>
            <wp14:sizeRelH relativeFrom="page">
              <wp14:pctWidth>0</wp14:pctWidth>
            </wp14:sizeRelH>
            <wp14:sizeRelV relativeFrom="page">
              <wp14:pctHeight>0</wp14:pctHeight>
            </wp14:sizeRelV>
          </wp:anchor>
        </w:drawing>
      </w:r>
    </w:p>
    <w:p w14:paraId="7042C64B" w14:textId="79CA594F" w:rsidR="00146286" w:rsidRDefault="00C35548" w:rsidP="00810E81">
      <w:r>
        <w:rPr>
          <w:noProof/>
        </w:rPr>
        <w:drawing>
          <wp:anchor distT="0" distB="0" distL="114300" distR="114300" simplePos="0" relativeHeight="251676672" behindDoc="1" locked="0" layoutInCell="1" allowOverlap="1" wp14:anchorId="6F2BE316" wp14:editId="16D90263">
            <wp:simplePos x="0" y="0"/>
            <wp:positionH relativeFrom="column">
              <wp:posOffset>3023870</wp:posOffset>
            </wp:positionH>
            <wp:positionV relativeFrom="paragraph">
              <wp:posOffset>31115</wp:posOffset>
            </wp:positionV>
            <wp:extent cx="3154680" cy="2505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cesForJPM.png"/>
                    <pic:cNvPicPr/>
                  </pic:nvPicPr>
                  <pic:blipFill>
                    <a:blip r:embed="rId8">
                      <a:extLst>
                        <a:ext uri="{28A0092B-C50C-407E-A947-70E740481C1C}">
                          <a14:useLocalDpi xmlns:a14="http://schemas.microsoft.com/office/drawing/2010/main" val="0"/>
                        </a:ext>
                      </a:extLst>
                    </a:blip>
                    <a:stretch>
                      <a:fillRect/>
                    </a:stretch>
                  </pic:blipFill>
                  <pic:spPr>
                    <a:xfrm>
                      <a:off x="0" y="0"/>
                      <a:ext cx="3154680" cy="2505075"/>
                    </a:xfrm>
                    <a:prstGeom prst="rect">
                      <a:avLst/>
                    </a:prstGeom>
                  </pic:spPr>
                </pic:pic>
              </a:graphicData>
            </a:graphic>
            <wp14:sizeRelH relativeFrom="page">
              <wp14:pctWidth>0</wp14:pctWidth>
            </wp14:sizeRelH>
            <wp14:sizeRelV relativeFrom="page">
              <wp14:pctHeight>0</wp14:pctHeight>
            </wp14:sizeRelV>
          </wp:anchor>
        </w:drawing>
      </w:r>
    </w:p>
    <w:p w14:paraId="0D888B07" w14:textId="134FDC7D" w:rsidR="00146286" w:rsidRDefault="00146286" w:rsidP="00F34463"/>
    <w:p w14:paraId="66EF05E2" w14:textId="0C944A74" w:rsidR="00146286" w:rsidRDefault="00146286" w:rsidP="00F34463"/>
    <w:p w14:paraId="7AC190A8" w14:textId="77777777" w:rsidR="00146286" w:rsidRDefault="00146286" w:rsidP="00F34463"/>
    <w:p w14:paraId="6ED769E6" w14:textId="77777777" w:rsidR="00146286" w:rsidRDefault="00146286" w:rsidP="00F34463"/>
    <w:p w14:paraId="590699E9" w14:textId="77777777" w:rsidR="00146286" w:rsidRDefault="00146286" w:rsidP="00F34463"/>
    <w:p w14:paraId="6D4B5523" w14:textId="77777777" w:rsidR="00146286" w:rsidRDefault="00146286" w:rsidP="00F34463"/>
    <w:p w14:paraId="7E0E0337" w14:textId="77777777" w:rsidR="00146286" w:rsidRDefault="00146286" w:rsidP="00F34463"/>
    <w:p w14:paraId="7A9E5D92" w14:textId="77777777" w:rsidR="00146286" w:rsidRDefault="00146286" w:rsidP="00F34463"/>
    <w:p w14:paraId="18A4EF94" w14:textId="25C90966" w:rsidR="00146286" w:rsidRPr="0004757B" w:rsidRDefault="00F033A3" w:rsidP="0004757B">
      <w:pPr>
        <w:spacing w:line="240" w:lineRule="auto"/>
        <w:jc w:val="both"/>
        <w:rPr>
          <w:sz w:val="22"/>
          <w:szCs w:val="22"/>
        </w:rPr>
      </w:pPr>
      <w:r w:rsidRPr="0004757B">
        <w:rPr>
          <w:sz w:val="22"/>
          <w:szCs w:val="22"/>
        </w:rPr>
        <w:t>Notice how the rule-based strategy still performed reasonably well on the out-of-sample period beating the benchmark again</w:t>
      </w:r>
      <w:r w:rsidR="00F34463" w:rsidRPr="0004757B">
        <w:rPr>
          <w:sz w:val="22"/>
          <w:szCs w:val="22"/>
        </w:rPr>
        <w:t xml:space="preserve"> </w:t>
      </w:r>
      <w:r w:rsidR="009E144C">
        <w:rPr>
          <w:sz w:val="22"/>
          <w:szCs w:val="22"/>
        </w:rPr>
        <w:t xml:space="preserve">meaning </w:t>
      </w:r>
      <w:r w:rsidR="00F34463" w:rsidRPr="0004757B">
        <w:rPr>
          <w:sz w:val="22"/>
          <w:szCs w:val="22"/>
        </w:rPr>
        <w:t xml:space="preserve">this strategy </w:t>
      </w:r>
      <w:r w:rsidR="009E144C">
        <w:rPr>
          <w:sz w:val="22"/>
          <w:szCs w:val="22"/>
        </w:rPr>
        <w:t>can be considered</w:t>
      </w:r>
      <w:r w:rsidR="00F34463" w:rsidRPr="0004757B">
        <w:rPr>
          <w:sz w:val="22"/>
          <w:szCs w:val="22"/>
        </w:rPr>
        <w:t xml:space="preserve"> effective! However, its performance is clearly not as great as it is in the in-sample period: in the out-of-sample period, the trader generated only 11% cumulative return in contrast to t</w:t>
      </w:r>
      <w:r w:rsidR="00146286" w:rsidRPr="0004757B">
        <w:rPr>
          <w:sz w:val="22"/>
          <w:szCs w:val="22"/>
        </w:rPr>
        <w:t>he 36% of the in-sample period.</w:t>
      </w:r>
    </w:p>
    <w:p w14:paraId="35EE38CA" w14:textId="4F1648F4" w:rsidR="0004757B" w:rsidRDefault="00146286" w:rsidP="0004757B">
      <w:pPr>
        <w:spacing w:line="240" w:lineRule="auto"/>
        <w:jc w:val="both"/>
      </w:pPr>
      <w:r w:rsidRPr="0004757B">
        <w:rPr>
          <w:sz w:val="22"/>
          <w:szCs w:val="22"/>
        </w:rPr>
        <w:t xml:space="preserve">From the </w:t>
      </w:r>
      <w:r w:rsidR="009E1C1C" w:rsidRPr="0004757B">
        <w:rPr>
          <w:sz w:val="22"/>
          <w:szCs w:val="22"/>
        </w:rPr>
        <w:t>graphs, it can be noticed that one of the key difference</w:t>
      </w:r>
      <w:r w:rsidR="001D63BF">
        <w:rPr>
          <w:sz w:val="22"/>
          <w:szCs w:val="22"/>
        </w:rPr>
        <w:t>s</w:t>
      </w:r>
      <w:r w:rsidR="009E1C1C" w:rsidRPr="0004757B">
        <w:rPr>
          <w:sz w:val="22"/>
          <w:szCs w:val="22"/>
        </w:rPr>
        <w:t xml:space="preserve"> is that, </w:t>
      </w:r>
      <w:r w:rsidRPr="0004757B">
        <w:rPr>
          <w:sz w:val="22"/>
          <w:szCs w:val="22"/>
        </w:rPr>
        <w:t xml:space="preserve">during the out-of-sample period, the trader entered more LONG positions; however, the prices of the stock during that time happened to have more </w:t>
      </w:r>
      <w:r w:rsidR="00C35548" w:rsidRPr="0004757B">
        <w:rPr>
          <w:sz w:val="22"/>
          <w:szCs w:val="22"/>
        </w:rPr>
        <w:t xml:space="preserve">drops which </w:t>
      </w:r>
      <w:r w:rsidR="001D63BF">
        <w:rPr>
          <w:sz w:val="22"/>
          <w:szCs w:val="22"/>
        </w:rPr>
        <w:t>means</w:t>
      </w:r>
      <w:r w:rsidR="00C35548" w:rsidRPr="0004757B">
        <w:rPr>
          <w:sz w:val="22"/>
          <w:szCs w:val="22"/>
        </w:rPr>
        <w:t xml:space="preserve"> that the strategy was not making the right decisions</w:t>
      </w:r>
      <w:r w:rsidR="0004757B" w:rsidRPr="0004757B">
        <w:rPr>
          <w:sz w:val="22"/>
          <w:szCs w:val="22"/>
        </w:rPr>
        <w:t xml:space="preserve">. This suggests that the rules that looked for SHORT positions were not indicative enough. One possible solution to this problem is to introduce more </w:t>
      </w:r>
      <w:r w:rsidR="0004757B" w:rsidRPr="0004757B">
        <w:rPr>
          <w:i/>
          <w:sz w:val="22"/>
          <w:szCs w:val="22"/>
        </w:rPr>
        <w:t>momentum-based</w:t>
      </w:r>
      <w:r w:rsidR="0004757B" w:rsidRPr="0004757B">
        <w:rPr>
          <w:sz w:val="22"/>
          <w:szCs w:val="22"/>
        </w:rPr>
        <w:t xml:space="preserve"> indicators that can detect and increase the confidence that the price will drop.</w:t>
      </w:r>
    </w:p>
    <w:p w14:paraId="481D6545" w14:textId="3F6BDC45" w:rsidR="00810E81" w:rsidRDefault="0004757B" w:rsidP="0004757B">
      <w:pPr>
        <w:pStyle w:val="Heading1"/>
      </w:pPr>
      <w:r>
        <w:t>Conclusion</w:t>
      </w:r>
    </w:p>
    <w:p w14:paraId="028B79EE" w14:textId="254C4485" w:rsidR="002C7291" w:rsidRPr="0087121E" w:rsidRDefault="0004757B" w:rsidP="0087121E">
      <w:pPr>
        <w:spacing w:line="240" w:lineRule="auto"/>
        <w:jc w:val="both"/>
        <w:rPr>
          <w:sz w:val="22"/>
          <w:szCs w:val="22"/>
        </w:rPr>
      </w:pPr>
      <w:r w:rsidRPr="0087121E">
        <w:rPr>
          <w:sz w:val="22"/>
          <w:szCs w:val="22"/>
        </w:rPr>
        <w:t>In this project, four technical indicators were implemented and used to develop a manual rule-based strategy to detect LONG/SHORT and closing positions. By testing the strategy against in-sample and out-of-sample periods, it was shown that it is effective</w:t>
      </w:r>
      <w:r w:rsidR="009C5D03">
        <w:rPr>
          <w:sz w:val="22"/>
          <w:szCs w:val="22"/>
        </w:rPr>
        <w:t>,</w:t>
      </w:r>
      <w:r w:rsidRPr="0087121E">
        <w:rPr>
          <w:sz w:val="22"/>
          <w:szCs w:val="22"/>
        </w:rPr>
        <w:t xml:space="preserve"> beating the benchmark and generating revenue. Nevertheless, the strategy is not perfect</w:t>
      </w:r>
      <w:r w:rsidR="009C5D03">
        <w:rPr>
          <w:sz w:val="22"/>
          <w:szCs w:val="22"/>
        </w:rPr>
        <w:t>,</w:t>
      </w:r>
      <w:r w:rsidRPr="0087121E">
        <w:rPr>
          <w:sz w:val="22"/>
          <w:szCs w:val="22"/>
        </w:rPr>
        <w:t xml:space="preserve"> showing weaknesses </w:t>
      </w:r>
      <w:r w:rsidR="009C5D03">
        <w:rPr>
          <w:sz w:val="22"/>
          <w:szCs w:val="22"/>
        </w:rPr>
        <w:t xml:space="preserve">in </w:t>
      </w:r>
      <w:r w:rsidR="00881E8C" w:rsidRPr="0087121E">
        <w:rPr>
          <w:sz w:val="22"/>
          <w:szCs w:val="22"/>
        </w:rPr>
        <w:t xml:space="preserve">identifying shorting opportunities </w:t>
      </w:r>
      <w:r w:rsidR="009C5D03">
        <w:rPr>
          <w:sz w:val="22"/>
          <w:szCs w:val="22"/>
        </w:rPr>
        <w:t>during</w:t>
      </w:r>
      <w:r w:rsidR="00881E8C" w:rsidRPr="0087121E">
        <w:rPr>
          <w:sz w:val="22"/>
          <w:szCs w:val="22"/>
        </w:rPr>
        <w:t xml:space="preserve"> continuous drops in prices</w:t>
      </w:r>
      <w:r w:rsidR="002C7291" w:rsidRPr="0087121E">
        <w:rPr>
          <w:sz w:val="22"/>
          <w:szCs w:val="22"/>
        </w:rPr>
        <w:t xml:space="preserve">. This provides </w:t>
      </w:r>
      <w:r w:rsidR="009C5D03">
        <w:rPr>
          <w:sz w:val="22"/>
          <w:szCs w:val="22"/>
        </w:rPr>
        <w:t>area</w:t>
      </w:r>
      <w:r w:rsidR="002C7291" w:rsidRPr="0087121E">
        <w:rPr>
          <w:sz w:val="22"/>
          <w:szCs w:val="22"/>
        </w:rPr>
        <w:t xml:space="preserve"> for improvement, by possibly introducing other momentum-based indicators, in hopes of getting closer to the idealistic</w:t>
      </w:r>
      <w:r w:rsidR="009C5D03">
        <w:rPr>
          <w:sz w:val="22"/>
          <w:szCs w:val="22"/>
        </w:rPr>
        <w:t xml:space="preserve"> upper-bound performance</w:t>
      </w:r>
      <w:bookmarkStart w:id="0" w:name="_GoBack"/>
      <w:bookmarkEnd w:id="0"/>
      <w:r w:rsidR="002C7291" w:rsidRPr="0087121E">
        <w:rPr>
          <w:sz w:val="22"/>
          <w:szCs w:val="22"/>
        </w:rPr>
        <w:t>.</w:t>
      </w:r>
    </w:p>
    <w:sectPr w:rsidR="002C7291" w:rsidRPr="0087121E" w:rsidSect="00D53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082FF" w14:textId="77777777" w:rsidR="00B073FA" w:rsidRDefault="00B073FA" w:rsidP="00012EA1">
      <w:pPr>
        <w:spacing w:before="0" w:after="0" w:line="240" w:lineRule="auto"/>
      </w:pPr>
      <w:r>
        <w:separator/>
      </w:r>
    </w:p>
  </w:endnote>
  <w:endnote w:type="continuationSeparator" w:id="0">
    <w:p w14:paraId="0C0E4048" w14:textId="77777777" w:rsidR="00B073FA" w:rsidRDefault="00B073FA" w:rsidP="00012E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855A8" w14:textId="77777777" w:rsidR="00B073FA" w:rsidRDefault="00B073FA" w:rsidP="00012EA1">
      <w:pPr>
        <w:spacing w:before="0" w:after="0" w:line="240" w:lineRule="auto"/>
      </w:pPr>
      <w:r>
        <w:separator/>
      </w:r>
    </w:p>
  </w:footnote>
  <w:footnote w:type="continuationSeparator" w:id="0">
    <w:p w14:paraId="3254CB61" w14:textId="77777777" w:rsidR="00B073FA" w:rsidRDefault="00B073FA" w:rsidP="00012EA1">
      <w:pPr>
        <w:spacing w:before="0" w:after="0" w:line="240" w:lineRule="auto"/>
      </w:pPr>
      <w:r>
        <w:continuationSeparator/>
      </w:r>
    </w:p>
  </w:footnote>
  <w:footnote w:id="1">
    <w:p w14:paraId="1CF71790" w14:textId="3162F0A9" w:rsidR="00012EA1" w:rsidRPr="00012EA1" w:rsidRDefault="00012EA1">
      <w:pPr>
        <w:pStyle w:val="FootnoteText"/>
        <w:rPr>
          <w:sz w:val="22"/>
          <w:szCs w:val="22"/>
        </w:rPr>
      </w:pPr>
      <w:r w:rsidRPr="00012EA1">
        <w:rPr>
          <w:rStyle w:val="FootnoteReference"/>
          <w:sz w:val="22"/>
          <w:szCs w:val="22"/>
        </w:rPr>
        <w:footnoteRef/>
      </w:r>
      <w:r w:rsidRPr="00012EA1">
        <w:rPr>
          <w:sz w:val="22"/>
          <w:szCs w:val="22"/>
        </w:rPr>
        <w:t xml:space="preserve"> http://www.investopedia.com/terms/m/mfi.asp</w:t>
      </w:r>
    </w:p>
  </w:footnote>
  <w:footnote w:id="2">
    <w:p w14:paraId="63E91C2E" w14:textId="0940D1A6" w:rsidR="00FF29C1" w:rsidRDefault="00FF29C1">
      <w:pPr>
        <w:pStyle w:val="FootnoteText"/>
      </w:pPr>
      <w:r>
        <w:rPr>
          <w:rStyle w:val="FootnoteReference"/>
        </w:rPr>
        <w:footnoteRef/>
      </w:r>
      <w:r>
        <w:t xml:space="preserve"> </w:t>
      </w:r>
      <w:r w:rsidRPr="00FF29C1">
        <w:rPr>
          <w:sz w:val="22"/>
          <w:szCs w:val="22"/>
        </w:rPr>
        <w:t>This value was chosen arbitrarily and does not correspond to any formal definition.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1478"/>
    <w:multiLevelType w:val="multilevel"/>
    <w:tmpl w:val="F6B2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25981"/>
    <w:multiLevelType w:val="hybridMultilevel"/>
    <w:tmpl w:val="FAC86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75365"/>
    <w:multiLevelType w:val="multilevel"/>
    <w:tmpl w:val="2F7A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591461"/>
    <w:multiLevelType w:val="multilevel"/>
    <w:tmpl w:val="F3E8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6B096C"/>
    <w:multiLevelType w:val="hybridMultilevel"/>
    <w:tmpl w:val="38C0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00FE7"/>
    <w:multiLevelType w:val="hybridMultilevel"/>
    <w:tmpl w:val="FAC86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25584F"/>
    <w:multiLevelType w:val="hybridMultilevel"/>
    <w:tmpl w:val="26DC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F571A9"/>
    <w:multiLevelType w:val="multilevel"/>
    <w:tmpl w:val="3E5E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F55C26"/>
    <w:multiLevelType w:val="hybridMultilevel"/>
    <w:tmpl w:val="B7CA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D7DAB"/>
    <w:multiLevelType w:val="multilevel"/>
    <w:tmpl w:val="C61A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824B10"/>
    <w:multiLevelType w:val="hybridMultilevel"/>
    <w:tmpl w:val="BCEA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8B05F3"/>
    <w:multiLevelType w:val="hybridMultilevel"/>
    <w:tmpl w:val="EB0CB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F04533"/>
    <w:multiLevelType w:val="multilevel"/>
    <w:tmpl w:val="E042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9B1CEB"/>
    <w:multiLevelType w:val="multilevel"/>
    <w:tmpl w:val="2FBC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D83060"/>
    <w:multiLevelType w:val="multilevel"/>
    <w:tmpl w:val="0DB0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0C5D6E"/>
    <w:multiLevelType w:val="multilevel"/>
    <w:tmpl w:val="217E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D12545"/>
    <w:multiLevelType w:val="multilevel"/>
    <w:tmpl w:val="EAC0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911139"/>
    <w:multiLevelType w:val="hybridMultilevel"/>
    <w:tmpl w:val="26DC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E4B18"/>
    <w:multiLevelType w:val="multilevel"/>
    <w:tmpl w:val="4B9C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9A6CA9"/>
    <w:multiLevelType w:val="multilevel"/>
    <w:tmpl w:val="AD02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BF5DC1"/>
    <w:multiLevelType w:val="hybridMultilevel"/>
    <w:tmpl w:val="E2603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C453DE"/>
    <w:multiLevelType w:val="multilevel"/>
    <w:tmpl w:val="4BC6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13"/>
  </w:num>
  <w:num w:numId="4">
    <w:abstractNumId w:val="0"/>
  </w:num>
  <w:num w:numId="5">
    <w:abstractNumId w:val="21"/>
  </w:num>
  <w:num w:numId="6">
    <w:abstractNumId w:val="9"/>
  </w:num>
  <w:num w:numId="7">
    <w:abstractNumId w:val="2"/>
  </w:num>
  <w:num w:numId="8">
    <w:abstractNumId w:val="3"/>
  </w:num>
  <w:num w:numId="9">
    <w:abstractNumId w:val="12"/>
  </w:num>
  <w:num w:numId="10">
    <w:abstractNumId w:val="14"/>
  </w:num>
  <w:num w:numId="11">
    <w:abstractNumId w:val="19"/>
  </w:num>
  <w:num w:numId="12">
    <w:abstractNumId w:val="18"/>
  </w:num>
  <w:num w:numId="13">
    <w:abstractNumId w:val="11"/>
  </w:num>
  <w:num w:numId="14">
    <w:abstractNumId w:val="6"/>
  </w:num>
  <w:num w:numId="15">
    <w:abstractNumId w:val="17"/>
  </w:num>
  <w:num w:numId="16">
    <w:abstractNumId w:val="1"/>
  </w:num>
  <w:num w:numId="17">
    <w:abstractNumId w:val="5"/>
  </w:num>
  <w:num w:numId="18">
    <w:abstractNumId w:val="10"/>
  </w:num>
  <w:num w:numId="19">
    <w:abstractNumId w:val="7"/>
  </w:num>
  <w:num w:numId="20">
    <w:abstractNumId w:val="20"/>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E81"/>
    <w:rsid w:val="00012EA1"/>
    <w:rsid w:val="000360BA"/>
    <w:rsid w:val="000400EB"/>
    <w:rsid w:val="0004757B"/>
    <w:rsid w:val="00062D04"/>
    <w:rsid w:val="00083FC2"/>
    <w:rsid w:val="000A4B6B"/>
    <w:rsid w:val="0011474D"/>
    <w:rsid w:val="00131D05"/>
    <w:rsid w:val="00133603"/>
    <w:rsid w:val="0013771E"/>
    <w:rsid w:val="00143700"/>
    <w:rsid w:val="00146286"/>
    <w:rsid w:val="001722D7"/>
    <w:rsid w:val="0017569C"/>
    <w:rsid w:val="001A5FFA"/>
    <w:rsid w:val="001B7719"/>
    <w:rsid w:val="001D2EBC"/>
    <w:rsid w:val="001D63BF"/>
    <w:rsid w:val="001F529E"/>
    <w:rsid w:val="002025B5"/>
    <w:rsid w:val="002232BA"/>
    <w:rsid w:val="0025245D"/>
    <w:rsid w:val="002C7291"/>
    <w:rsid w:val="002D51F3"/>
    <w:rsid w:val="003307C4"/>
    <w:rsid w:val="00353375"/>
    <w:rsid w:val="00354883"/>
    <w:rsid w:val="003810CC"/>
    <w:rsid w:val="003836A3"/>
    <w:rsid w:val="00416B29"/>
    <w:rsid w:val="004226D4"/>
    <w:rsid w:val="00452167"/>
    <w:rsid w:val="00470AAB"/>
    <w:rsid w:val="004C7CAC"/>
    <w:rsid w:val="004F7B2C"/>
    <w:rsid w:val="005165E6"/>
    <w:rsid w:val="005315D4"/>
    <w:rsid w:val="0054376F"/>
    <w:rsid w:val="00581632"/>
    <w:rsid w:val="005A0AD6"/>
    <w:rsid w:val="005E628B"/>
    <w:rsid w:val="00642691"/>
    <w:rsid w:val="00643083"/>
    <w:rsid w:val="00683045"/>
    <w:rsid w:val="006E51C3"/>
    <w:rsid w:val="00775DC5"/>
    <w:rsid w:val="007806B0"/>
    <w:rsid w:val="007A7410"/>
    <w:rsid w:val="007B34DD"/>
    <w:rsid w:val="007C0DB7"/>
    <w:rsid w:val="007E42F8"/>
    <w:rsid w:val="007F1677"/>
    <w:rsid w:val="008058BC"/>
    <w:rsid w:val="00810E81"/>
    <w:rsid w:val="00842ACE"/>
    <w:rsid w:val="0087121E"/>
    <w:rsid w:val="00881E8C"/>
    <w:rsid w:val="008D2819"/>
    <w:rsid w:val="00937748"/>
    <w:rsid w:val="00946D4F"/>
    <w:rsid w:val="00964AD7"/>
    <w:rsid w:val="00997336"/>
    <w:rsid w:val="009C5D03"/>
    <w:rsid w:val="009E144C"/>
    <w:rsid w:val="009E1C1C"/>
    <w:rsid w:val="00A20A95"/>
    <w:rsid w:val="00A751F5"/>
    <w:rsid w:val="00A86527"/>
    <w:rsid w:val="00A9093E"/>
    <w:rsid w:val="00A9634E"/>
    <w:rsid w:val="00AA57D8"/>
    <w:rsid w:val="00AC04F8"/>
    <w:rsid w:val="00AE353A"/>
    <w:rsid w:val="00AF0F65"/>
    <w:rsid w:val="00B073FA"/>
    <w:rsid w:val="00B135D0"/>
    <w:rsid w:val="00B15329"/>
    <w:rsid w:val="00B554C6"/>
    <w:rsid w:val="00C35548"/>
    <w:rsid w:val="00C426E2"/>
    <w:rsid w:val="00CA0BD5"/>
    <w:rsid w:val="00CD1F9D"/>
    <w:rsid w:val="00CD4DF1"/>
    <w:rsid w:val="00CF08C1"/>
    <w:rsid w:val="00D10BC2"/>
    <w:rsid w:val="00D5385F"/>
    <w:rsid w:val="00D53EC5"/>
    <w:rsid w:val="00D87080"/>
    <w:rsid w:val="00D87B13"/>
    <w:rsid w:val="00DC5C28"/>
    <w:rsid w:val="00E03EF6"/>
    <w:rsid w:val="00E21550"/>
    <w:rsid w:val="00E3570D"/>
    <w:rsid w:val="00E93AFE"/>
    <w:rsid w:val="00EA0E16"/>
    <w:rsid w:val="00EA5240"/>
    <w:rsid w:val="00EB2D90"/>
    <w:rsid w:val="00EF0DB3"/>
    <w:rsid w:val="00F033A3"/>
    <w:rsid w:val="00F32A46"/>
    <w:rsid w:val="00F34463"/>
    <w:rsid w:val="00F34C24"/>
    <w:rsid w:val="00F6465F"/>
    <w:rsid w:val="00F72110"/>
    <w:rsid w:val="00F91FC6"/>
    <w:rsid w:val="00F95ED6"/>
    <w:rsid w:val="00FA013D"/>
    <w:rsid w:val="00FB1B4B"/>
    <w:rsid w:val="00FB20F3"/>
    <w:rsid w:val="00FB4864"/>
    <w:rsid w:val="00FF29C1"/>
    <w:rsid w:val="00FF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18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0E81"/>
    <w:rPr>
      <w:sz w:val="20"/>
      <w:szCs w:val="20"/>
    </w:rPr>
  </w:style>
  <w:style w:type="paragraph" w:styleId="Heading1">
    <w:name w:val="heading 1"/>
    <w:basedOn w:val="Normal"/>
    <w:next w:val="Normal"/>
    <w:link w:val="Heading1Char"/>
    <w:uiPriority w:val="9"/>
    <w:qFormat/>
    <w:rsid w:val="00810E8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10E8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10E8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810E81"/>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810E81"/>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10E81"/>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10E81"/>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10E8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10E8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E81"/>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810E8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10E81"/>
    <w:rPr>
      <w:caps/>
      <w:color w:val="1F3763" w:themeColor="accent1" w:themeShade="7F"/>
      <w:spacing w:val="15"/>
    </w:rPr>
  </w:style>
  <w:style w:type="character" w:customStyle="1" w:styleId="Heading4Char">
    <w:name w:val="Heading 4 Char"/>
    <w:basedOn w:val="DefaultParagraphFont"/>
    <w:link w:val="Heading4"/>
    <w:uiPriority w:val="9"/>
    <w:semiHidden/>
    <w:rsid w:val="00810E81"/>
    <w:rPr>
      <w:caps/>
      <w:color w:val="2F5496" w:themeColor="accent1" w:themeShade="BF"/>
      <w:spacing w:val="10"/>
    </w:rPr>
  </w:style>
  <w:style w:type="character" w:customStyle="1" w:styleId="Heading5Char">
    <w:name w:val="Heading 5 Char"/>
    <w:basedOn w:val="DefaultParagraphFont"/>
    <w:link w:val="Heading5"/>
    <w:uiPriority w:val="9"/>
    <w:semiHidden/>
    <w:rsid w:val="00810E81"/>
    <w:rPr>
      <w:caps/>
      <w:color w:val="2F5496" w:themeColor="accent1" w:themeShade="BF"/>
      <w:spacing w:val="10"/>
    </w:rPr>
  </w:style>
  <w:style w:type="character" w:customStyle="1" w:styleId="Heading6Char">
    <w:name w:val="Heading 6 Char"/>
    <w:basedOn w:val="DefaultParagraphFont"/>
    <w:link w:val="Heading6"/>
    <w:uiPriority w:val="9"/>
    <w:semiHidden/>
    <w:rsid w:val="00810E81"/>
    <w:rPr>
      <w:caps/>
      <w:color w:val="2F5496" w:themeColor="accent1" w:themeShade="BF"/>
      <w:spacing w:val="10"/>
    </w:rPr>
  </w:style>
  <w:style w:type="character" w:customStyle="1" w:styleId="Heading7Char">
    <w:name w:val="Heading 7 Char"/>
    <w:basedOn w:val="DefaultParagraphFont"/>
    <w:link w:val="Heading7"/>
    <w:uiPriority w:val="9"/>
    <w:semiHidden/>
    <w:rsid w:val="00810E81"/>
    <w:rPr>
      <w:caps/>
      <w:color w:val="2F5496" w:themeColor="accent1" w:themeShade="BF"/>
      <w:spacing w:val="10"/>
    </w:rPr>
  </w:style>
  <w:style w:type="character" w:customStyle="1" w:styleId="Heading8Char">
    <w:name w:val="Heading 8 Char"/>
    <w:basedOn w:val="DefaultParagraphFont"/>
    <w:link w:val="Heading8"/>
    <w:uiPriority w:val="9"/>
    <w:semiHidden/>
    <w:rsid w:val="00810E81"/>
    <w:rPr>
      <w:caps/>
      <w:spacing w:val="10"/>
      <w:sz w:val="18"/>
      <w:szCs w:val="18"/>
    </w:rPr>
  </w:style>
  <w:style w:type="character" w:customStyle="1" w:styleId="Heading9Char">
    <w:name w:val="Heading 9 Char"/>
    <w:basedOn w:val="DefaultParagraphFont"/>
    <w:link w:val="Heading9"/>
    <w:uiPriority w:val="9"/>
    <w:semiHidden/>
    <w:rsid w:val="00810E81"/>
    <w:rPr>
      <w:i/>
      <w:caps/>
      <w:spacing w:val="10"/>
      <w:sz w:val="18"/>
      <w:szCs w:val="18"/>
    </w:rPr>
  </w:style>
  <w:style w:type="paragraph" w:styleId="Caption">
    <w:name w:val="caption"/>
    <w:basedOn w:val="Normal"/>
    <w:next w:val="Normal"/>
    <w:uiPriority w:val="35"/>
    <w:semiHidden/>
    <w:unhideWhenUsed/>
    <w:qFormat/>
    <w:rsid w:val="00810E81"/>
    <w:rPr>
      <w:b/>
      <w:bCs/>
      <w:color w:val="2F5496" w:themeColor="accent1" w:themeShade="BF"/>
      <w:sz w:val="16"/>
      <w:szCs w:val="16"/>
    </w:rPr>
  </w:style>
  <w:style w:type="paragraph" w:styleId="Title">
    <w:name w:val="Title"/>
    <w:basedOn w:val="Normal"/>
    <w:next w:val="Normal"/>
    <w:link w:val="TitleChar"/>
    <w:uiPriority w:val="10"/>
    <w:qFormat/>
    <w:rsid w:val="00810E81"/>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10E81"/>
    <w:rPr>
      <w:caps/>
      <w:color w:val="4472C4" w:themeColor="accent1"/>
      <w:spacing w:val="10"/>
      <w:kern w:val="28"/>
      <w:sz w:val="52"/>
      <w:szCs w:val="52"/>
    </w:rPr>
  </w:style>
  <w:style w:type="paragraph" w:styleId="Subtitle">
    <w:name w:val="Subtitle"/>
    <w:basedOn w:val="Normal"/>
    <w:next w:val="Normal"/>
    <w:link w:val="SubtitleChar"/>
    <w:uiPriority w:val="11"/>
    <w:qFormat/>
    <w:rsid w:val="00810E8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10E81"/>
    <w:rPr>
      <w:caps/>
      <w:color w:val="595959" w:themeColor="text1" w:themeTint="A6"/>
      <w:spacing w:val="10"/>
      <w:sz w:val="24"/>
      <w:szCs w:val="24"/>
    </w:rPr>
  </w:style>
  <w:style w:type="character" w:styleId="Strong">
    <w:name w:val="Strong"/>
    <w:uiPriority w:val="22"/>
    <w:qFormat/>
    <w:rsid w:val="00810E81"/>
    <w:rPr>
      <w:b/>
      <w:bCs/>
    </w:rPr>
  </w:style>
  <w:style w:type="character" w:styleId="Emphasis">
    <w:name w:val="Emphasis"/>
    <w:uiPriority w:val="20"/>
    <w:qFormat/>
    <w:rsid w:val="00810E81"/>
    <w:rPr>
      <w:caps/>
      <w:color w:val="1F3763" w:themeColor="accent1" w:themeShade="7F"/>
      <w:spacing w:val="5"/>
    </w:rPr>
  </w:style>
  <w:style w:type="paragraph" w:styleId="NoSpacing">
    <w:name w:val="No Spacing"/>
    <w:basedOn w:val="Normal"/>
    <w:link w:val="NoSpacingChar"/>
    <w:uiPriority w:val="1"/>
    <w:qFormat/>
    <w:rsid w:val="00810E81"/>
    <w:pPr>
      <w:spacing w:before="0" w:after="0" w:line="240" w:lineRule="auto"/>
    </w:pPr>
  </w:style>
  <w:style w:type="character" w:customStyle="1" w:styleId="NoSpacingChar">
    <w:name w:val="No Spacing Char"/>
    <w:basedOn w:val="DefaultParagraphFont"/>
    <w:link w:val="NoSpacing"/>
    <w:uiPriority w:val="1"/>
    <w:rsid w:val="00810E81"/>
    <w:rPr>
      <w:sz w:val="20"/>
      <w:szCs w:val="20"/>
    </w:rPr>
  </w:style>
  <w:style w:type="paragraph" w:styleId="ListParagraph">
    <w:name w:val="List Paragraph"/>
    <w:basedOn w:val="Normal"/>
    <w:uiPriority w:val="34"/>
    <w:qFormat/>
    <w:rsid w:val="00810E81"/>
    <w:pPr>
      <w:ind w:left="720"/>
      <w:contextualSpacing/>
    </w:pPr>
  </w:style>
  <w:style w:type="paragraph" w:styleId="Quote">
    <w:name w:val="Quote"/>
    <w:basedOn w:val="Normal"/>
    <w:next w:val="Normal"/>
    <w:link w:val="QuoteChar"/>
    <w:uiPriority w:val="29"/>
    <w:qFormat/>
    <w:rsid w:val="00810E81"/>
    <w:rPr>
      <w:i/>
      <w:iCs/>
    </w:rPr>
  </w:style>
  <w:style w:type="character" w:customStyle="1" w:styleId="QuoteChar">
    <w:name w:val="Quote Char"/>
    <w:basedOn w:val="DefaultParagraphFont"/>
    <w:link w:val="Quote"/>
    <w:uiPriority w:val="29"/>
    <w:rsid w:val="00810E81"/>
    <w:rPr>
      <w:i/>
      <w:iCs/>
      <w:sz w:val="20"/>
      <w:szCs w:val="20"/>
    </w:rPr>
  </w:style>
  <w:style w:type="paragraph" w:styleId="IntenseQuote">
    <w:name w:val="Intense Quote"/>
    <w:basedOn w:val="Normal"/>
    <w:next w:val="Normal"/>
    <w:link w:val="IntenseQuoteChar"/>
    <w:uiPriority w:val="30"/>
    <w:qFormat/>
    <w:rsid w:val="00810E81"/>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810E81"/>
    <w:rPr>
      <w:i/>
      <w:iCs/>
      <w:color w:val="4472C4" w:themeColor="accent1"/>
      <w:sz w:val="20"/>
      <w:szCs w:val="20"/>
    </w:rPr>
  </w:style>
  <w:style w:type="character" w:styleId="SubtleEmphasis">
    <w:name w:val="Subtle Emphasis"/>
    <w:uiPriority w:val="19"/>
    <w:qFormat/>
    <w:rsid w:val="00810E81"/>
    <w:rPr>
      <w:i/>
      <w:iCs/>
      <w:color w:val="1F3763" w:themeColor="accent1" w:themeShade="7F"/>
    </w:rPr>
  </w:style>
  <w:style w:type="character" w:styleId="IntenseEmphasis">
    <w:name w:val="Intense Emphasis"/>
    <w:uiPriority w:val="21"/>
    <w:qFormat/>
    <w:rsid w:val="00810E81"/>
    <w:rPr>
      <w:b/>
      <w:bCs/>
      <w:caps/>
      <w:color w:val="1F3763" w:themeColor="accent1" w:themeShade="7F"/>
      <w:spacing w:val="10"/>
    </w:rPr>
  </w:style>
  <w:style w:type="character" w:styleId="SubtleReference">
    <w:name w:val="Subtle Reference"/>
    <w:uiPriority w:val="31"/>
    <w:qFormat/>
    <w:rsid w:val="00810E81"/>
    <w:rPr>
      <w:b/>
      <w:bCs/>
      <w:color w:val="4472C4" w:themeColor="accent1"/>
    </w:rPr>
  </w:style>
  <w:style w:type="character" w:styleId="IntenseReference">
    <w:name w:val="Intense Reference"/>
    <w:uiPriority w:val="32"/>
    <w:qFormat/>
    <w:rsid w:val="00810E81"/>
    <w:rPr>
      <w:b/>
      <w:bCs/>
      <w:i/>
      <w:iCs/>
      <w:caps/>
      <w:color w:val="4472C4" w:themeColor="accent1"/>
    </w:rPr>
  </w:style>
  <w:style w:type="character" w:styleId="BookTitle">
    <w:name w:val="Book Title"/>
    <w:uiPriority w:val="33"/>
    <w:qFormat/>
    <w:rsid w:val="00810E81"/>
    <w:rPr>
      <w:b/>
      <w:bCs/>
      <w:i/>
      <w:iCs/>
      <w:spacing w:val="9"/>
    </w:rPr>
  </w:style>
  <w:style w:type="paragraph" w:styleId="TOCHeading">
    <w:name w:val="TOC Heading"/>
    <w:basedOn w:val="Heading1"/>
    <w:next w:val="Normal"/>
    <w:uiPriority w:val="39"/>
    <w:semiHidden/>
    <w:unhideWhenUsed/>
    <w:qFormat/>
    <w:rsid w:val="00810E81"/>
    <w:pPr>
      <w:outlineLvl w:val="9"/>
    </w:pPr>
  </w:style>
  <w:style w:type="character" w:styleId="Hyperlink">
    <w:name w:val="Hyperlink"/>
    <w:basedOn w:val="DefaultParagraphFont"/>
    <w:uiPriority w:val="99"/>
    <w:unhideWhenUsed/>
    <w:rsid w:val="00810E81"/>
    <w:rPr>
      <w:color w:val="0563C1" w:themeColor="hyperlink"/>
      <w:u w:val="single"/>
    </w:rPr>
  </w:style>
  <w:style w:type="character" w:customStyle="1" w:styleId="keyword2">
    <w:name w:val="keyword2"/>
    <w:basedOn w:val="DefaultParagraphFont"/>
    <w:rsid w:val="005A0AD6"/>
    <w:rPr>
      <w:b/>
      <w:bCs/>
      <w:color w:val="006699"/>
      <w:bdr w:val="none" w:sz="0" w:space="0" w:color="auto" w:frame="1"/>
    </w:rPr>
  </w:style>
  <w:style w:type="paragraph" w:styleId="FootnoteText">
    <w:name w:val="footnote text"/>
    <w:basedOn w:val="Normal"/>
    <w:link w:val="FootnoteTextChar"/>
    <w:uiPriority w:val="99"/>
    <w:unhideWhenUsed/>
    <w:rsid w:val="00012EA1"/>
    <w:pPr>
      <w:spacing w:before="0" w:after="0" w:line="240" w:lineRule="auto"/>
    </w:pPr>
    <w:rPr>
      <w:sz w:val="24"/>
      <w:szCs w:val="24"/>
    </w:rPr>
  </w:style>
  <w:style w:type="character" w:customStyle="1" w:styleId="FootnoteTextChar">
    <w:name w:val="Footnote Text Char"/>
    <w:basedOn w:val="DefaultParagraphFont"/>
    <w:link w:val="FootnoteText"/>
    <w:uiPriority w:val="99"/>
    <w:rsid w:val="00012EA1"/>
    <w:rPr>
      <w:sz w:val="24"/>
      <w:szCs w:val="24"/>
    </w:rPr>
  </w:style>
  <w:style w:type="character" w:styleId="FootnoteReference">
    <w:name w:val="footnote reference"/>
    <w:basedOn w:val="DefaultParagraphFont"/>
    <w:uiPriority w:val="99"/>
    <w:unhideWhenUsed/>
    <w:rsid w:val="00012EA1"/>
    <w:rPr>
      <w:vertAlign w:val="superscript"/>
    </w:rPr>
  </w:style>
  <w:style w:type="table" w:styleId="TableGrid">
    <w:name w:val="Table Grid"/>
    <w:basedOn w:val="TableNormal"/>
    <w:uiPriority w:val="39"/>
    <w:rsid w:val="004C7CA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836A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3836A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836A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l-c">
    <w:name w:val="pl-c"/>
    <w:basedOn w:val="DefaultParagraphFont"/>
    <w:rsid w:val="004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2632">
      <w:bodyDiv w:val="1"/>
      <w:marLeft w:val="0"/>
      <w:marRight w:val="0"/>
      <w:marTop w:val="0"/>
      <w:marBottom w:val="0"/>
      <w:divBdr>
        <w:top w:val="none" w:sz="0" w:space="0" w:color="auto"/>
        <w:left w:val="none" w:sz="0" w:space="0" w:color="auto"/>
        <w:bottom w:val="none" w:sz="0" w:space="0" w:color="auto"/>
        <w:right w:val="none" w:sz="0" w:space="0" w:color="auto"/>
      </w:divBdr>
      <w:divsChild>
        <w:div w:id="1839729081">
          <w:marLeft w:val="0"/>
          <w:marRight w:val="0"/>
          <w:marTop w:val="0"/>
          <w:marBottom w:val="0"/>
          <w:divBdr>
            <w:top w:val="none" w:sz="0" w:space="0" w:color="auto"/>
            <w:left w:val="none" w:sz="0" w:space="0" w:color="auto"/>
            <w:bottom w:val="none" w:sz="0" w:space="0" w:color="auto"/>
            <w:right w:val="none" w:sz="0" w:space="0" w:color="auto"/>
          </w:divBdr>
        </w:div>
      </w:divsChild>
    </w:div>
    <w:div w:id="270430708">
      <w:bodyDiv w:val="1"/>
      <w:marLeft w:val="0"/>
      <w:marRight w:val="0"/>
      <w:marTop w:val="0"/>
      <w:marBottom w:val="0"/>
      <w:divBdr>
        <w:top w:val="none" w:sz="0" w:space="0" w:color="auto"/>
        <w:left w:val="none" w:sz="0" w:space="0" w:color="auto"/>
        <w:bottom w:val="none" w:sz="0" w:space="0" w:color="auto"/>
        <w:right w:val="none" w:sz="0" w:space="0" w:color="auto"/>
      </w:divBdr>
      <w:divsChild>
        <w:div w:id="931161959">
          <w:marLeft w:val="0"/>
          <w:marRight w:val="0"/>
          <w:marTop w:val="0"/>
          <w:marBottom w:val="0"/>
          <w:divBdr>
            <w:top w:val="none" w:sz="0" w:space="0" w:color="auto"/>
            <w:left w:val="none" w:sz="0" w:space="0" w:color="auto"/>
            <w:bottom w:val="none" w:sz="0" w:space="0" w:color="auto"/>
            <w:right w:val="none" w:sz="0" w:space="0" w:color="auto"/>
          </w:divBdr>
        </w:div>
      </w:divsChild>
    </w:div>
    <w:div w:id="409082156">
      <w:bodyDiv w:val="1"/>
      <w:marLeft w:val="0"/>
      <w:marRight w:val="0"/>
      <w:marTop w:val="0"/>
      <w:marBottom w:val="0"/>
      <w:divBdr>
        <w:top w:val="none" w:sz="0" w:space="0" w:color="auto"/>
        <w:left w:val="none" w:sz="0" w:space="0" w:color="auto"/>
        <w:bottom w:val="none" w:sz="0" w:space="0" w:color="auto"/>
        <w:right w:val="none" w:sz="0" w:space="0" w:color="auto"/>
      </w:divBdr>
      <w:divsChild>
        <w:div w:id="930312084">
          <w:marLeft w:val="0"/>
          <w:marRight w:val="0"/>
          <w:marTop w:val="0"/>
          <w:marBottom w:val="0"/>
          <w:divBdr>
            <w:top w:val="none" w:sz="0" w:space="0" w:color="auto"/>
            <w:left w:val="none" w:sz="0" w:space="0" w:color="auto"/>
            <w:bottom w:val="none" w:sz="0" w:space="0" w:color="auto"/>
            <w:right w:val="none" w:sz="0" w:space="0" w:color="auto"/>
          </w:divBdr>
        </w:div>
      </w:divsChild>
    </w:div>
    <w:div w:id="495998327">
      <w:bodyDiv w:val="1"/>
      <w:marLeft w:val="0"/>
      <w:marRight w:val="0"/>
      <w:marTop w:val="0"/>
      <w:marBottom w:val="0"/>
      <w:divBdr>
        <w:top w:val="none" w:sz="0" w:space="0" w:color="auto"/>
        <w:left w:val="none" w:sz="0" w:space="0" w:color="auto"/>
        <w:bottom w:val="none" w:sz="0" w:space="0" w:color="auto"/>
        <w:right w:val="none" w:sz="0" w:space="0" w:color="auto"/>
      </w:divBdr>
    </w:div>
    <w:div w:id="524053650">
      <w:bodyDiv w:val="1"/>
      <w:marLeft w:val="0"/>
      <w:marRight w:val="0"/>
      <w:marTop w:val="0"/>
      <w:marBottom w:val="0"/>
      <w:divBdr>
        <w:top w:val="none" w:sz="0" w:space="0" w:color="auto"/>
        <w:left w:val="none" w:sz="0" w:space="0" w:color="auto"/>
        <w:bottom w:val="none" w:sz="0" w:space="0" w:color="auto"/>
        <w:right w:val="none" w:sz="0" w:space="0" w:color="auto"/>
      </w:divBdr>
      <w:divsChild>
        <w:div w:id="551043104">
          <w:marLeft w:val="0"/>
          <w:marRight w:val="0"/>
          <w:marTop w:val="0"/>
          <w:marBottom w:val="0"/>
          <w:divBdr>
            <w:top w:val="none" w:sz="0" w:space="0" w:color="auto"/>
            <w:left w:val="none" w:sz="0" w:space="0" w:color="auto"/>
            <w:bottom w:val="none" w:sz="0" w:space="0" w:color="auto"/>
            <w:right w:val="none" w:sz="0" w:space="0" w:color="auto"/>
          </w:divBdr>
        </w:div>
      </w:divsChild>
    </w:div>
    <w:div w:id="642662995">
      <w:bodyDiv w:val="1"/>
      <w:marLeft w:val="0"/>
      <w:marRight w:val="0"/>
      <w:marTop w:val="0"/>
      <w:marBottom w:val="0"/>
      <w:divBdr>
        <w:top w:val="none" w:sz="0" w:space="0" w:color="auto"/>
        <w:left w:val="none" w:sz="0" w:space="0" w:color="auto"/>
        <w:bottom w:val="none" w:sz="0" w:space="0" w:color="auto"/>
        <w:right w:val="none" w:sz="0" w:space="0" w:color="auto"/>
      </w:divBdr>
      <w:divsChild>
        <w:div w:id="1287615327">
          <w:marLeft w:val="0"/>
          <w:marRight w:val="0"/>
          <w:marTop w:val="0"/>
          <w:marBottom w:val="0"/>
          <w:divBdr>
            <w:top w:val="none" w:sz="0" w:space="0" w:color="auto"/>
            <w:left w:val="none" w:sz="0" w:space="0" w:color="auto"/>
            <w:bottom w:val="none" w:sz="0" w:space="0" w:color="auto"/>
            <w:right w:val="none" w:sz="0" w:space="0" w:color="auto"/>
          </w:divBdr>
        </w:div>
      </w:divsChild>
    </w:div>
    <w:div w:id="739670087">
      <w:bodyDiv w:val="1"/>
      <w:marLeft w:val="0"/>
      <w:marRight w:val="0"/>
      <w:marTop w:val="0"/>
      <w:marBottom w:val="0"/>
      <w:divBdr>
        <w:top w:val="none" w:sz="0" w:space="0" w:color="auto"/>
        <w:left w:val="none" w:sz="0" w:space="0" w:color="auto"/>
        <w:bottom w:val="none" w:sz="0" w:space="0" w:color="auto"/>
        <w:right w:val="none" w:sz="0" w:space="0" w:color="auto"/>
      </w:divBdr>
    </w:div>
    <w:div w:id="768937378">
      <w:bodyDiv w:val="1"/>
      <w:marLeft w:val="0"/>
      <w:marRight w:val="0"/>
      <w:marTop w:val="0"/>
      <w:marBottom w:val="0"/>
      <w:divBdr>
        <w:top w:val="none" w:sz="0" w:space="0" w:color="auto"/>
        <w:left w:val="none" w:sz="0" w:space="0" w:color="auto"/>
        <w:bottom w:val="none" w:sz="0" w:space="0" w:color="auto"/>
        <w:right w:val="none" w:sz="0" w:space="0" w:color="auto"/>
      </w:divBdr>
      <w:divsChild>
        <w:div w:id="1952122628">
          <w:marLeft w:val="0"/>
          <w:marRight w:val="0"/>
          <w:marTop w:val="0"/>
          <w:marBottom w:val="0"/>
          <w:divBdr>
            <w:top w:val="none" w:sz="0" w:space="0" w:color="auto"/>
            <w:left w:val="none" w:sz="0" w:space="0" w:color="auto"/>
            <w:bottom w:val="none" w:sz="0" w:space="0" w:color="auto"/>
            <w:right w:val="none" w:sz="0" w:space="0" w:color="auto"/>
          </w:divBdr>
        </w:div>
      </w:divsChild>
    </w:div>
    <w:div w:id="793213322">
      <w:bodyDiv w:val="1"/>
      <w:marLeft w:val="0"/>
      <w:marRight w:val="0"/>
      <w:marTop w:val="0"/>
      <w:marBottom w:val="0"/>
      <w:divBdr>
        <w:top w:val="none" w:sz="0" w:space="0" w:color="auto"/>
        <w:left w:val="none" w:sz="0" w:space="0" w:color="auto"/>
        <w:bottom w:val="none" w:sz="0" w:space="0" w:color="auto"/>
        <w:right w:val="none" w:sz="0" w:space="0" w:color="auto"/>
      </w:divBdr>
    </w:div>
    <w:div w:id="799420611">
      <w:bodyDiv w:val="1"/>
      <w:marLeft w:val="0"/>
      <w:marRight w:val="0"/>
      <w:marTop w:val="0"/>
      <w:marBottom w:val="0"/>
      <w:divBdr>
        <w:top w:val="none" w:sz="0" w:space="0" w:color="auto"/>
        <w:left w:val="none" w:sz="0" w:space="0" w:color="auto"/>
        <w:bottom w:val="none" w:sz="0" w:space="0" w:color="auto"/>
        <w:right w:val="none" w:sz="0" w:space="0" w:color="auto"/>
      </w:divBdr>
      <w:divsChild>
        <w:div w:id="1298221549">
          <w:marLeft w:val="0"/>
          <w:marRight w:val="0"/>
          <w:marTop w:val="0"/>
          <w:marBottom w:val="0"/>
          <w:divBdr>
            <w:top w:val="none" w:sz="0" w:space="0" w:color="auto"/>
            <w:left w:val="none" w:sz="0" w:space="0" w:color="auto"/>
            <w:bottom w:val="none" w:sz="0" w:space="0" w:color="auto"/>
            <w:right w:val="none" w:sz="0" w:space="0" w:color="auto"/>
          </w:divBdr>
        </w:div>
      </w:divsChild>
    </w:div>
    <w:div w:id="1069154842">
      <w:bodyDiv w:val="1"/>
      <w:marLeft w:val="0"/>
      <w:marRight w:val="0"/>
      <w:marTop w:val="0"/>
      <w:marBottom w:val="0"/>
      <w:divBdr>
        <w:top w:val="none" w:sz="0" w:space="0" w:color="auto"/>
        <w:left w:val="none" w:sz="0" w:space="0" w:color="auto"/>
        <w:bottom w:val="none" w:sz="0" w:space="0" w:color="auto"/>
        <w:right w:val="none" w:sz="0" w:space="0" w:color="auto"/>
      </w:divBdr>
      <w:divsChild>
        <w:div w:id="325743199">
          <w:marLeft w:val="0"/>
          <w:marRight w:val="0"/>
          <w:marTop w:val="0"/>
          <w:marBottom w:val="0"/>
          <w:divBdr>
            <w:top w:val="none" w:sz="0" w:space="0" w:color="auto"/>
            <w:left w:val="none" w:sz="0" w:space="0" w:color="auto"/>
            <w:bottom w:val="none" w:sz="0" w:space="0" w:color="auto"/>
            <w:right w:val="none" w:sz="0" w:space="0" w:color="auto"/>
          </w:divBdr>
        </w:div>
      </w:divsChild>
    </w:div>
    <w:div w:id="1134759202">
      <w:bodyDiv w:val="1"/>
      <w:marLeft w:val="0"/>
      <w:marRight w:val="0"/>
      <w:marTop w:val="0"/>
      <w:marBottom w:val="0"/>
      <w:divBdr>
        <w:top w:val="none" w:sz="0" w:space="0" w:color="auto"/>
        <w:left w:val="none" w:sz="0" w:space="0" w:color="auto"/>
        <w:bottom w:val="none" w:sz="0" w:space="0" w:color="auto"/>
        <w:right w:val="none" w:sz="0" w:space="0" w:color="auto"/>
      </w:divBdr>
      <w:divsChild>
        <w:div w:id="1998915076">
          <w:marLeft w:val="0"/>
          <w:marRight w:val="0"/>
          <w:marTop w:val="0"/>
          <w:marBottom w:val="0"/>
          <w:divBdr>
            <w:top w:val="none" w:sz="0" w:space="0" w:color="auto"/>
            <w:left w:val="none" w:sz="0" w:space="0" w:color="auto"/>
            <w:bottom w:val="none" w:sz="0" w:space="0" w:color="auto"/>
            <w:right w:val="none" w:sz="0" w:space="0" w:color="auto"/>
          </w:divBdr>
        </w:div>
      </w:divsChild>
    </w:div>
    <w:div w:id="1181312715">
      <w:bodyDiv w:val="1"/>
      <w:marLeft w:val="0"/>
      <w:marRight w:val="0"/>
      <w:marTop w:val="0"/>
      <w:marBottom w:val="0"/>
      <w:divBdr>
        <w:top w:val="none" w:sz="0" w:space="0" w:color="auto"/>
        <w:left w:val="none" w:sz="0" w:space="0" w:color="auto"/>
        <w:bottom w:val="none" w:sz="0" w:space="0" w:color="auto"/>
        <w:right w:val="none" w:sz="0" w:space="0" w:color="auto"/>
      </w:divBdr>
      <w:divsChild>
        <w:div w:id="2008435943">
          <w:marLeft w:val="0"/>
          <w:marRight w:val="0"/>
          <w:marTop w:val="0"/>
          <w:marBottom w:val="0"/>
          <w:divBdr>
            <w:top w:val="none" w:sz="0" w:space="0" w:color="auto"/>
            <w:left w:val="none" w:sz="0" w:space="0" w:color="auto"/>
            <w:bottom w:val="none" w:sz="0" w:space="0" w:color="auto"/>
            <w:right w:val="none" w:sz="0" w:space="0" w:color="auto"/>
          </w:divBdr>
        </w:div>
      </w:divsChild>
    </w:div>
    <w:div w:id="1529946445">
      <w:bodyDiv w:val="1"/>
      <w:marLeft w:val="0"/>
      <w:marRight w:val="0"/>
      <w:marTop w:val="0"/>
      <w:marBottom w:val="0"/>
      <w:divBdr>
        <w:top w:val="none" w:sz="0" w:space="0" w:color="auto"/>
        <w:left w:val="none" w:sz="0" w:space="0" w:color="auto"/>
        <w:bottom w:val="none" w:sz="0" w:space="0" w:color="auto"/>
        <w:right w:val="none" w:sz="0" w:space="0" w:color="auto"/>
      </w:divBdr>
      <w:divsChild>
        <w:div w:id="350035162">
          <w:marLeft w:val="0"/>
          <w:marRight w:val="0"/>
          <w:marTop w:val="0"/>
          <w:marBottom w:val="0"/>
          <w:divBdr>
            <w:top w:val="none" w:sz="0" w:space="0" w:color="auto"/>
            <w:left w:val="none" w:sz="0" w:space="0" w:color="auto"/>
            <w:bottom w:val="none" w:sz="0" w:space="0" w:color="auto"/>
            <w:right w:val="none" w:sz="0" w:space="0" w:color="auto"/>
          </w:divBdr>
        </w:div>
      </w:divsChild>
    </w:div>
    <w:div w:id="1699768775">
      <w:bodyDiv w:val="1"/>
      <w:marLeft w:val="0"/>
      <w:marRight w:val="0"/>
      <w:marTop w:val="0"/>
      <w:marBottom w:val="0"/>
      <w:divBdr>
        <w:top w:val="none" w:sz="0" w:space="0" w:color="auto"/>
        <w:left w:val="none" w:sz="0" w:space="0" w:color="auto"/>
        <w:bottom w:val="none" w:sz="0" w:space="0" w:color="auto"/>
        <w:right w:val="none" w:sz="0" w:space="0" w:color="auto"/>
      </w:divBdr>
    </w:div>
    <w:div w:id="1747260697">
      <w:bodyDiv w:val="1"/>
      <w:marLeft w:val="0"/>
      <w:marRight w:val="0"/>
      <w:marTop w:val="0"/>
      <w:marBottom w:val="0"/>
      <w:divBdr>
        <w:top w:val="none" w:sz="0" w:space="0" w:color="auto"/>
        <w:left w:val="none" w:sz="0" w:space="0" w:color="auto"/>
        <w:bottom w:val="none" w:sz="0" w:space="0" w:color="auto"/>
        <w:right w:val="none" w:sz="0" w:space="0" w:color="auto"/>
      </w:divBdr>
      <w:divsChild>
        <w:div w:id="812530331">
          <w:marLeft w:val="0"/>
          <w:marRight w:val="0"/>
          <w:marTop w:val="0"/>
          <w:marBottom w:val="0"/>
          <w:divBdr>
            <w:top w:val="none" w:sz="0" w:space="0" w:color="auto"/>
            <w:left w:val="none" w:sz="0" w:space="0" w:color="auto"/>
            <w:bottom w:val="none" w:sz="0" w:space="0" w:color="auto"/>
            <w:right w:val="none" w:sz="0" w:space="0" w:color="auto"/>
          </w:divBdr>
        </w:div>
      </w:divsChild>
    </w:div>
    <w:div w:id="1837183024">
      <w:bodyDiv w:val="1"/>
      <w:marLeft w:val="0"/>
      <w:marRight w:val="0"/>
      <w:marTop w:val="0"/>
      <w:marBottom w:val="0"/>
      <w:divBdr>
        <w:top w:val="none" w:sz="0" w:space="0" w:color="auto"/>
        <w:left w:val="none" w:sz="0" w:space="0" w:color="auto"/>
        <w:bottom w:val="none" w:sz="0" w:space="0" w:color="auto"/>
        <w:right w:val="none" w:sz="0" w:space="0" w:color="auto"/>
      </w:divBdr>
    </w:div>
    <w:div w:id="1947342741">
      <w:bodyDiv w:val="1"/>
      <w:marLeft w:val="0"/>
      <w:marRight w:val="0"/>
      <w:marTop w:val="0"/>
      <w:marBottom w:val="0"/>
      <w:divBdr>
        <w:top w:val="none" w:sz="0" w:space="0" w:color="auto"/>
        <w:left w:val="none" w:sz="0" w:space="0" w:color="auto"/>
        <w:bottom w:val="none" w:sz="0" w:space="0" w:color="auto"/>
        <w:right w:val="none" w:sz="0" w:space="0" w:color="auto"/>
      </w:divBdr>
    </w:div>
    <w:div w:id="1953901745">
      <w:bodyDiv w:val="1"/>
      <w:marLeft w:val="0"/>
      <w:marRight w:val="0"/>
      <w:marTop w:val="0"/>
      <w:marBottom w:val="0"/>
      <w:divBdr>
        <w:top w:val="none" w:sz="0" w:space="0" w:color="auto"/>
        <w:left w:val="none" w:sz="0" w:space="0" w:color="auto"/>
        <w:bottom w:val="none" w:sz="0" w:space="0" w:color="auto"/>
        <w:right w:val="none" w:sz="0" w:space="0" w:color="auto"/>
      </w:divBdr>
    </w:div>
    <w:div w:id="2113502346">
      <w:bodyDiv w:val="1"/>
      <w:marLeft w:val="0"/>
      <w:marRight w:val="0"/>
      <w:marTop w:val="0"/>
      <w:marBottom w:val="0"/>
      <w:divBdr>
        <w:top w:val="none" w:sz="0" w:space="0" w:color="auto"/>
        <w:left w:val="none" w:sz="0" w:space="0" w:color="auto"/>
        <w:bottom w:val="none" w:sz="0" w:space="0" w:color="auto"/>
        <w:right w:val="none" w:sz="0" w:space="0" w:color="auto"/>
      </w:divBdr>
      <w:divsChild>
        <w:div w:id="6777328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BFB21D-F9F6-3849-9CD0-04E9D118304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C8EA8F-2F45-2D45-B9EA-75B57A90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2984</Words>
  <Characters>14950</Characters>
  <Application>Microsoft Macintosh Word</Application>
  <DocSecurity>0</DocSecurity>
  <Lines>305</Lines>
  <Paragraphs>157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Technical indicators</vt:lpstr>
      <vt:lpstr>    Momentum</vt:lpstr>
      <vt:lpstr>    Price/SMA ratio</vt:lpstr>
      <vt:lpstr>    Bollinger Bands(</vt:lpstr>
      <vt:lpstr>    Money Flow Index</vt:lpstr>
      <vt:lpstr>Best possible strategy</vt:lpstr>
      <vt:lpstr>Rule-based strategy</vt:lpstr>
      <vt:lpstr>    Entering a long position</vt:lpstr>
      <vt:lpstr>    Enterting a short position</vt:lpstr>
      <vt:lpstr>    Closing a long position</vt:lpstr>
      <vt:lpstr>    Closing a short position</vt:lpstr>
      <vt:lpstr>    Performance</vt:lpstr>
      <vt:lpstr>Comparative analysis</vt:lpstr>
      <vt:lpstr>Conclusion</vt:lpstr>
    </vt:vector>
  </TitlesOfParts>
  <LinksUpToDate>false</LinksUpToDate>
  <CharactersWithSpaces>17777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2017-11-05T20:25:00Z</dcterms:created>
  <dcterms:modified xsi:type="dcterms:W3CDTF">2017-11-06T03:38:00Z</dcterms:modified>
</cp:coreProperties>
</file>