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Университет ИТМО, факультет программной инженерии и компьютерной техники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Двухнедельная отч</w:t>
      </w:r>
      <w:r w:rsidDel="00000000" w:rsidR="00000000" w:rsidRPr="00000000">
        <w:rPr>
          <w:rtl w:val="0"/>
        </w:rPr>
        <w:t xml:space="preserve">ет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ная работа по «Информатике»: аннотация к статье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98.0" w:type="dxa"/>
        <w:jc w:val="left"/>
        <w:tblInd w:w="-108.0" w:type="dxa"/>
        <w:tblLayout w:type="fixed"/>
        <w:tblLook w:val="0000"/>
      </w:tblPr>
      <w:tblGrid>
        <w:gridCol w:w="1117"/>
        <w:gridCol w:w="1115"/>
        <w:gridCol w:w="5144"/>
        <w:gridCol w:w="1604"/>
        <w:gridCol w:w="982"/>
        <w:gridCol w:w="1036"/>
        <w:tblGridChange w:id="0">
          <w:tblGrid>
            <w:gridCol w:w="1117"/>
            <w:gridCol w:w="1115"/>
            <w:gridCol w:w="5144"/>
            <w:gridCol w:w="1604"/>
            <w:gridCol w:w="982"/>
            <w:gridCol w:w="103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Номер прошедшей 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Название статьи/главы книги/видеолекции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публикации (не старше 2022 года)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Размер статьи (от 400 слов)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Дата сдачи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10.09.2025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C">
            <w:pPr>
              <w:rPr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This Number System Beats Binary, But Most Computers Can’t Use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18.07.2025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~</w:t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1100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vertAlign w:val="baseline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24.09.2025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Применение кодов Хэмминга в канале связи с динамической сменой ключей для безэкипажного судовождения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25.03.2025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08.10.2025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Многоцелевая фильтрация текста с использованием регулярных выражений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12.04.2024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22.10.2025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.982421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22.10.2025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Конвертер Markdown-файлов в LaTeX-документ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25.12.2022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~2500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05.11.2025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05.11.2025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Автоматизация работы с архивными выборками средствами электронных таблиц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06.11.2024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~800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19.11.2025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3969"/>
          <w:tab w:val="left" w:leader="none" w:pos="6460"/>
          <w:tab w:val="center" w:leader="none" w:pos="8222"/>
          <w:tab w:val="left" w:leader="none" w:pos="8789"/>
          <w:tab w:val="left" w:leader="none" w:pos="10660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Выполнил(а)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u w:val="single"/>
          <w:rtl w:val="0"/>
        </w:rPr>
        <w:t xml:space="preserve">Шулай Р.Ю.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№ группы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single"/>
          <w:vertAlign w:val="baseline"/>
          <w:rtl w:val="0"/>
        </w:rPr>
        <w:t xml:space="preserve">P3</w:t>
      </w:r>
      <w:r w:rsidDel="00000000" w:rsidR="00000000" w:rsidRPr="00000000">
        <w:rPr>
          <w:i w:val="1"/>
          <w:iCs w:val="1"/>
          <w:u w:val="single"/>
          <w:rtl w:val="0"/>
        </w:rPr>
        <w:t xml:space="preserve">115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оценка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180"/>
          <w:tab w:val="left" w:leader="none" w:pos="9781"/>
        </w:tabs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ab/>
        <w:t xml:space="preserve">Фамилия И.О. студента</w:t>
        <w:tab/>
        <w:t xml:space="preserve">не заполнять</w:t>
      </w:r>
      <w:r w:rsidDel="00000000" w:rsidR="00000000" w:rsidRPr="00000000">
        <w:rPr>
          <w:rtl w:val="0"/>
        </w:rPr>
      </w:r>
    </w:p>
    <w:tbl>
      <w:tblPr>
        <w:tblStyle w:val="Table2"/>
        <w:tblW w:w="10740.0" w:type="dxa"/>
        <w:jc w:val="left"/>
        <w:tblInd w:w="-55.0" w:type="dxa"/>
        <w:tblLayout w:type="fixed"/>
        <w:tblLook w:val="0000"/>
      </w:tblPr>
      <w:tblGrid>
        <w:gridCol w:w="10735"/>
        <w:gridCol w:w="5"/>
        <w:tblGridChange w:id="0">
          <w:tblGrid>
            <w:gridCol w:w="10735"/>
            <w:gridCol w:w="5"/>
          </w:tblGrid>
        </w:tblGridChange>
      </w:tblGrid>
      <w:tr>
        <w:trPr>
          <w:cantSplit w:val="0"/>
          <w:trHeight w:val="795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Прямая полная ссылка на источник или сокращённая ссылка (bit.ly, tr.im и т.п.)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https://cyberleninka.ru/article/n/avtomatizatsiya-raboty-s-arhivnymi-vyborkami-sredstvami-elektronnyh-tablits/viewer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Теги, ключевые слова или словосочетания (минимум три слова)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архивная выборка, электронные таблицы, числовые фильтры, функция, кнопки управления, макросы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Перечень фактов, упомянутых в статье (минимум четыре пункта)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Организация и обработка архивных выборок оказывает непосредственное влияние на качество разрабатываемых прогностических способов.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Когда объем архивной выборки значителен, для разделения выборки на зависимую и независимую совокупности используется встроенная функция электронных таблиц СМЕЩ.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 помощью макросов и языка программирования VBA можно автоматизировать процесс разбиения на выборки, кроме этого, можно создать кнопки для запуска макросов, путем добавления элементов форм управления в электронной таблице.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Таким образом можно создать кнопки для очистки выборки и изменения нумерации.</w:t>
            </w:r>
          </w:p>
        </w:tc>
      </w:tr>
      <w:tr>
        <w:trPr>
          <w:cantSplit w:val="0"/>
          <w:trHeight w:val="1079" w:hRule="atLeast"/>
          <w:tblHeader w:val="0"/>
        </w:trPr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Позитивные следствия и/или достоинства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Для первоначальной обработки архивной выборки исследователю необходимо нажать одну кнопку в электронной таблице.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Приложение будет работать не только на Windows, но и на Astra Linux.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Возможности VBA и макросов позволяют модифицировать настройки для работы с выборками любого объема и  с любым количеством задействованных столбцов.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Приложение будет полезно как обучающимся при проведении учебных занятий, так и аспирантам при выполнении диссертационных исследований.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73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Негативные следствия и/или недостатки описанной в статье технологии (минимум три пункта)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Сложность отладки ошибок и их устранение.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Возможность возникновения проблем в том случае, когда над одной архивной выборкой будут работать несколько человек.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Проблемы с долгосрочной сохранностью полученных результатов, электронные таблицы стоит заменить на СУБД и специализированную программу.</w:t>
            </w:r>
          </w:p>
        </w:tc>
      </w:tr>
      <w:tr>
        <w:trPr>
          <w:cantSplit w:val="0"/>
          <w:trHeight w:val="826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Ваши замечания, пожелания преподавателю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или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анекдот о программистах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</w:rPr>
              <w:footnoteReference w:customMarkFollows="0"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426" w:top="567" w:left="567" w:right="56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Liberation Sans"/>
</w:fonts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Style w:val="FootnoteReference"/>
          <w:vertAlign w:val="superscript"/>
        </w:rPr>
        <w:footnoteRef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 xml:space="preserve">Наличие этой графы не влияет на оценку</w:t>
      </w:r>
    </w:p>
  </w:footnote>
</w:footnote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widowControl w:val="0"/>
      <w:spacing w:after="120" w:before="240" w:lineRule="auto"/>
      <w:ind w:left="432" w:hanging="432"/>
    </w:pPr>
    <w:rPr>
      <w:rFonts w:ascii="Liberation Sans" w:cs="Liberation Sans" w:eastAsia="Liberation Sans" w:hAnsi="Liberation Sans"/>
      <w:b w:val="1"/>
      <w:bCs w:val="1"/>
      <w:sz w:val="36"/>
      <w:szCs w:val="36"/>
      <w:vertAlign w:val="baseline"/>
    </w:rPr>
  </w:style>
  <w:style w:type="paragraph" w:styleId="Heading2">
    <w:name w:val="heading 2"/>
    <w:basedOn w:val="Normal"/>
    <w:next w:val="Normal"/>
    <w:pPr>
      <w:keepNext w:val="1"/>
      <w:widowControl w:val="0"/>
      <w:spacing w:after="120" w:before="200" w:lineRule="auto"/>
      <w:ind w:left="576" w:hanging="576"/>
    </w:pPr>
    <w:rPr>
      <w:rFonts w:ascii="Liberation Sans" w:cs="Liberation Sans" w:eastAsia="Liberation Sans" w:hAnsi="Liberation Sans"/>
      <w:b w:val="1"/>
      <w:bCs w:val="1"/>
      <w:sz w:val="32"/>
      <w:szCs w:val="32"/>
      <w:vertAlign w:val="baseline"/>
    </w:rPr>
  </w:style>
  <w:style w:type="paragraph" w:styleId="Heading3">
    <w:name w:val="heading 3"/>
    <w:basedOn w:val="Normal"/>
    <w:next w:val="Normal"/>
    <w:pPr>
      <w:keepNext w:val="1"/>
      <w:widowControl w:val="0"/>
      <w:spacing w:after="120" w:before="140" w:lineRule="auto"/>
      <w:ind w:left="720" w:hanging="720"/>
    </w:pPr>
    <w:rPr>
      <w:rFonts w:ascii="Liberation Sans" w:cs="Liberation Sans" w:eastAsia="Liberation Sans" w:hAnsi="Liberation Sans"/>
      <w:b w:val="1"/>
      <w:bCs w:val="1"/>
      <w:sz w:val="28"/>
      <w:szCs w:val="28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widowControl w:val="0"/>
      <w:spacing w:after="120" w:before="240" w:lineRule="auto"/>
      <w:jc w:val="center"/>
    </w:pPr>
    <w:rPr>
      <w:rFonts w:ascii="Liberation Sans" w:cs="Liberation Sans" w:eastAsia="Liberation Sans" w:hAnsi="Liberation Sans"/>
      <w:b w:val="1"/>
      <w:bCs w:val="1"/>
      <w:sz w:val="56"/>
      <w:szCs w:val="56"/>
      <w:vertAlign w:val="baseline"/>
    </w:rPr>
  </w:style>
  <w:style w:type="paragraph" w:styleId="Subtitle">
    <w:name w:val="Subtitle"/>
    <w:basedOn w:val="Normal"/>
    <w:next w:val="Normal"/>
    <w:pPr>
      <w:keepNext w:val="1"/>
      <w:widowControl w:val="0"/>
      <w:spacing w:after="120" w:before="60" w:lineRule="auto"/>
      <w:jc w:val="center"/>
    </w:pPr>
    <w:rPr>
      <w:rFonts w:ascii="Liberation Sans" w:cs="Liberation Sans" w:eastAsia="Liberation Sans" w:hAnsi="Liberation Sans"/>
      <w:sz w:val="36"/>
      <w:szCs w:val="36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5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