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none" w:color="FFFFFF" w:sz="0"/>
              <w:right w:val="none" w:color="FFFFFF" w:sz="0"/>
            </w:tcBorders>
            <w:shd w:fill="FDF1F0" w:val="clear"/>
            <w:tcMar>
              <w:top w:type="dxa" w:w="100"/>
              <w:left w:type="dxa" w:w="140"/>
              <w:bottom w:type="dxa" w:w="100"/>
              <w:right w:type="dxa" w:w="140"/>
            </w:tcMar>
            <w:vAlign w:val="top"/>
          </w:tcPr>
          <w:p>
            <w:pPr>
              <w:spacing w:after="60" w:before="0"/>
              <w:jc w:val="left"/>
            </w:pPr>
            <w:r>
              <w:rPr>
                <w:rFonts w:ascii="Arial" w:cs="Arial" w:eastAsia="Arial" w:hAnsi="Arial"/>
                <w:b/>
                <w:bCs/>
                <w:color w:val="C0392B"/>
                <w:sz w:val="18"/>
                <w:szCs w:val="18"/>
              </w:rPr>
              <w:t xml:space="preserve">ACTIVITY 02 INSTRUCTIONS — READ BEFORE STARTING</w:t>
            </w:r>
          </w:p>
        </w:tc>
      </w:tr>
      <w:tr>
        <w:tc>
          <w:tcPr>
            <w:tcW w:type="dxa" w:w="9360"/>
            <w:tcBorders>
              <w:top w:val="none" w:color="FFFFFF" w:sz="0"/>
              <w:left w:val="single" w:color="C0392B" w:sz="12"/>
              <w:bottom w:val="single" w:color="C0392B" w:sz="12"/>
              <w:right w:val="none" w:color="FFFFFF" w:sz="0"/>
            </w:tcBorders>
            <w:shd w:fill="FDF6F5" w:val="clear"/>
            <w:tcMar>
              <w:top w:type="dxa" w:w="100"/>
              <w:left w:type="dxa" w:w="140"/>
              <w:bottom w:type="dxa" w:w="100"/>
              <w:right w:type="dxa" w:w="140"/>
            </w:tcMar>
            <w:vAlign w:val="top"/>
          </w:tcPr>
          <w:p>
            <w:pPr>
              <w:spacing w:after="60" w:before="0"/>
              <w:jc w:val="left"/>
            </w:pPr>
            <w:r>
              <w:rPr>
                <w:rFonts w:ascii="Arial" w:cs="Arial" w:eastAsia="Arial" w:hAnsi="Arial"/>
                <w:sz w:val="18"/>
                <w:szCs w:val="18"/>
              </w:rPr>
              <w:t xml:space="preserve">This is a two-page excerpt from a fictional model validation report. Three issues are flagged (F-1, F-2, F-3).</w:t>
            </w:r>
          </w:p>
          <w:p>
            <w:pPr>
              <w:spacing w:after="0" w:before="40"/>
            </w:pPr>
            <w:r>
              <w:rPr>
                <w:rFonts w:ascii="Arial" w:cs="Arial" w:eastAsia="Arial" w:hAnsi="Arial"/>
                <w:sz w:val="20"/>
                <w:szCs w:val="20"/>
              </w:rPr>
              <w:t xml:space="preserve"/>
            </w:r>
          </w:p>
          <w:p>
            <w:pPr>
              <w:spacing w:after="60" w:before="0"/>
              <w:jc w:val="left"/>
            </w:pPr>
            <w:r>
              <w:rPr>
                <w:rFonts w:ascii="Arial" w:cs="Arial" w:eastAsia="Arial" w:hAnsi="Arial"/>
                <w:b/>
                <w:bCs/>
                <w:sz w:val="18"/>
                <w:szCs w:val="18"/>
              </w:rPr>
              <w:t xml:space="preserve">Your task:</w:t>
            </w:r>
          </w:p>
          <w:p>
            <w:pPr>
              <w:spacing w:after="60" w:before="0"/>
              <w:jc w:val="left"/>
            </w:pPr>
            <w:r>
              <w:rPr>
                <w:rFonts w:ascii="Arial" w:cs="Arial" w:eastAsia="Arial" w:hAnsi="Arial"/>
                <w:sz w:val="18"/>
                <w:szCs w:val="18"/>
              </w:rPr>
              <w:t xml:space="preserve">1.  Read all three findings carefully.</w:t>
            </w:r>
          </w:p>
          <w:p>
            <w:pPr>
              <w:spacing w:after="60" w:before="0"/>
              <w:jc w:val="left"/>
            </w:pPr>
            <w:r>
              <w:rPr>
                <w:rFonts w:ascii="Arial" w:cs="Arial" w:eastAsia="Arial" w:hAnsi="Arial"/>
                <w:sz w:val="18"/>
                <w:szCs w:val="18"/>
              </w:rPr>
              <w:t xml:space="preserve">2.  Identify which one is the material governance finding that requires immediate action under APRA CPG 234.</w:t>
            </w:r>
          </w:p>
          <w:p>
            <w:pPr>
              <w:spacing w:after="60" w:before="0"/>
              <w:jc w:val="left"/>
            </w:pPr>
            <w:r>
              <w:rPr>
                <w:rFonts w:ascii="Arial" w:cs="Arial" w:eastAsia="Arial" w:hAnsi="Arial"/>
                <w:sz w:val="18"/>
                <w:szCs w:val="18"/>
              </w:rPr>
              <w:t xml:space="preserve">3.  Rewrite it using the Governance Finding Template — in language your CRO and Appointed Actuary can both act on.</w:t>
            </w:r>
          </w:p>
          <w:p>
            <w:pPr>
              <w:spacing w:after="60" w:before="0"/>
              <w:jc w:val="left"/>
            </w:pPr>
            <w:r>
              <w:rPr>
                <w:rFonts w:ascii="Arial" w:cs="Arial" w:eastAsia="Arial" w:hAnsi="Arial"/>
                <w:sz w:val="18"/>
                <w:szCs w:val="18"/>
              </w:rPr>
              <w:t xml:space="preserve">4.  Assign a risk rating and a responsible owner.</w:t>
            </w:r>
          </w:p>
          <w:p>
            <w:pPr>
              <w:spacing w:after="0" w:before="40"/>
            </w:pPr>
            <w:r>
              <w:rPr>
                <w:rFonts w:ascii="Arial" w:cs="Arial" w:eastAsia="Arial" w:hAnsi="Arial"/>
                <w:sz w:val="20"/>
                <w:szCs w:val="20"/>
              </w:rPr>
              <w:t xml:space="preserve"/>
            </w:r>
          </w:p>
          <w:p>
            <w:pPr>
              <w:spacing w:after="60" w:before="0"/>
              <w:jc w:val="left"/>
            </w:pPr>
            <w:r>
              <w:rPr>
                <w:rFonts w:ascii="Arial" w:cs="Arial" w:eastAsia="Arial" w:hAnsi="Arial"/>
                <w:b/>
                <w:bCs/>
                <w:color w:val="777777"/>
                <w:sz w:val="16"/>
                <w:szCs w:val="16"/>
              </w:rPr>
              <w:t xml:space="preserve">Hint for the debrief:</w:t>
            </w:r>
          </w:p>
          <w:p>
            <w:pPr>
              <w:spacing w:after="60" w:before="0"/>
              <w:jc w:val="left"/>
            </w:pPr>
            <w:r>
              <w:rPr>
                <w:rFonts w:ascii="Arial" w:cs="Arial" w:eastAsia="Arial" w:hAnsi="Arial"/>
                <w:i/>
                <w:iCs/>
                <w:color w:val="666666"/>
                <w:sz w:val="16"/>
                <w:szCs w:val="16"/>
              </w:rPr>
              <w:t xml:space="preserve">One finding is a statistical observation. One is an important but remediable design gap. One is a deployment decision that is already causing harm to the insurer and its prospective policyholders. Disagreement within your group about which is which is expected — and productive.</w:t>
            </w:r>
          </w:p>
        </w:tc>
      </w:tr>
    </w:tbl>
    <w:p>
      <w:pPr>
        <w:spacing w:after="0" w:before="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rHeight w:val="1200" w:hRule="atLeast"/>
        </w:trPr>
        <w:tc>
          <w:tcPr>
            <w:tcW w:type="dxa" w:w="5616"/>
            <w:tcBorders>
              <w:top w:val="none" w:color="FFFFFF" w:sz="0"/>
              <w:left w:val="none" w:color="FFFFFF" w:sz="0"/>
              <w:bottom w:val="none" w:color="FFFFFF" w:sz="0"/>
              <w:right w:val="none" w:color="FFFFFF" w:sz="0"/>
            </w:tcBorders>
            <w:shd w:fill="0F1923" w:val="clear"/>
            <w:tcMar>
              <w:top w:type="dxa" w:w="100"/>
              <w:left w:type="dxa" w:w="140"/>
              <w:bottom w:type="dxa" w:w="100"/>
              <w:right w:type="dxa" w:w="140"/>
            </w:tcMar>
            <w:vAlign w:val="top"/>
          </w:tcPr>
          <w:p>
            <w:pPr>
              <w:spacing w:after="60" w:before="0"/>
              <w:jc w:val="left"/>
            </w:pPr>
            <w:r>
              <w:rPr>
                <w:rFonts w:ascii="Arial" w:cs="Arial" w:eastAsia="Arial" w:hAnsi="Arial"/>
                <w:b/>
                <w:bCs/>
                <w:color w:val="C0392B"/>
                <w:sz w:val="15"/>
                <w:szCs w:val="15"/>
              </w:rPr>
              <w:t xml:space="preserve">RESTRICTED · INTERNAL USE ONLY</w:t>
            </w:r>
          </w:p>
          <w:p>
            <w:pPr>
              <w:spacing w:after="0" w:before="60"/>
            </w:pPr>
            <w:r>
              <w:rPr>
                <w:rFonts w:ascii="Arial" w:cs="Arial" w:eastAsia="Arial" w:hAnsi="Arial"/>
                <w:sz w:val="20"/>
                <w:szCs w:val="20"/>
              </w:rPr>
              <w:t xml:space="preserve"/>
            </w:r>
          </w:p>
          <w:p>
            <w:pPr>
              <w:spacing w:after="60" w:before="0"/>
              <w:jc w:val="left"/>
            </w:pPr>
            <w:r>
              <w:rPr>
                <w:rFonts w:ascii="Arial" w:cs="Arial" w:eastAsia="Arial" w:hAnsi="Arial"/>
                <w:b/>
                <w:bCs/>
                <w:color w:val="FFFFFF"/>
                <w:sz w:val="32"/>
                <w:szCs w:val="32"/>
              </w:rPr>
              <w:t xml:space="preserve">MODEL VALIDATION REPORT</w:t>
            </w:r>
          </w:p>
          <w:p>
            <w:pPr>
              <w:spacing w:after="60" w:before="0"/>
              <w:jc w:val="left"/>
            </w:pPr>
            <w:r>
              <w:rPr>
                <w:rFonts w:ascii="Arial" w:cs="Arial" w:eastAsia="Arial" w:hAnsi="Arial"/>
                <w:color w:val="AAAAAA"/>
                <w:sz w:val="18"/>
                <w:szCs w:val="18"/>
              </w:rPr>
              <w:t xml:space="preserve">Excerpt — Activity 02</w:t>
            </w:r>
          </w:p>
        </w:tc>
        <w:tc>
          <w:tcPr>
            <w:tcW w:type="dxa" w:w="3744"/>
            <w:tcBorders>
              <w:top w:val="none" w:color="FFFFFF" w:sz="0"/>
              <w:left w:val="none" w:color="FFFFFF" w:sz="0"/>
              <w:bottom w:val="none" w:color="FFFFFF" w:sz="0"/>
              <w:right w:val="none" w:color="FFFFFF" w:sz="0"/>
            </w:tcBorders>
            <w:shd w:fill="1A2A38" w:val="clear"/>
            <w:tcMar>
              <w:top w:type="dxa" w:w="100"/>
              <w:left w:type="dxa" w:w="140"/>
              <w:bottom w:type="dxa" w:w="100"/>
              <w:right w:type="dxa" w:w="140"/>
            </w:tcMar>
            <w:vAlign w:val="top"/>
          </w:tcPr>
          <w:p>
            <w:pPr>
              <w:spacing w:after="60" w:before="0"/>
              <w:jc w:val="left"/>
            </w:pPr>
            <w:r>
              <w:rPr>
                <w:rFonts w:ascii="Arial" w:cs="Arial" w:eastAsia="Arial" w:hAnsi="Arial"/>
                <w:b/>
                <w:bCs/>
                <w:color w:val="FFFFFF"/>
                <w:sz w:val="20"/>
                <w:szCs w:val="20"/>
              </w:rPr>
              <w:t xml:space="preserve">Meridian Insurance</w:t>
            </w:r>
          </w:p>
          <w:p>
            <w:pPr>
              <w:spacing w:after="60" w:before="0"/>
              <w:jc w:val="left"/>
            </w:pPr>
            <w:r>
              <w:rPr>
                <w:rFonts w:ascii="Arial" w:cs="Arial" w:eastAsia="Arial" w:hAnsi="Arial"/>
                <w:color w:val="AAAAAA"/>
                <w:sz w:val="16"/>
                <w:szCs w:val="16"/>
              </w:rPr>
              <w:t xml:space="preserve">Group Risk &amp; Actuarial Function</w:t>
            </w:r>
          </w:p>
          <w:p>
            <w:pPr>
              <w:spacing w:after="0" w:before="80"/>
            </w:pPr>
            <w:r>
              <w:rPr>
                <w:rFonts w:ascii="Arial" w:cs="Arial" w:eastAsia="Arial" w:hAnsi="Arial"/>
                <w:sz w:val="20"/>
                <w:szCs w:val="20"/>
              </w:rPr>
              <w:t xml:space="preserve"/>
            </w:r>
          </w:p>
          <w:p>
            <w:pPr>
              <w:spacing w:after="60" w:before="0"/>
              <w:jc w:val="left"/>
            </w:pPr>
            <w:r>
              <w:rPr>
                <w:rFonts w:ascii="Arial" w:cs="Arial" w:eastAsia="Arial" w:hAnsi="Arial"/>
                <w:color w:val="888888"/>
                <w:sz w:val="15"/>
                <w:szCs w:val="15"/>
              </w:rPr>
              <w:t xml:space="preserve">Document ref:</w:t>
            </w:r>
          </w:p>
          <w:p>
            <w:pPr>
              <w:spacing w:after="60" w:before="0"/>
              <w:jc w:val="left"/>
            </w:pPr>
            <w:r>
              <w:rPr>
                <w:rFonts w:ascii="Arial" w:cs="Arial" w:eastAsia="Arial" w:hAnsi="Arial"/>
                <w:color w:val="FFFFFF"/>
                <w:sz w:val="18"/>
                <w:szCs w:val="18"/>
              </w:rPr>
              <w:t xml:space="preserve">MER-VAL-2025-018</w:t>
            </w:r>
          </w:p>
          <w:p>
            <w:pPr>
              <w:spacing w:after="60" w:before="0"/>
              <w:jc w:val="left"/>
            </w:pPr>
            <w:r>
              <w:rPr>
                <w:rFonts w:ascii="Arial" w:cs="Arial" w:eastAsia="Arial" w:hAnsi="Arial"/>
                <w:color w:val="AAAAAA"/>
                <w:sz w:val="16"/>
                <w:szCs w:val="16"/>
              </w:rPr>
              <w:t xml:space="preserve">Version: 2.1 (Final)</w:t>
            </w:r>
          </w:p>
        </w:tc>
      </w:tr>
    </w:tbl>
    <w:p>
      <w:pPr>
        <w:spacing w:after="0" w:before="80"/>
      </w:pPr>
      <w:r>
        <w:rPr>
          <w:rFonts w:ascii="Arial" w:cs="Arial" w:eastAsia="Arial" w:hAnsi="Arial"/>
          <w:sz w:val="20"/>
          <w:szCs w:val="20"/>
        </w:rPr>
        <w:t xml:space="preserve"/>
      </w:r>
    </w:p>
    <w:p>
      <w:pPr>
        <w:spacing w:after="80" w:before="120"/>
        <w:jc w:val="left"/>
      </w:pPr>
      <w:r>
        <w:rPr>
          <w:rFonts w:ascii="Arial" w:cs="Arial" w:eastAsia="Arial" w:hAnsi="Arial"/>
          <w:b/>
          <w:bCs/>
          <w:color w:val="0F1923"/>
          <w:sz w:val="24"/>
          <w:szCs w:val="24"/>
        </w:rPr>
        <w:t xml:space="preserve">1. Document Purpose</w:t>
      </w:r>
    </w:p>
    <w:p>
      <w:pPr>
        <w:spacing w:after="80" w:before="0"/>
        <w:jc w:val="left"/>
      </w:pPr>
      <w:r>
        <w:rPr>
          <w:rFonts w:ascii="Arial" w:cs="Arial" w:eastAsia="Arial" w:hAnsi="Arial"/>
          <w:sz w:val="18"/>
          <w:szCs w:val="18"/>
        </w:rPr>
        <w:t xml:space="preserve">This report presents the findings of the independent validation of the HealthAssist Underwriting AI system conducted by the Meridian Insurance Quantitative Analytics and Independent Model Risk teams during January–March 2025. The validation was commissioned in accordance with the Model Risk Management Framework (MRMF v3.2) and APRA Prudential Practice Guide CPG 234 Information Security, which requires that material AI systems be subject to independent review prior to deployment and on a periodic basis thereafter.</w:t>
      </w:r>
    </w:p>
    <w:p>
      <w:pPr>
        <w:spacing w:after="80" w:before="0"/>
        <w:jc w:val="left"/>
      </w:pPr>
      <w:r>
        <w:rPr>
          <w:rFonts w:ascii="Arial" w:cs="Arial" w:eastAsia="Arial" w:hAnsi="Arial"/>
          <w:i/>
          <w:iCs/>
          <w:color w:val="666666"/>
          <w:sz w:val="18"/>
          <w:szCs w:val="18"/>
        </w:rPr>
        <w:t xml:space="preserve">This document is an excerpt. The full report (89 pages) includes complete backtesting results, sensitivity analysis, and the model development team's responses to each finding. This excerpt covers Section 4 (Key Findings) only.</w:t>
      </w:r>
    </w:p>
    <w:p>
      <w:pPr>
        <w:spacing w:after="80" w:before="120"/>
        <w:jc w:val="left"/>
      </w:pPr>
      <w:r>
        <w:rPr>
          <w:rFonts w:ascii="Arial" w:cs="Arial" w:eastAsia="Arial" w:hAnsi="Arial"/>
          <w:b/>
          <w:bCs/>
          <w:color w:val="0F1923"/>
          <w:sz w:val="24"/>
          <w:szCs w:val="24"/>
        </w:rPr>
        <w:t xml:space="preserve">2. Model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0C8" w:sz="4"/>
              <w:left w:val="single" w:color="D4D0C8" w:sz="4"/>
              <w:bottom w:val="single" w:color="D4D0C8" w:sz="4"/>
              <w:right w:val="single" w:color="D4D0C8" w:sz="4"/>
            </w:tcBorders>
            <w:shd w:fill="E8E5DD" w:val="clear"/>
            <w:tcMar>
              <w:top w:type="dxa" w:w="100"/>
              <w:left w:type="dxa" w:w="140"/>
              <w:bottom w:type="dxa" w:w="100"/>
              <w:right w:type="dxa" w:w="140"/>
            </w:tcMar>
            <w:vAlign w:val="top"/>
          </w:tcPr>
          <w:p>
            <w:pPr>
              <w:spacing w:after="60" w:before="0"/>
              <w:jc w:val="left"/>
            </w:pPr>
            <w:r>
              <w:rPr>
                <w:rFonts w:ascii="Arial" w:cs="Arial" w:eastAsia="Arial" w:hAnsi="Arial"/>
                <w:b/>
                <w:bCs/>
                <w:color w:val="555555"/>
                <w:sz w:val="18"/>
                <w:szCs w:val="18"/>
              </w:rPr>
              <w:t xml:space="preserve">System Name</w:t>
            </w:r>
          </w:p>
        </w:tc>
        <w:tc>
          <w:tcPr>
            <w:tcW w:type="dxa" w:w="6960"/>
            <w:tcBorders>
              <w:top w:val="single" w:color="D4D0C8" w:sz="4"/>
              <w:left w:val="single" w:color="D4D0C8" w:sz="4"/>
              <w:bottom w:val="single" w:color="D4D0C8" w:sz="4"/>
              <w:right w:val="single" w:color="D4D0C8" w:sz="4"/>
            </w:tcBorders>
            <w:shd w:fill="FFFFFF" w:val="clear"/>
            <w:tcMar>
              <w:top w:type="dxa" w:w="100"/>
              <w:left w:type="dxa" w:w="140"/>
              <w:bottom w:type="dxa" w:w="100"/>
              <w:right w:type="dxa" w:w="140"/>
            </w:tcMar>
            <w:vAlign w:val="top"/>
          </w:tcPr>
          <w:p>
            <w:pPr>
              <w:spacing w:after="60" w:before="0"/>
              <w:jc w:val="left"/>
            </w:pPr>
            <w:r>
              <w:rPr>
                <w:rFonts w:ascii="Arial" w:cs="Arial" w:eastAsia="Arial" w:hAnsi="Arial"/>
                <w:sz w:val="18"/>
                <w:szCs w:val="18"/>
              </w:rPr>
              <w:t xml:space="preserve">HealthAssist Underwriting AI — Group Hospital Admissions Predictor</w:t>
            </w:r>
          </w:p>
        </w:tc>
      </w:tr>
      <w:tr>
        <w:tc>
          <w:tcPr>
            <w:tcW w:type="dxa" w:w="2400"/>
            <w:tcBorders>
              <w:top w:val="single" w:color="D4D0C8" w:sz="4"/>
              <w:left w:val="single" w:color="D4D0C8" w:sz="4"/>
              <w:bottom w:val="single" w:color="D4D0C8" w:sz="4"/>
              <w:right w:val="single" w:color="D4D0C8" w:sz="4"/>
            </w:tcBorders>
            <w:shd w:fill="E8E5DD" w:val="clear"/>
            <w:tcMar>
              <w:top w:type="dxa" w:w="100"/>
              <w:left w:type="dxa" w:w="140"/>
              <w:bottom w:type="dxa" w:w="100"/>
              <w:right w:type="dxa" w:w="140"/>
            </w:tcMar>
            <w:vAlign w:val="top"/>
          </w:tcPr>
          <w:p>
            <w:pPr>
              <w:spacing w:after="60" w:before="0"/>
              <w:jc w:val="left"/>
            </w:pPr>
            <w:r>
              <w:rPr>
                <w:rFonts w:ascii="Arial" w:cs="Arial" w:eastAsia="Arial" w:hAnsi="Arial"/>
                <w:b/>
                <w:bCs/>
                <w:color w:val="555555"/>
                <w:sz w:val="18"/>
                <w:szCs w:val="18"/>
              </w:rPr>
              <w:t xml:space="preserve">Model Type</w:t>
            </w:r>
          </w:p>
        </w:tc>
        <w:tc>
          <w:tcPr>
            <w:tcW w:type="dxa" w:w="6960"/>
            <w:tcBorders>
              <w:top w:val="single" w:color="D4D0C8" w:sz="4"/>
              <w:left w:val="single" w:color="D4D0C8" w:sz="4"/>
              <w:bottom w:val="single" w:color="D4D0C8" w:sz="4"/>
              <w:right w:val="single" w:color="D4D0C8" w:sz="4"/>
            </w:tcBorders>
            <w:shd w:fill="FFFFFF" w:val="clear"/>
            <w:tcMar>
              <w:top w:type="dxa" w:w="100"/>
              <w:left w:type="dxa" w:w="140"/>
              <w:bottom w:type="dxa" w:w="100"/>
              <w:right w:type="dxa" w:w="140"/>
            </w:tcMar>
            <w:vAlign w:val="top"/>
          </w:tcPr>
          <w:p>
            <w:pPr>
              <w:spacing w:after="60" w:before="0"/>
              <w:jc w:val="left"/>
            </w:pPr>
            <w:r>
              <w:rPr>
                <w:rFonts w:ascii="Arial" w:cs="Arial" w:eastAsia="Arial" w:hAnsi="Arial"/>
                <w:sz w:val="18"/>
                <w:szCs w:val="18"/>
              </w:rPr>
              <w:t xml:space="preserve">Gradient Boosting Classifier (XGBoost v1.7)</w:t>
            </w:r>
          </w:p>
        </w:tc>
      </w:tr>
      <w:tr>
        <w:tc>
          <w:tcPr>
            <w:tcW w:type="dxa" w:w="2400"/>
            <w:tcBorders>
              <w:top w:val="single" w:color="D4D0C8" w:sz="4"/>
              <w:left w:val="single" w:color="D4D0C8" w:sz="4"/>
              <w:bottom w:val="single" w:color="D4D0C8" w:sz="4"/>
              <w:right w:val="single" w:color="D4D0C8" w:sz="4"/>
            </w:tcBorders>
            <w:shd w:fill="E8E5DD" w:val="clear"/>
            <w:tcMar>
              <w:top w:type="dxa" w:w="100"/>
              <w:left w:type="dxa" w:w="140"/>
              <w:bottom w:type="dxa" w:w="100"/>
              <w:right w:type="dxa" w:w="140"/>
            </w:tcMar>
            <w:vAlign w:val="top"/>
          </w:tcPr>
          <w:p>
            <w:pPr>
              <w:spacing w:after="60" w:before="0"/>
              <w:jc w:val="left"/>
            </w:pPr>
            <w:r>
              <w:rPr>
                <w:rFonts w:ascii="Arial" w:cs="Arial" w:eastAsia="Arial" w:hAnsi="Arial"/>
                <w:b/>
                <w:bCs/>
                <w:color w:val="555555"/>
                <w:sz w:val="18"/>
                <w:szCs w:val="18"/>
              </w:rPr>
              <w:t xml:space="preserve">Purpose</w:t>
            </w:r>
          </w:p>
        </w:tc>
        <w:tc>
          <w:tcPr>
            <w:tcW w:type="dxa" w:w="6960"/>
            <w:tcBorders>
              <w:top w:val="single" w:color="D4D0C8" w:sz="4"/>
              <w:left w:val="single" w:color="D4D0C8" w:sz="4"/>
              <w:bottom w:val="single" w:color="D4D0C8" w:sz="4"/>
              <w:right w:val="single" w:color="D4D0C8" w:sz="4"/>
            </w:tcBorders>
            <w:shd w:fill="FFFFFF" w:val="clear"/>
            <w:tcMar>
              <w:top w:type="dxa" w:w="100"/>
              <w:left w:type="dxa" w:w="140"/>
              <w:bottom w:type="dxa" w:w="100"/>
              <w:right w:type="dxa" w:w="140"/>
            </w:tcMar>
            <w:vAlign w:val="top"/>
          </w:tcPr>
          <w:p>
            <w:pPr>
              <w:spacing w:after="60" w:before="0"/>
              <w:jc w:val="left"/>
            </w:pPr>
            <w:r>
              <w:rPr>
                <w:rFonts w:ascii="Arial" w:cs="Arial" w:eastAsia="Arial" w:hAnsi="Arial"/>
                <w:sz w:val="18"/>
                <w:szCs w:val="18"/>
              </w:rPr>
              <w:t xml:space="preserve">Predicts probability of hospital admission within 90 days for group life and health policyholders. Output used in group pricing for employer-sponsored plans (100+ members).</w:t>
            </w:r>
          </w:p>
        </w:tc>
      </w:tr>
      <w:tr>
        <w:tc>
          <w:tcPr>
            <w:tcW w:type="dxa" w:w="2400"/>
            <w:tcBorders>
              <w:top w:val="single" w:color="D4D0C8" w:sz="4"/>
              <w:left w:val="single" w:color="D4D0C8" w:sz="4"/>
              <w:bottom w:val="single" w:color="D4D0C8" w:sz="4"/>
              <w:right w:val="single" w:color="D4D0C8" w:sz="4"/>
            </w:tcBorders>
            <w:shd w:fill="E8E5DD" w:val="clear"/>
            <w:tcMar>
              <w:top w:type="dxa" w:w="100"/>
              <w:left w:type="dxa" w:w="140"/>
              <w:bottom w:type="dxa" w:w="100"/>
              <w:right w:type="dxa" w:w="140"/>
            </w:tcMar>
            <w:vAlign w:val="top"/>
          </w:tcPr>
          <w:p>
            <w:pPr>
              <w:spacing w:after="60" w:before="0"/>
              <w:jc w:val="left"/>
            </w:pPr>
            <w:r>
              <w:rPr>
                <w:rFonts w:ascii="Arial" w:cs="Arial" w:eastAsia="Arial" w:hAnsi="Arial"/>
                <w:b/>
                <w:bCs/>
                <w:color w:val="555555"/>
                <w:sz w:val="18"/>
                <w:szCs w:val="18"/>
              </w:rPr>
              <w:t xml:space="preserve">Validation Scope</w:t>
            </w:r>
          </w:p>
        </w:tc>
        <w:tc>
          <w:tcPr>
            <w:tcW w:type="dxa" w:w="6960"/>
            <w:tcBorders>
              <w:top w:val="single" w:color="D4D0C8" w:sz="4"/>
              <w:left w:val="single" w:color="D4D0C8" w:sz="4"/>
              <w:bottom w:val="single" w:color="D4D0C8" w:sz="4"/>
              <w:right w:val="single" w:color="D4D0C8" w:sz="4"/>
            </w:tcBorders>
            <w:shd w:fill="FFFFFF" w:val="clear"/>
            <w:tcMar>
              <w:top w:type="dxa" w:w="100"/>
              <w:left w:type="dxa" w:w="140"/>
              <w:bottom w:type="dxa" w:w="100"/>
              <w:right w:type="dxa" w:w="140"/>
            </w:tcMar>
            <w:vAlign w:val="top"/>
          </w:tcPr>
          <w:p>
            <w:pPr>
              <w:spacing w:after="60" w:before="0"/>
              <w:jc w:val="left"/>
            </w:pPr>
            <w:r>
              <w:rPr>
                <w:rFonts w:ascii="Arial" w:cs="Arial" w:eastAsia="Arial" w:hAnsi="Arial"/>
                <w:sz w:val="18"/>
                <w:szCs w:val="18"/>
              </w:rPr>
              <w:t xml:space="preserve">Initial validation prior to production deployment — Q1 2025</w:t>
            </w:r>
          </w:p>
        </w:tc>
      </w:tr>
      <w:tr>
        <w:tc>
          <w:tcPr>
            <w:tcW w:type="dxa" w:w="2400"/>
            <w:tcBorders>
              <w:top w:val="single" w:color="D4D0C8" w:sz="4"/>
              <w:left w:val="single" w:color="D4D0C8" w:sz="4"/>
              <w:bottom w:val="single" w:color="D4D0C8" w:sz="4"/>
              <w:right w:val="single" w:color="D4D0C8" w:sz="4"/>
            </w:tcBorders>
            <w:shd w:fill="E8E5DD" w:val="clear"/>
            <w:tcMar>
              <w:top w:type="dxa" w:w="100"/>
              <w:left w:type="dxa" w:w="140"/>
              <w:bottom w:type="dxa" w:w="100"/>
              <w:right w:type="dxa" w:w="140"/>
            </w:tcMar>
            <w:vAlign w:val="top"/>
          </w:tcPr>
          <w:p>
            <w:pPr>
              <w:spacing w:after="60" w:before="0"/>
              <w:jc w:val="left"/>
            </w:pPr>
            <w:r>
              <w:rPr>
                <w:rFonts w:ascii="Arial" w:cs="Arial" w:eastAsia="Arial" w:hAnsi="Arial"/>
                <w:b/>
                <w:bCs/>
                <w:color w:val="555555"/>
                <w:sz w:val="18"/>
                <w:szCs w:val="18"/>
              </w:rPr>
              <w:t xml:space="preserve">Validation Team</w:t>
            </w:r>
          </w:p>
        </w:tc>
        <w:tc>
          <w:tcPr>
            <w:tcW w:type="dxa" w:w="6960"/>
            <w:tcBorders>
              <w:top w:val="single" w:color="D4D0C8" w:sz="4"/>
              <w:left w:val="single" w:color="D4D0C8" w:sz="4"/>
              <w:bottom w:val="single" w:color="D4D0C8" w:sz="4"/>
              <w:right w:val="single" w:color="D4D0C8" w:sz="4"/>
            </w:tcBorders>
            <w:shd w:fill="FFFFFF" w:val="clear"/>
            <w:tcMar>
              <w:top w:type="dxa" w:w="100"/>
              <w:left w:type="dxa" w:w="140"/>
              <w:bottom w:type="dxa" w:w="100"/>
              <w:right w:type="dxa" w:w="140"/>
            </w:tcMar>
            <w:vAlign w:val="top"/>
          </w:tcPr>
          <w:p>
            <w:pPr>
              <w:spacing w:after="60" w:before="0"/>
              <w:jc w:val="left"/>
            </w:pPr>
            <w:r>
              <w:rPr>
                <w:rFonts w:ascii="Arial" w:cs="Arial" w:eastAsia="Arial" w:hAnsi="Arial"/>
                <w:sz w:val="18"/>
                <w:szCs w:val="18"/>
              </w:rPr>
              <w:t xml:space="preserve">Independent Model Risk, Quantitative Analytics (2 FSAs, 1 data scientist)</w:t>
            </w:r>
          </w:p>
        </w:tc>
      </w:tr>
      <w:tr>
        <w:tc>
          <w:tcPr>
            <w:tcW w:type="dxa" w:w="2400"/>
            <w:tcBorders>
              <w:top w:val="single" w:color="D4D0C8" w:sz="4"/>
              <w:left w:val="single" w:color="D4D0C8" w:sz="4"/>
              <w:bottom w:val="single" w:color="D4D0C8" w:sz="4"/>
              <w:right w:val="single" w:color="D4D0C8" w:sz="4"/>
            </w:tcBorders>
            <w:shd w:fill="E8E5DD" w:val="clear"/>
            <w:tcMar>
              <w:top w:type="dxa" w:w="100"/>
              <w:left w:type="dxa" w:w="140"/>
              <w:bottom w:type="dxa" w:w="100"/>
              <w:right w:type="dxa" w:w="140"/>
            </w:tcMar>
            <w:vAlign w:val="top"/>
          </w:tcPr>
          <w:p>
            <w:pPr>
              <w:spacing w:after="60" w:before="0"/>
              <w:jc w:val="left"/>
            </w:pPr>
            <w:r>
              <w:rPr>
                <w:rFonts w:ascii="Arial" w:cs="Arial" w:eastAsia="Arial" w:hAnsi="Arial"/>
                <w:b/>
                <w:bCs/>
                <w:color w:val="555555"/>
                <w:sz w:val="18"/>
                <w:szCs w:val="18"/>
              </w:rPr>
              <w:t xml:space="preserve">Risk Tier</w:t>
            </w:r>
          </w:p>
        </w:tc>
        <w:tc>
          <w:tcPr>
            <w:tcW w:type="dxa" w:w="6960"/>
            <w:tcBorders>
              <w:top w:val="single" w:color="D4D0C8" w:sz="4"/>
              <w:left w:val="single" w:color="D4D0C8" w:sz="4"/>
              <w:bottom w:val="single" w:color="D4D0C8" w:sz="4"/>
              <w:right w:val="single" w:color="D4D0C8" w:sz="4"/>
            </w:tcBorders>
            <w:shd w:fill="FFFFFF" w:val="clear"/>
            <w:tcMar>
              <w:top w:type="dxa" w:w="100"/>
              <w:left w:type="dxa" w:w="140"/>
              <w:bottom w:type="dxa" w:w="100"/>
              <w:right w:type="dxa" w:w="140"/>
            </w:tcMar>
            <w:vAlign w:val="top"/>
          </w:tcPr>
          <w:p>
            <w:pPr>
              <w:spacing w:after="60" w:before="0"/>
              <w:jc w:val="left"/>
            </w:pPr>
            <w:r>
              <w:rPr>
                <w:rFonts w:ascii="Arial" w:cs="Arial" w:eastAsia="Arial" w:hAnsi="Arial"/>
                <w:sz w:val="18"/>
                <w:szCs w:val="18"/>
              </w:rPr>
              <w:t xml:space="preserve">Tier 2 (proposed) — see Section 4 for tier assessment rationale</w:t>
            </w:r>
          </w:p>
        </w:tc>
      </w:tr>
    </w:tbl>
    <w:p>
      <w:pPr>
        <w:spacing w:after="0" w:before="80"/>
      </w:pPr>
      <w:r>
        <w:rPr>
          <w:rFonts w:ascii="Arial" w:cs="Arial" w:eastAsia="Arial" w:hAnsi="Arial"/>
          <w:sz w:val="20"/>
          <w:szCs w:val="20"/>
        </w:rPr>
        <w:t xml:space="preserve"/>
      </w:r>
    </w:p>
    <w:p>
      <w:pPr>
        <w:spacing w:after="80" w:before="120"/>
        <w:jc w:val="left"/>
      </w:pPr>
      <w:r>
        <w:rPr>
          <w:rFonts w:ascii="Arial" w:cs="Arial" w:eastAsia="Arial" w:hAnsi="Arial"/>
          <w:b/>
          <w:bCs/>
          <w:color w:val="0F1923"/>
          <w:sz w:val="24"/>
          <w:szCs w:val="24"/>
        </w:rPr>
        <w:t xml:space="preserve">3. Validation Summary</w:t>
      </w:r>
    </w:p>
    <w:p>
      <w:pPr>
        <w:spacing w:after="60" w:before="0"/>
        <w:jc w:val="left"/>
      </w:pPr>
      <w:r>
        <w:rPr>
          <w:rFonts w:ascii="Arial" w:cs="Arial" w:eastAsia="Arial" w:hAnsi="Arial"/>
          <w:sz w:val="18"/>
          <w:szCs w:val="18"/>
        </w:rPr>
        <w:t xml:space="preserve">The model demonstrates acceptable discrimination performance on the training population. Three findings are raised in this validation. The validation team's overall assessment, subject to satisfactory remediation of findings, is that the model meets the technical requirements for deployment to the intended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0C8" w:sz="4"/>
              <w:left w:val="single" w:color="D4D0C8" w:sz="4"/>
              <w:bottom w:val="single" w:color="D4D0C8" w:sz="4"/>
              <w:right w:val="single" w:color="D4D0C8" w:sz="4"/>
            </w:tcBorders>
            <w:shd w:fill="ECFAFE" w:val="clear"/>
            <w:tcMar>
              <w:top w:type="dxa" w:w="100"/>
              <w:left w:type="dxa" w:w="140"/>
              <w:bottom w:type="dxa" w:w="100"/>
              <w:right w:type="dxa" w:w="140"/>
            </w:tcMar>
            <w:vAlign w:val="top"/>
          </w:tcPr>
          <w:p>
            <w:pPr>
              <w:spacing w:after="60" w:before="0"/>
              <w:jc w:val="left"/>
            </w:pPr>
            <w:r>
              <w:rPr>
                <w:rFonts w:ascii="Arial" w:cs="Arial" w:eastAsia="Arial" w:hAnsi="Arial"/>
                <w:b/>
                <w:bCs/>
                <w:color w:val="555555"/>
                <w:sz w:val="16"/>
                <w:szCs w:val="16"/>
              </w:rPr>
              <w:t xml:space="preserve">Overall model performance</w:t>
            </w:r>
          </w:p>
          <w:p>
            <w:pPr>
              <w:spacing w:after="60" w:before="0"/>
              <w:jc w:val="left"/>
            </w:pPr>
            <w:r>
              <w:rPr>
                <w:rFonts w:ascii="Arial" w:cs="Arial" w:eastAsia="Arial" w:hAnsi="Arial"/>
                <w:b/>
                <w:bCs/>
                <w:color w:val="0E7490"/>
                <w:sz w:val="20"/>
                <w:szCs w:val="20"/>
              </w:rPr>
              <w:t xml:space="preserve">AUC-ROC: 0.81 · Gini: 0.62</w:t>
            </w:r>
          </w:p>
        </w:tc>
        <w:tc>
          <w:tcPr>
            <w:tcW w:type="dxa" w:w="3120"/>
            <w:tcBorders>
              <w:top w:val="single" w:color="D4D0C8" w:sz="4"/>
              <w:left w:val="single" w:color="D4D0C8" w:sz="4"/>
              <w:bottom w:val="single" w:color="D4D0C8" w:sz="4"/>
              <w:right w:val="single" w:color="D4D0C8" w:sz="4"/>
            </w:tcBorders>
            <w:shd w:fill="FDF1F0" w:val="clear"/>
            <w:tcMar>
              <w:top w:type="dxa" w:w="100"/>
              <w:left w:type="dxa" w:w="140"/>
              <w:bottom w:type="dxa" w:w="100"/>
              <w:right w:type="dxa" w:w="140"/>
            </w:tcMar>
            <w:vAlign w:val="top"/>
          </w:tcPr>
          <w:p>
            <w:pPr>
              <w:spacing w:after="60" w:before="0"/>
              <w:jc w:val="left"/>
            </w:pPr>
            <w:r>
              <w:rPr>
                <w:rFonts w:ascii="Arial" w:cs="Arial" w:eastAsia="Arial" w:hAnsi="Arial"/>
                <w:b/>
                <w:bCs/>
                <w:color w:val="555555"/>
                <w:sz w:val="16"/>
                <w:szCs w:val="16"/>
              </w:rPr>
              <w:t xml:space="preserve">Findings raised</w:t>
            </w:r>
          </w:p>
          <w:p>
            <w:pPr>
              <w:spacing w:after="60" w:before="0"/>
              <w:jc w:val="left"/>
            </w:pPr>
            <w:r>
              <w:rPr>
                <w:rFonts w:ascii="Arial" w:cs="Arial" w:eastAsia="Arial" w:hAnsi="Arial"/>
                <w:b/>
                <w:bCs/>
                <w:color w:val="C0392B"/>
                <w:sz w:val="18"/>
                <w:szCs w:val="18"/>
              </w:rPr>
              <w:t xml:space="preserve">3 (1 Critical, 1 Statistical, 1 Governance)</w:t>
            </w:r>
          </w:p>
        </w:tc>
        <w:tc>
          <w:tcPr>
            <w:tcW w:type="dxa" w:w="3120"/>
            <w:tcBorders>
              <w:top w:val="single" w:color="D4D0C8" w:sz="4"/>
              <w:left w:val="single" w:color="D4D0C8" w:sz="4"/>
              <w:bottom w:val="single" w:color="D4D0C8" w:sz="4"/>
              <w:right w:val="single" w:color="D4D0C8" w:sz="4"/>
            </w:tcBorders>
            <w:shd w:fill="FDF8EC" w:val="clear"/>
            <w:tcMar>
              <w:top w:type="dxa" w:w="100"/>
              <w:left w:type="dxa" w:w="140"/>
              <w:bottom w:type="dxa" w:w="100"/>
              <w:right w:type="dxa" w:w="140"/>
            </w:tcMar>
            <w:vAlign w:val="top"/>
          </w:tcPr>
          <w:p>
            <w:pPr>
              <w:spacing w:after="60" w:before="0"/>
              <w:jc w:val="left"/>
            </w:pPr>
            <w:r>
              <w:rPr>
                <w:rFonts w:ascii="Arial" w:cs="Arial" w:eastAsia="Arial" w:hAnsi="Arial"/>
                <w:b/>
                <w:bCs/>
                <w:color w:val="555555"/>
                <w:sz w:val="16"/>
                <w:szCs w:val="16"/>
              </w:rPr>
              <w:t xml:space="preserve">Deployment recommendation</w:t>
            </w:r>
          </w:p>
          <w:p>
            <w:pPr>
              <w:spacing w:after="60" w:before="0"/>
              <w:jc w:val="left"/>
            </w:pPr>
            <w:r>
              <w:rPr>
                <w:rFonts w:ascii="Arial" w:cs="Arial" w:eastAsia="Arial" w:hAnsi="Arial"/>
                <w:b/>
                <w:bCs/>
                <w:color w:val="92680A"/>
                <w:sz w:val="18"/>
                <w:szCs w:val="18"/>
              </w:rPr>
              <w:t xml:space="preserve">CONDITIONAL — subject to F-1 remediation</w:t>
            </w:r>
          </w:p>
        </w:tc>
      </w:tr>
    </w:tbl>
    <w:p>
      <w:pPr>
        <w:spacing w:after="0" w:before="80"/>
      </w:pPr>
      <w:r>
        <w:rPr>
          <w:rFonts w:ascii="Arial" w:cs="Arial" w:eastAsia="Arial" w:hAnsi="Arial"/>
          <w:sz w:val="20"/>
          <w:szCs w:val="20"/>
        </w:rPr>
        <w:t xml:space="preserve"/>
      </w:r>
    </w:p>
    <w:p>
      <w:pPr>
        <w:spacing w:after="80" w:before="120"/>
        <w:jc w:val="left"/>
      </w:pPr>
      <w:r>
        <w:rPr>
          <w:rFonts w:ascii="Arial" w:cs="Arial" w:eastAsia="Arial" w:hAnsi="Arial"/>
          <w:b/>
          <w:bCs/>
          <w:color w:val="0F1923"/>
          <w:sz w:val="24"/>
          <w:szCs w:val="24"/>
        </w:rPr>
        <w:t xml:space="preserve">4. Key Findings</w:t>
      </w:r>
    </w:p>
    <w:p>
      <w:pPr>
        <w:spacing w:after="60" w:before="0"/>
        <w:jc w:val="left"/>
      </w:pPr>
      <w:r>
        <w:rPr>
          <w:rFonts w:ascii="Arial" w:cs="Arial" w:eastAsia="Arial" w:hAnsi="Arial"/>
          <w:i/>
          <w:iCs/>
          <w:color w:val="666666"/>
          <w:sz w:val="18"/>
          <w:szCs w:val="18"/>
        </w:rPr>
        <w:t xml:space="preserve">The following findings are presented in the order in which they appear in the technical analysis. This order does not reflect priority. Participants should assess priority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20"/>
        <w:gridCol w:w="900"/>
        <w:gridCol w:w="7260"/>
      </w:tblGrid>
      <w:tr>
        <w:tc>
          <w:tcPr>
            <w:tcW w:type="dxa" w:w="380"/>
            <w:tcBorders>
              <w:top w:val="single" w:color="0F1923" w:sz="4"/>
              <w:left w:val="single" w:color="0F1923" w:sz="4"/>
              <w:bottom w:val="single" w:color="0F1923" w:sz="4"/>
              <w:right w:val="single" w:color="0F1923" w:sz="4"/>
            </w:tcBorders>
            <w:shd w:fill="0F1923" w:val="clear"/>
            <w:tcMar>
              <w:top w:type="dxa" w:w="100"/>
              <w:left w:type="dxa" w:w="140"/>
              <w:bottom w:type="dxa" w:w="100"/>
              <w:right w:type="dxa" w:w="140"/>
            </w:tcMar>
            <w:vAlign w:val="top"/>
          </w:tcPr>
          <w:p>
            <w:pPr>
              <w:spacing w:after="60" w:before="0"/>
              <w:jc w:val="left"/>
            </w:pPr>
            <w:r>
              <w:rPr>
                <w:rFonts w:ascii="Arial" w:cs="Arial" w:eastAsia="Arial" w:hAnsi="Arial"/>
                <w:b/>
                <w:bCs/>
                <w:color w:val="FFFFFF"/>
                <w:sz w:val="16"/>
                <w:szCs w:val="16"/>
              </w:rPr>
              <w:t xml:space="preserve">#</w:t>
            </w:r>
          </w:p>
        </w:tc>
        <w:tc>
          <w:tcPr>
            <w:tcW w:type="dxa" w:w="820"/>
            <w:tcBorders>
              <w:top w:val="single" w:color="0F1923" w:sz="4"/>
              <w:left w:val="single" w:color="0F1923" w:sz="4"/>
              <w:bottom w:val="single" w:color="0F1923" w:sz="4"/>
              <w:right w:val="single" w:color="0F1923" w:sz="4"/>
            </w:tcBorders>
            <w:shd w:fill="0F1923" w:val="clear"/>
            <w:tcMar>
              <w:top w:type="dxa" w:w="100"/>
              <w:left w:type="dxa" w:w="140"/>
              <w:bottom w:type="dxa" w:w="100"/>
              <w:right w:type="dxa" w:w="140"/>
            </w:tcMar>
            <w:vAlign w:val="top"/>
          </w:tcPr>
          <w:p>
            <w:pPr>
              <w:spacing w:after="60" w:before="0"/>
              <w:jc w:val="left"/>
            </w:pPr>
            <w:r>
              <w:rPr>
                <w:rFonts w:ascii="Arial" w:cs="Arial" w:eastAsia="Arial" w:hAnsi="Arial"/>
                <w:b/>
                <w:bCs/>
                <w:color w:val="FFFFFF"/>
                <w:sz w:val="16"/>
                <w:szCs w:val="16"/>
              </w:rPr>
              <w:t xml:space="preserve">Finding</w:t>
            </w:r>
          </w:p>
        </w:tc>
        <w:tc>
          <w:tcPr>
            <w:tcW w:type="dxa" w:w="900"/>
            <w:tcBorders>
              <w:top w:val="single" w:color="0F1923" w:sz="4"/>
              <w:left w:val="single" w:color="0F1923" w:sz="4"/>
              <w:bottom w:val="single" w:color="0F1923" w:sz="4"/>
              <w:right w:val="single" w:color="0F1923" w:sz="4"/>
            </w:tcBorders>
            <w:shd w:fill="0F1923" w:val="clear"/>
            <w:tcMar>
              <w:top w:type="dxa" w:w="100"/>
              <w:left w:type="dxa" w:w="140"/>
              <w:bottom w:type="dxa" w:w="100"/>
              <w:right w:type="dxa" w:w="140"/>
            </w:tcMar>
            <w:vAlign w:val="top"/>
          </w:tcPr>
          <w:p>
            <w:pPr>
              <w:spacing w:after="60" w:before="0"/>
              <w:jc w:val="left"/>
            </w:pPr>
            <w:r>
              <w:rPr>
                <w:rFonts w:ascii="Arial" w:cs="Arial" w:eastAsia="Arial" w:hAnsi="Arial"/>
                <w:b/>
                <w:bCs/>
                <w:color w:val="FFFFFF"/>
                <w:sz w:val="16"/>
                <w:szCs w:val="16"/>
              </w:rPr>
              <w:t xml:space="preserve">Type</w:t>
            </w:r>
          </w:p>
        </w:tc>
        <w:tc>
          <w:tcPr>
            <w:tcW w:type="dxa" w:w="7260"/>
            <w:tcBorders>
              <w:top w:val="single" w:color="0F1923" w:sz="4"/>
              <w:left w:val="single" w:color="0F1923" w:sz="4"/>
              <w:bottom w:val="single" w:color="0F1923" w:sz="4"/>
              <w:right w:val="single" w:color="0F1923" w:sz="4"/>
            </w:tcBorders>
            <w:shd w:fill="0F1923" w:val="clear"/>
            <w:tcMar>
              <w:top w:type="dxa" w:w="100"/>
              <w:left w:type="dxa" w:w="140"/>
              <w:bottom w:type="dxa" w:w="100"/>
              <w:right w:type="dxa" w:w="140"/>
            </w:tcMar>
            <w:vAlign w:val="top"/>
          </w:tcPr>
          <w:p>
            <w:pPr>
              <w:spacing w:after="60" w:before="0"/>
              <w:jc w:val="left"/>
            </w:pPr>
            <w:r>
              <w:rPr>
                <w:rFonts w:ascii="Arial" w:cs="Arial" w:eastAsia="Arial" w:hAnsi="Arial"/>
                <w:b/>
                <w:bCs/>
                <w:color w:val="FFFFFF"/>
                <w:sz w:val="16"/>
                <w:szCs w:val="16"/>
              </w:rPr>
              <w:t xml:space="preserve">Detail</w:t>
            </w:r>
          </w:p>
        </w:tc>
      </w:tr>
      <w:tr>
        <w:tc>
          <w:tcPr>
            <w:tcW w:type="dxa" w:w="380"/>
            <w:tcBorders>
              <w:top w:val="single" w:color="C0392B" w:sz="4"/>
              <w:left w:val="single" w:color="C0392B" w:sz="4"/>
              <w:bottom w:val="single" w:color="C0392B" w:sz="4"/>
              <w:right w:val="single" w:color="C0392B" w:sz="4"/>
            </w:tcBorders>
            <w:shd w:fill="C0392B" w:val="clear"/>
            <w:tcMar>
              <w:top w:type="dxa" w:w="100"/>
              <w:left w:type="dxa" w:w="140"/>
              <w:bottom w:type="dxa" w:w="100"/>
              <w:right w:type="dxa" w:w="140"/>
            </w:tcMar>
            <w:vAlign w:val="top"/>
          </w:tcPr>
          <w:p>
            <w:pPr>
              <w:spacing w:after="60" w:before="0"/>
              <w:jc w:val="left"/>
            </w:pPr>
            <w:r>
              <w:rPr>
                <w:rFonts w:ascii="Arial" w:cs="Arial" w:eastAsia="Arial" w:hAnsi="Arial"/>
                <w:b/>
                <w:bCs/>
                <w:color w:val="FFFFFF"/>
                <w:sz w:val="16"/>
                <w:szCs w:val="16"/>
              </w:rPr>
              <w:t xml:space="preserve">F-1</w:t>
            </w:r>
          </w:p>
        </w:tc>
        <w:tc>
          <w:tcPr>
            <w:tcW w:type="dxa" w:w="820"/>
            <w:tcBorders>
              <w:top w:val="single" w:color="D4D0C8" w:sz="4"/>
              <w:left w:val="single" w:color="D4D0C8" w:sz="4"/>
              <w:bottom w:val="single" w:color="D4D0C8" w:sz="4"/>
              <w:right w:val="single" w:color="D4D0C8" w:sz="4"/>
            </w:tcBorders>
            <w:shd w:fill="FDF1F0" w:val="clear"/>
            <w:tcMar>
              <w:top w:type="dxa" w:w="100"/>
              <w:left w:type="dxa" w:w="140"/>
              <w:bottom w:type="dxa" w:w="100"/>
              <w:right w:type="dxa" w:w="140"/>
            </w:tcMar>
            <w:vAlign w:val="top"/>
          </w:tcPr>
          <w:p>
            <w:pPr>
              <w:spacing w:after="60" w:before="0"/>
              <w:jc w:val="left"/>
            </w:pPr>
            <w:r>
              <w:rPr>
                <w:rFonts w:ascii="Arial" w:cs="Arial" w:eastAsia="Arial" w:hAnsi="Arial"/>
                <w:b/>
                <w:bCs/>
                <w:color w:val="0F1923"/>
                <w:sz w:val="20"/>
                <w:szCs w:val="20"/>
              </w:rPr>
              <w:t xml:space="preserve">Population Mismatch: SME Deployment Outside Training Distribution</w:t>
            </w:r>
          </w:p>
          <w:p>
            <w:pPr>
              <w:spacing w:after="0" w:before="40"/>
            </w:pPr>
            <w:r>
              <w:rPr>
                <w:rFonts w:ascii="Arial" w:cs="Arial" w:eastAsia="Arial" w:hAnsi="Arial"/>
                <w:sz w:val="20"/>
                <w:szCs w:val="20"/>
              </w:rPr>
              <w:t xml:space="preserve"/>
            </w:r>
          </w:p>
          <w:p>
            <w:pPr>
              <w:spacing w:after="60" w:before="0"/>
              <w:jc w:val="left"/>
            </w:pPr>
            <w:r>
              <w:rPr>
                <w:rFonts w:ascii="Arial" w:cs="Arial" w:eastAsia="Arial" w:hAnsi="Arial"/>
                <w:color w:val="333333"/>
                <w:sz w:val="18"/>
                <w:szCs w:val="18"/>
              </w:rPr>
              <w:t xml:space="preserve">The model was trained exclusively on claims data from employer groups with 500+ members. The large-employer cohort exhibits markedly different hospitalisation patterns (lower chronic disease prevalence, higher average income, better preventive care access) compared to SME groups (20–499 members). Internal analysis shows that SME policyholders in the training holdout cohort have a mean hospitalisation rate 31% higher than large-employer counterparts at equivalent risk scores.
The model is now being deployed for pricing of SME group plans — a population that was not represented in the training or validation dataset. No out-of-sample testing has been performed on SME data. The Population Stability Index (PSI) for the SME subpopulation versus training distribution is 0.34, which is above the 0.25 threshold that triggers a requirement for model recalibration under the validation framework.
The development team notes this limitation on page 47 of the technical specification ("model performance for sub-100 member groups has not been assessed") but this is not reflected in the deployment scope or the model risk tier assessment.</w:t>
            </w:r>
          </w:p>
        </w:tc>
        <w:tc>
          <w:tcPr>
            <w:tcW w:type="dxa" w:w="900"/>
            <w:tcBorders>
              <w:top w:val="single" w:color="D4D0C8" w:sz="4"/>
              <w:left w:val="single" w:color="D4D0C8" w:sz="4"/>
              <w:bottom w:val="single" w:color="D4D0C8" w:sz="4"/>
              <w:right w:val="single" w:color="D4D0C8" w:sz="4"/>
            </w:tcBorders>
            <w:shd w:fill="FDF1F0" w:val="clear"/>
            <w:tcMar>
              <w:top w:type="dxa" w:w="100"/>
              <w:left w:type="dxa" w:w="140"/>
              <w:bottom w:type="dxa" w:w="100"/>
              <w:right w:type="dxa" w:w="140"/>
            </w:tcMar>
            <w:vAlign w:val="center"/>
          </w:tcPr>
          <w:p>
            <w:pPr>
              <w:spacing w:after="60" w:before="0"/>
              <w:jc w:val="center"/>
            </w:pPr>
            <w:r>
              <w:rPr>
                <w:rFonts w:ascii="Arial" w:cs="Arial" w:eastAsia="Arial" w:hAnsi="Arial"/>
                <w:b/>
                <w:bCs/>
                <w:color w:val="C0392B"/>
                <w:sz w:val="16"/>
                <w:szCs w:val="16"/>
              </w:rPr>
              <w:t xml:space="preserve">Critical</w:t>
            </w:r>
          </w:p>
        </w:tc>
        <w:tc>
          <w:tcPr>
            <w:tcW w:type="dxa" w:w="7260"/>
            <w:tcBorders>
              <w:top w:val="single" w:color="D4D0C8" w:sz="4"/>
              <w:left w:val="single" w:color="D4D0C8" w:sz="4"/>
              <w:bottom w:val="single" w:color="D4D0C8" w:sz="4"/>
              <w:right w:val="single" w:color="D4D0C8" w:sz="4"/>
            </w:tcBorders>
            <w:shd w:fill="FFFFFF" w:val="clear"/>
            <w:tcMar>
              <w:top w:type="dxa" w:w="100"/>
              <w:left w:type="dxa" w:w="140"/>
              <w:bottom w:type="dxa" w:w="100"/>
              <w:right w:type="dxa" w:w="140"/>
            </w:tcMar>
            <w:vAlign w:val="top"/>
          </w:tcPr>
          <w:p>
            <w:pPr>
              <w:spacing w:after="60" w:before="0"/>
              <w:jc w:val="left"/>
            </w:pPr>
            <w:r>
              <w:rPr>
                <w:rFonts w:ascii="Arial" w:cs="Arial" w:eastAsia="Arial" w:hAnsi="Arial"/>
                <w:color w:val="555555"/>
                <w:sz w:val="16"/>
                <w:szCs w:val="16"/>
              </w:rPr>
              <w:t xml:space="preserve">Validator: Quantitative Analytics
Priority: See detail →
APRA ref: CPG 234 §36(d)</w:t>
            </w:r>
          </w:p>
        </w:tc>
      </w:tr>
      <w:tr>
        <w:tc>
          <w:tcPr>
            <w:tcW w:type="dxa" w:w="380"/>
            <w:tcBorders>
              <w:top w:val="single" w:color="0E7490" w:sz="4"/>
              <w:left w:val="single" w:color="0E7490" w:sz="4"/>
              <w:bottom w:val="single" w:color="0E7490" w:sz="4"/>
              <w:right w:val="single" w:color="0E7490" w:sz="4"/>
            </w:tcBorders>
            <w:shd w:fill="0E7490" w:val="clear"/>
            <w:tcMar>
              <w:top w:type="dxa" w:w="100"/>
              <w:left w:type="dxa" w:w="140"/>
              <w:bottom w:type="dxa" w:w="100"/>
              <w:right w:type="dxa" w:w="140"/>
            </w:tcMar>
            <w:vAlign w:val="top"/>
          </w:tcPr>
          <w:p>
            <w:pPr>
              <w:spacing w:after="60" w:before="0"/>
              <w:jc w:val="left"/>
            </w:pPr>
            <w:r>
              <w:rPr>
                <w:rFonts w:ascii="Arial" w:cs="Arial" w:eastAsia="Arial" w:hAnsi="Arial"/>
                <w:b/>
                <w:bCs/>
                <w:color w:val="FFFFFF"/>
                <w:sz w:val="16"/>
                <w:szCs w:val="16"/>
              </w:rPr>
              <w:t xml:space="preserve">F-2</w:t>
            </w:r>
          </w:p>
        </w:tc>
        <w:tc>
          <w:tcPr>
            <w:tcW w:type="dxa" w:w="820"/>
            <w:tcBorders>
              <w:top w:val="single" w:color="D4D0C8" w:sz="4"/>
              <w:left w:val="single" w:color="D4D0C8" w:sz="4"/>
              <w:bottom w:val="single" w:color="D4D0C8" w:sz="4"/>
              <w:right w:val="single" w:color="D4D0C8" w:sz="4"/>
            </w:tcBorders>
            <w:shd w:fill="ECFAFE" w:val="clear"/>
            <w:tcMar>
              <w:top w:type="dxa" w:w="100"/>
              <w:left w:type="dxa" w:w="140"/>
              <w:bottom w:type="dxa" w:w="100"/>
              <w:right w:type="dxa" w:w="140"/>
            </w:tcMar>
            <w:vAlign w:val="top"/>
          </w:tcPr>
          <w:p>
            <w:pPr>
              <w:spacing w:after="60" w:before="0"/>
              <w:jc w:val="left"/>
            </w:pPr>
            <w:r>
              <w:rPr>
                <w:rFonts w:ascii="Arial" w:cs="Arial" w:eastAsia="Arial" w:hAnsi="Arial"/>
                <w:b/>
                <w:bCs/>
                <w:color w:val="0F1923"/>
                <w:sz w:val="20"/>
                <w:szCs w:val="20"/>
              </w:rPr>
              <w:t xml:space="preserve">Discriminatory Performance Across Subpopulations (Large vs. SME)</w:t>
            </w:r>
          </w:p>
          <w:p>
            <w:pPr>
              <w:spacing w:after="0" w:before="40"/>
            </w:pPr>
            <w:r>
              <w:rPr>
                <w:rFonts w:ascii="Arial" w:cs="Arial" w:eastAsia="Arial" w:hAnsi="Arial"/>
                <w:sz w:val="20"/>
                <w:szCs w:val="20"/>
              </w:rPr>
              <w:t xml:space="preserve"/>
            </w:r>
          </w:p>
          <w:p>
            <w:pPr>
              <w:spacing w:after="60" w:before="0"/>
              <w:jc w:val="left"/>
            </w:pPr>
            <w:r>
              <w:rPr>
                <w:rFonts w:ascii="Arial" w:cs="Arial" w:eastAsia="Arial" w:hAnsi="Arial"/>
                <w:color w:val="333333"/>
                <w:sz w:val="18"/>
                <w:szCs w:val="18"/>
              </w:rPr>
              <w:t xml:space="preserve">The model achieves an AUC-ROC of 0.81 on the holdout test set, which is within acceptable parameters for this use case. However, the model's Gini coefficient of 0.62 is calculated on the combined large-employer and SME dataset. When calculated separately, the large-employer Gini is 0.69 (strong) while the SME Gini is 0.44 (marginal). The validation team notes that a Gini below 0.45 for the primary use population would typically require additional validation steps before deployment.
Calibration plots show the model is well-calibrated in the 30th–70th percentile range but systematically underpredicts high-risk cases (top decile) by approximately 18%. For pricing applications, underprediction in the high-risk decile creates adverse selection exposure. This is a known limitation of gradient boosting models on imbalanced datasets and can be addressed through post-calibration or threshold adjustment.</w:t>
            </w:r>
          </w:p>
        </w:tc>
        <w:tc>
          <w:tcPr>
            <w:tcW w:type="dxa" w:w="900"/>
            <w:tcBorders>
              <w:top w:val="single" w:color="D4D0C8" w:sz="4"/>
              <w:left w:val="single" w:color="D4D0C8" w:sz="4"/>
              <w:bottom w:val="single" w:color="D4D0C8" w:sz="4"/>
              <w:right w:val="single" w:color="D4D0C8" w:sz="4"/>
            </w:tcBorders>
            <w:shd w:fill="ECFAFE" w:val="clear"/>
            <w:tcMar>
              <w:top w:type="dxa" w:w="100"/>
              <w:left w:type="dxa" w:w="140"/>
              <w:bottom w:type="dxa" w:w="100"/>
              <w:right w:type="dxa" w:w="140"/>
            </w:tcMar>
            <w:vAlign w:val="center"/>
          </w:tcPr>
          <w:p>
            <w:pPr>
              <w:spacing w:after="60" w:before="0"/>
              <w:jc w:val="center"/>
            </w:pPr>
            <w:r>
              <w:rPr>
                <w:rFonts w:ascii="Arial" w:cs="Arial" w:eastAsia="Arial" w:hAnsi="Arial"/>
                <w:b/>
                <w:bCs/>
                <w:color w:val="0E7490"/>
                <w:sz w:val="16"/>
                <w:szCs w:val="16"/>
              </w:rPr>
              <w:t xml:space="preserve">Statistical</w:t>
            </w:r>
          </w:p>
        </w:tc>
        <w:tc>
          <w:tcPr>
            <w:tcW w:type="dxa" w:w="7260"/>
            <w:tcBorders>
              <w:top w:val="single" w:color="D4D0C8" w:sz="4"/>
              <w:left w:val="single" w:color="D4D0C8" w:sz="4"/>
              <w:bottom w:val="single" w:color="D4D0C8" w:sz="4"/>
              <w:right w:val="single" w:color="D4D0C8" w:sz="4"/>
            </w:tcBorders>
            <w:shd w:fill="FFFFFF" w:val="clear"/>
            <w:tcMar>
              <w:top w:type="dxa" w:w="100"/>
              <w:left w:type="dxa" w:w="140"/>
              <w:bottom w:type="dxa" w:w="100"/>
              <w:right w:type="dxa" w:w="140"/>
            </w:tcMar>
            <w:vAlign w:val="top"/>
          </w:tcPr>
          <w:p>
            <w:pPr>
              <w:spacing w:after="60" w:before="0"/>
              <w:jc w:val="left"/>
            </w:pPr>
            <w:r>
              <w:rPr>
                <w:rFonts w:ascii="Arial" w:cs="Arial" w:eastAsia="Arial" w:hAnsi="Arial"/>
                <w:color w:val="555555"/>
                <w:sz w:val="16"/>
                <w:szCs w:val="16"/>
              </w:rPr>
              <w:t xml:space="preserve">Validator: Quantitative Analytics
Priority: Informational
APRA ref: CPG 234 §36(b)</w:t>
            </w:r>
          </w:p>
        </w:tc>
      </w:tr>
      <w:tr>
        <w:tc>
          <w:tcPr>
            <w:tcW w:type="dxa" w:w="380"/>
            <w:tcBorders>
              <w:top w:val="single" w:color="92680A" w:sz="4"/>
              <w:left w:val="single" w:color="92680A" w:sz="4"/>
              <w:bottom w:val="single" w:color="92680A" w:sz="4"/>
              <w:right w:val="single" w:color="92680A" w:sz="4"/>
            </w:tcBorders>
            <w:shd w:fill="92680A" w:val="clear"/>
            <w:tcMar>
              <w:top w:type="dxa" w:w="100"/>
              <w:left w:type="dxa" w:w="140"/>
              <w:bottom w:type="dxa" w:w="100"/>
              <w:right w:type="dxa" w:w="140"/>
            </w:tcMar>
            <w:vAlign w:val="top"/>
          </w:tcPr>
          <w:p>
            <w:pPr>
              <w:spacing w:after="60" w:before="0"/>
              <w:jc w:val="left"/>
            </w:pPr>
            <w:r>
              <w:rPr>
                <w:rFonts w:ascii="Arial" w:cs="Arial" w:eastAsia="Arial" w:hAnsi="Arial"/>
                <w:b/>
                <w:bCs/>
                <w:color w:val="FFFFFF"/>
                <w:sz w:val="16"/>
                <w:szCs w:val="16"/>
              </w:rPr>
              <w:t xml:space="preserve">F-3</w:t>
            </w:r>
          </w:p>
        </w:tc>
        <w:tc>
          <w:tcPr>
            <w:tcW w:type="dxa" w:w="820"/>
            <w:tcBorders>
              <w:top w:val="single" w:color="D4D0C8" w:sz="4"/>
              <w:left w:val="single" w:color="D4D0C8" w:sz="4"/>
              <w:bottom w:val="single" w:color="D4D0C8" w:sz="4"/>
              <w:right w:val="single" w:color="D4D0C8" w:sz="4"/>
            </w:tcBorders>
            <w:shd w:fill="FDF8EC" w:val="clear"/>
            <w:tcMar>
              <w:top w:type="dxa" w:w="100"/>
              <w:left w:type="dxa" w:w="140"/>
              <w:bottom w:type="dxa" w:w="100"/>
              <w:right w:type="dxa" w:w="140"/>
            </w:tcMar>
            <w:vAlign w:val="top"/>
          </w:tcPr>
          <w:p>
            <w:pPr>
              <w:spacing w:after="60" w:before="0"/>
              <w:jc w:val="left"/>
            </w:pPr>
            <w:r>
              <w:rPr>
                <w:rFonts w:ascii="Arial" w:cs="Arial" w:eastAsia="Arial" w:hAnsi="Arial"/>
                <w:b/>
                <w:bCs/>
                <w:color w:val="0F1923"/>
                <w:sz w:val="20"/>
                <w:szCs w:val="20"/>
              </w:rPr>
              <w:t xml:space="preserve">Insufficient Explainability for ASIC RG 271 Compliance</w:t>
            </w:r>
          </w:p>
          <w:p>
            <w:pPr>
              <w:spacing w:after="0" w:before="40"/>
            </w:pPr>
            <w:r>
              <w:rPr>
                <w:rFonts w:ascii="Arial" w:cs="Arial" w:eastAsia="Arial" w:hAnsi="Arial"/>
                <w:sz w:val="20"/>
                <w:szCs w:val="20"/>
              </w:rPr>
              <w:t xml:space="preserve"/>
            </w:r>
          </w:p>
          <w:p>
            <w:pPr>
              <w:spacing w:after="60" w:before="0"/>
              <w:jc w:val="left"/>
            </w:pPr>
            <w:r>
              <w:rPr>
                <w:rFonts w:ascii="Arial" w:cs="Arial" w:eastAsia="Arial" w:hAnsi="Arial"/>
                <w:color w:val="333333"/>
                <w:sz w:val="18"/>
                <w:szCs w:val="18"/>
              </w:rPr>
              <w:t xml:space="preserve">The model does not include a mechanism to explain individual predictions to the group scheme administrator or the employer client. Under ASIC's guidance on algorithmic decision-making in financial services (RG 271), where an AI system influences a pricing decision that affects a consumer (or in this case, a group of consumers), the entity must be able to explain the basis for the decision in plain terms upon request.
The validation team tested ten group pricing scenarios and found that in all ten cases, the model output (a risk score between 0–1) cannot be decomposed into factors that a non-technical user could understand. The development team has noted that SHAP values are available in the model artefact but are not surfaced to users of the pricing system. No explainability interface has been specified in the deployment scope document.</w:t>
            </w:r>
          </w:p>
        </w:tc>
        <w:tc>
          <w:tcPr>
            <w:tcW w:type="dxa" w:w="900"/>
            <w:tcBorders>
              <w:top w:val="single" w:color="D4D0C8" w:sz="4"/>
              <w:left w:val="single" w:color="D4D0C8" w:sz="4"/>
              <w:bottom w:val="single" w:color="D4D0C8" w:sz="4"/>
              <w:right w:val="single" w:color="D4D0C8" w:sz="4"/>
            </w:tcBorders>
            <w:shd w:fill="FDF8EC" w:val="clear"/>
            <w:tcMar>
              <w:top w:type="dxa" w:w="100"/>
              <w:left w:type="dxa" w:w="140"/>
              <w:bottom w:type="dxa" w:w="100"/>
              <w:right w:type="dxa" w:w="140"/>
            </w:tcMar>
            <w:vAlign w:val="center"/>
          </w:tcPr>
          <w:p>
            <w:pPr>
              <w:spacing w:after="60" w:before="0"/>
              <w:jc w:val="center"/>
            </w:pPr>
            <w:r>
              <w:rPr>
                <w:rFonts w:ascii="Arial" w:cs="Arial" w:eastAsia="Arial" w:hAnsi="Arial"/>
                <w:b/>
                <w:bCs/>
                <w:color w:val="92680A"/>
                <w:sz w:val="16"/>
                <w:szCs w:val="16"/>
              </w:rPr>
              <w:t xml:space="preserve">Governance</w:t>
            </w:r>
          </w:p>
        </w:tc>
        <w:tc>
          <w:tcPr>
            <w:tcW w:type="dxa" w:w="7260"/>
            <w:tcBorders>
              <w:top w:val="single" w:color="D4D0C8" w:sz="4"/>
              <w:left w:val="single" w:color="D4D0C8" w:sz="4"/>
              <w:bottom w:val="single" w:color="D4D0C8" w:sz="4"/>
              <w:right w:val="single" w:color="D4D0C8" w:sz="4"/>
            </w:tcBorders>
            <w:shd w:fill="FFFFFF" w:val="clear"/>
            <w:tcMar>
              <w:top w:type="dxa" w:w="100"/>
              <w:left w:type="dxa" w:w="140"/>
              <w:bottom w:type="dxa" w:w="100"/>
              <w:right w:type="dxa" w:w="140"/>
            </w:tcMar>
            <w:vAlign w:val="top"/>
          </w:tcPr>
          <w:p>
            <w:pPr>
              <w:spacing w:after="60" w:before="0"/>
              <w:jc w:val="left"/>
            </w:pPr>
            <w:r>
              <w:rPr>
                <w:rFonts w:ascii="Arial" w:cs="Arial" w:eastAsia="Arial" w:hAnsi="Arial"/>
                <w:color w:val="555555"/>
                <w:sz w:val="16"/>
                <w:szCs w:val="16"/>
              </w:rPr>
              <w:t xml:space="preserve">Validator: Independent Model Risk
Priority: See detail →
ASIC ref: RG 271.97–98</w:t>
            </w:r>
          </w:p>
        </w:tc>
      </w:tr>
    </w:tbl>
    <w:p>
      <w:pPr>
        <w:spacing w:after="0" w:before="100"/>
      </w:pPr>
      <w:r>
        <w:rPr>
          <w:rFonts w:ascii="Arial" w:cs="Arial" w:eastAsia="Arial" w:hAnsi="Arial"/>
          <w:sz w:val="20"/>
          <w:szCs w:val="20"/>
        </w:rPr>
        <w:t xml:space="preserve"/>
      </w:r>
    </w:p>
    <w:p>
      <w:pPr>
        <w:pBdr>
          <w:bottom w:val="single" w:color="D4D0C8" w:sz="6" w:space="1"/>
        </w:pBdr>
        <w:spacing w:after="80" w:before="80"/>
      </w:pPr>
      <w:r>
        <w:rPr>
          <w:rFonts w:ascii="Arial" w:cs="Arial" w:eastAsia="Arial" w:hAnsi="Arial"/>
          <w:sz w:val="20"/>
          <w:szCs w:val="20"/>
        </w:rPr>
        <w:t xml:space="preserve"/>
      </w:r>
    </w:p>
    <w:p>
      <w:pPr>
        <w:spacing w:after="60" w:before="0"/>
        <w:jc w:val="center"/>
      </w:pPr>
      <w:r>
        <w:rPr>
          <w:rFonts w:ascii="Arial" w:cs="Arial" w:eastAsia="Arial" w:hAnsi="Arial"/>
          <w:color w:val="AAAAAA"/>
          <w:sz w:val="13"/>
          <w:szCs w:val="13"/>
        </w:rPr>
        <w:t xml:space="preserve">MERIDIAN INSURANCE · MODEL VALIDATION REPORT EXCERPT · MER-VAL-2025-018 · RESTRICTED INTERNAL USE · FOR TRAINING PURPOSES ONLY — ALL DATA IS FICTIONAL</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2026-06-25T23:22:18.007Z</dcterms:created>
  <dcterms:modified xsi:type="dcterms:W3CDTF">2026-06-25T23:22:18.007Z</dcterms:modified>
</cp:coreProperties>
</file>

<file path=docProps/custom.xml><?xml version="1.0" encoding="utf-8"?>
<Properties xmlns="http://schemas.openxmlformats.org/officeDocument/2006/custom-properties" xmlns:vt="http://schemas.openxmlformats.org/officeDocument/2006/docPropsVTypes"/>
</file>