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8CE66">
      <w:pPr>
        <w:spacing w:before="480" w:after="480" w:line="288" w:lineRule="auto"/>
        <w:ind w:left="0"/>
      </w:pPr>
      <w:r>
        <w:rPr>
          <w:rFonts w:hint="eastAsia" w:asciiTheme="majorEastAsia" w:hAnsiTheme="majorEastAsia" w:eastAsiaTheme="majorEastAsia" w:cstheme="majorEastAsia"/>
          <w:b/>
          <w:sz w:val="52"/>
        </w:rPr>
        <w:t>沉浸式阅读创作平台可行性分析</w:t>
      </w:r>
    </w:p>
    <w:p w14:paraId="7C83FEB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1"/>
      <w:r>
        <w:rPr>
          <w:rFonts w:hint="eastAsia" w:ascii="宋体" w:hAnsi="宋体" w:eastAsia="宋体" w:cs="宋体"/>
          <w:b/>
          <w:sz w:val="32"/>
        </w:rPr>
        <w:t>1 前言</w:t>
      </w:r>
      <w:bookmarkEnd w:id="0"/>
    </w:p>
    <w:p w14:paraId="07A205B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" w:name="heading_2"/>
      <w:r>
        <w:rPr>
          <w:rFonts w:hint="eastAsia" w:ascii="宋体" w:hAnsi="宋体" w:eastAsia="宋体" w:cs="宋体"/>
          <w:b/>
          <w:sz w:val="30"/>
        </w:rPr>
        <w:t>1.1 文档标识</w:t>
      </w:r>
      <w:bookmarkEnd w:id="1"/>
    </w:p>
    <w:p w14:paraId="1AB7B1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1394F37">
      <w:pPr>
        <w:numPr>
          <w:ilvl w:val="0"/>
          <w:numId w:val="1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文档名称</w:t>
      </w:r>
      <w:r>
        <w:rPr>
          <w:rFonts w:hint="eastAsia" w:ascii="宋体" w:hAnsi="宋体" w:eastAsia="宋体" w:cs="宋体"/>
          <w:sz w:val="22"/>
        </w:rPr>
        <w:t>：沉浸式阅读创作平台可行性分析报告</w:t>
      </w:r>
    </w:p>
    <w:p w14:paraId="19A9E5FB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文档版本</w:t>
      </w:r>
      <w:r>
        <w:rPr>
          <w:rFonts w:hint="eastAsia" w:ascii="宋体" w:hAnsi="宋体" w:eastAsia="宋体" w:cs="宋体"/>
          <w:sz w:val="22"/>
        </w:rPr>
        <w:t>：V1.0</w:t>
      </w:r>
    </w:p>
    <w:p w14:paraId="0F7F7928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适用项目</w:t>
      </w:r>
      <w:r>
        <w:rPr>
          <w:rFonts w:hint="eastAsia" w:ascii="宋体" w:hAnsi="宋体" w:eastAsia="宋体" w:cs="宋体"/>
          <w:sz w:val="22"/>
        </w:rPr>
        <w:t>：沉浸式阅读创作平台（含编辑器、播放器及.im</w:t>
      </w:r>
      <w:r>
        <w:rPr>
          <w:rFonts w:hint="eastAsia" w:ascii="宋体" w:hAnsi="宋体" w:eastAsia="宋体" w:cs="宋体"/>
          <w:sz w:val="22"/>
          <w:lang w:val="en-US" w:eastAsia="zh-CN"/>
        </w:rPr>
        <w:t>s</w:t>
      </w:r>
      <w:r>
        <w:rPr>
          <w:rFonts w:hint="eastAsia" w:ascii="宋体" w:hAnsi="宋体" w:eastAsia="宋体" w:cs="宋体"/>
          <w:sz w:val="22"/>
        </w:rPr>
        <w:t>数据格式）</w:t>
      </w:r>
    </w:p>
    <w:p w14:paraId="0FE89C35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发布日期</w:t>
      </w:r>
      <w:r>
        <w:rPr>
          <w:rFonts w:hint="eastAsia" w:ascii="宋体" w:hAnsi="宋体" w:eastAsia="宋体" w:cs="宋体"/>
          <w:sz w:val="22"/>
        </w:rPr>
        <w:t>：2025年11月</w:t>
      </w:r>
      <w:r>
        <w:rPr>
          <w:rFonts w:hint="eastAsia" w:ascii="宋体" w:hAnsi="宋体" w:eastAsia="宋体" w:cs="宋体"/>
          <w:sz w:val="22"/>
          <w:lang w:val="en-US" w:eastAsia="zh-CN"/>
        </w:rPr>
        <w:t>9</w:t>
      </w:r>
      <w:r>
        <w:rPr>
          <w:rFonts w:hint="eastAsia" w:ascii="宋体" w:hAnsi="宋体" w:eastAsia="宋体" w:cs="宋体"/>
          <w:sz w:val="22"/>
        </w:rPr>
        <w:t>日</w:t>
      </w:r>
    </w:p>
    <w:p w14:paraId="5737882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87A3C7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" w:name="heading_3"/>
      <w:r>
        <w:rPr>
          <w:rFonts w:hint="eastAsia" w:ascii="宋体" w:hAnsi="宋体" w:eastAsia="宋体" w:cs="宋体"/>
          <w:b/>
          <w:sz w:val="30"/>
        </w:rPr>
        <w:t>1.2 编写目的</w:t>
      </w:r>
      <w:bookmarkEnd w:id="2"/>
    </w:p>
    <w:p w14:paraId="3F0D34D6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本报告依据GB/T 8567-2006《计算机软件文档编制规范》要求编制，旨在从技术、经济、法律、操作四个维度系统评估"沉浸式阅读创作平台"项目的可行性，明确项目实施的约束条件与潜在风险，为项目是否启动及后续开发计划制定提供科学决策依据，同时为项目建议书、开发任务书等后续文档提供基础支撑。</w:t>
      </w:r>
    </w:p>
    <w:p w14:paraId="7EABA0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C037DF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" w:name="heading_4"/>
      <w:r>
        <w:rPr>
          <w:rFonts w:hint="eastAsia" w:ascii="宋体" w:hAnsi="宋体" w:eastAsia="宋体" w:cs="宋体"/>
          <w:b/>
          <w:sz w:val="30"/>
        </w:rPr>
        <w:t>1.3 项目背景</w:t>
      </w:r>
      <w:bookmarkEnd w:id="3"/>
    </w:p>
    <w:p w14:paraId="4EF735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5F43E05">
      <w:pPr>
        <w:numPr>
          <w:ilvl w:val="0"/>
          <w:numId w:val="2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项目提出者</w:t>
      </w:r>
      <w:r>
        <w:rPr>
          <w:rFonts w:hint="eastAsia" w:ascii="宋体" w:hAnsi="宋体" w:eastAsia="宋体" w:cs="宋体"/>
          <w:sz w:val="22"/>
        </w:rPr>
        <w:t>：个人开发者（本科生课程设计/独立项目开发）</w:t>
      </w:r>
    </w:p>
    <w:p w14:paraId="18B23A1F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开发方</w:t>
      </w:r>
      <w:r>
        <w:rPr>
          <w:rFonts w:hint="eastAsia" w:ascii="宋体" w:hAnsi="宋体" w:eastAsia="宋体" w:cs="宋体"/>
          <w:sz w:val="22"/>
        </w:rPr>
        <w:t>：个人开发者</w:t>
      </w:r>
    </w:p>
    <w:p w14:paraId="18C1FAC7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用户群体</w:t>
      </w:r>
      <w:r>
        <w:rPr>
          <w:rFonts w:hint="eastAsia" w:ascii="宋体" w:hAnsi="宋体" w:eastAsia="宋体" w:cs="宋体"/>
          <w:sz w:val="22"/>
        </w:rPr>
        <w:t>：沉浸式阅读内容创作者（文学爱好者、教育工作者）与读者</w:t>
      </w:r>
    </w:p>
    <w:p w14:paraId="5900F197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项目定位</w:t>
      </w:r>
      <w:r>
        <w:rPr>
          <w:rFonts w:hint="eastAsia" w:ascii="宋体" w:hAnsi="宋体" w:eastAsia="宋体" w:cs="宋体"/>
          <w:sz w:val="22"/>
        </w:rPr>
        <w:t>：提供"文本+音画同步"的沉浸式阅读内容创作与播放功能，支持本地.im</w:t>
      </w:r>
      <w:bookmarkStart w:id="38" w:name="_GoBack"/>
      <w:bookmarkEnd w:id="38"/>
      <w:r>
        <w:rPr>
          <w:rFonts w:hint="eastAsia" w:ascii="宋体" w:hAnsi="宋体" w:eastAsia="宋体" w:cs="宋体"/>
          <w:sz w:val="22"/>
          <w:lang w:val="en-US" w:eastAsia="zh-CN"/>
        </w:rPr>
        <w:t>s</w:t>
      </w:r>
      <w:r>
        <w:rPr>
          <w:rFonts w:hint="eastAsia" w:ascii="宋体" w:hAnsi="宋体" w:eastAsia="宋体" w:cs="宋体"/>
          <w:sz w:val="22"/>
        </w:rPr>
        <w:t>格式文件的生成与解析，核心模块包括编辑器、播放器及数据格式定义。</w:t>
      </w:r>
    </w:p>
    <w:p w14:paraId="35348B9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CCDF3B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" w:name="heading_5"/>
      <w:r>
        <w:rPr>
          <w:rFonts w:hint="eastAsia" w:ascii="宋体" w:hAnsi="宋体" w:eastAsia="宋体" w:cs="宋体"/>
          <w:b/>
          <w:sz w:val="30"/>
        </w:rPr>
        <w:t>1.4 术语定义与参考资料</w:t>
      </w:r>
      <w:bookmarkEnd w:id="4"/>
    </w:p>
    <w:p w14:paraId="3CFB24B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E373DAC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5" w:name="heading_6"/>
      <w:r>
        <w:rPr>
          <w:rFonts w:hint="eastAsia" w:ascii="宋体" w:hAnsi="宋体" w:eastAsia="宋体" w:cs="宋体"/>
          <w:b/>
          <w:sz w:val="28"/>
        </w:rPr>
        <w:t>1.4.1 术语定义</w:t>
      </w:r>
      <w:bookmarkEnd w:id="5"/>
    </w:p>
    <w:p w14:paraId="54569F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945095C">
      <w:pPr>
        <w:numPr>
          <w:ilvl w:val="0"/>
          <w:numId w:val="3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2"/>
        </w:rPr>
        <w:t>.</w:t>
      </w:r>
      <w:r>
        <w:rPr>
          <w:rFonts w:hint="eastAsia" w:ascii="宋体" w:hAnsi="宋体" w:eastAsia="宋体" w:cs="宋体"/>
          <w:b/>
          <w:sz w:val="22"/>
          <w:lang w:val="en-US" w:eastAsia="zh-CN"/>
        </w:rPr>
        <w:t>ims</w:t>
      </w:r>
      <w:r>
        <w:rPr>
          <w:rFonts w:hint="eastAsia" w:ascii="宋体" w:hAnsi="宋体" w:eastAsia="宋体" w:cs="宋体"/>
          <w:b/>
          <w:sz w:val="22"/>
        </w:rPr>
        <w:t>格式</w:t>
      </w:r>
      <w:r>
        <w:rPr>
          <w:rFonts w:hint="eastAsia" w:ascii="宋体" w:hAnsi="宋体" w:eastAsia="宋体" w:cs="宋体"/>
          <w:sz w:val="22"/>
        </w:rPr>
        <w:t>：项目自定义的JSON格式文件，用于存储阅读内容、时间轴配置及音视频资源关联信息</w:t>
      </w:r>
    </w:p>
    <w:p w14:paraId="4A210DAE">
      <w:pPr>
        <w:numPr>
          <w:ilvl w:val="0"/>
          <w:numId w:val="3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2"/>
        </w:rPr>
        <w:t>MVP</w:t>
      </w:r>
      <w:r>
        <w:rPr>
          <w:rFonts w:hint="eastAsia" w:ascii="宋体" w:hAnsi="宋体" w:eastAsia="宋体" w:cs="宋体"/>
          <w:sz w:val="22"/>
        </w:rPr>
        <w:t>：最小可行产品，指包含核心功能的初始版本</w:t>
      </w:r>
    </w:p>
    <w:p w14:paraId="1CBE688A">
      <w:pPr>
        <w:numPr>
          <w:ilvl w:val="0"/>
          <w:numId w:val="3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音画同步</w:t>
      </w:r>
      <w:r>
        <w:rPr>
          <w:rFonts w:hint="eastAsia" w:ascii="宋体" w:hAnsi="宋体" w:eastAsia="宋体" w:cs="宋体"/>
          <w:sz w:val="22"/>
        </w:rPr>
        <w:t>：音频播放进度与文本显示、背景切换保持时间一致性（延迟≤100ms）</w:t>
      </w:r>
    </w:p>
    <w:p w14:paraId="645CF5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6B49570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6" w:name="heading_7"/>
      <w:r>
        <w:rPr>
          <w:rFonts w:hint="eastAsia" w:ascii="宋体" w:hAnsi="宋体" w:eastAsia="宋体" w:cs="宋体"/>
          <w:b/>
          <w:sz w:val="28"/>
        </w:rPr>
        <w:t>1.4.2 参考资料</w:t>
      </w:r>
      <w:bookmarkEnd w:id="6"/>
    </w:p>
    <w:p w14:paraId="5B5EA1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27FF753E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GB/T 8567-2006《计算机软件文档编制规范》</w:t>
      </w:r>
    </w:p>
    <w:p w14:paraId="5042955F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GB/T 8566-88《计算机软件开发规范》</w:t>
      </w:r>
    </w:p>
    <w:p w14:paraId="221AD8B8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《计算机软件保护条例》（2013年修订）</w:t>
      </w:r>
    </w:p>
    <w:p w14:paraId="01427FF2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Python官方文档（Tkinter/PyQt/Pygame模块）</w:t>
      </w:r>
    </w:p>
    <w:p w14:paraId="1CDA63F3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Unsplash无版权图片使用协议、FreeSound音频资源许可协议</w:t>
      </w:r>
    </w:p>
    <w:p w14:paraId="69C7439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831884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8"/>
      <w:r>
        <w:rPr>
          <w:rFonts w:hint="eastAsia" w:ascii="宋体" w:hAnsi="宋体" w:eastAsia="宋体" w:cs="宋体"/>
          <w:b/>
          <w:sz w:val="32"/>
        </w:rPr>
        <w:t>2 可行性研究的前提</w:t>
      </w:r>
      <w:bookmarkEnd w:id="7"/>
    </w:p>
    <w:p w14:paraId="327D3D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888686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8" w:name="heading_9"/>
      <w:r>
        <w:rPr>
          <w:rFonts w:hint="eastAsia" w:ascii="宋体" w:hAnsi="宋体" w:eastAsia="宋体" w:cs="宋体"/>
          <w:b/>
          <w:sz w:val="30"/>
        </w:rPr>
        <w:t>2.1 项目目标</w:t>
      </w:r>
      <w:bookmarkEnd w:id="8"/>
    </w:p>
    <w:p w14:paraId="0CF973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CF1DCAF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开发支持文本导入、资源关联、时间轴编辑的创作工具，生成符合规范的.immersive文件</w:t>
      </w:r>
    </w:p>
    <w:p w14:paraId="3C41DD48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实现能够解析.immersive文件、保障音画同步的播放工具，提供基础播放控制功能</w:t>
      </w:r>
    </w:p>
    <w:p w14:paraId="4F3AA9CB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确保MVP版本在Windows 10及以上系统稳定运行，安装包体积≤100MB，启动时间≤3秒</w:t>
      </w:r>
    </w:p>
    <w:p w14:paraId="692542E4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控制开发周期≤8周，开发成本控制在个人可承担范围内</w:t>
      </w:r>
    </w:p>
    <w:p w14:paraId="6417C8A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1B6A21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9" w:name="heading_10"/>
      <w:r>
        <w:rPr>
          <w:rFonts w:hint="eastAsia" w:ascii="宋体" w:hAnsi="宋体" w:eastAsia="宋体" w:cs="宋体"/>
          <w:b/>
          <w:sz w:val="30"/>
        </w:rPr>
        <w:t>2.2 项目范围</w:t>
      </w:r>
      <w:bookmarkEnd w:id="9"/>
    </w:p>
    <w:p w14:paraId="6ED35E8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091EED4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0" w:name="heading_11"/>
      <w:r>
        <w:rPr>
          <w:rFonts w:hint="eastAsia" w:ascii="宋体" w:hAnsi="宋体" w:eastAsia="宋体" w:cs="宋体"/>
          <w:b/>
          <w:sz w:val="28"/>
        </w:rPr>
        <w:t>2.2.1 包含功能</w:t>
      </w:r>
      <w:bookmarkEnd w:id="10"/>
    </w:p>
    <w:p w14:paraId="03B358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1F5C288">
      <w:pPr>
        <w:numPr>
          <w:ilvl w:val="0"/>
          <w:numId w:val="13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编辑器：文本导入（.txt）、本地资源（图片/MP3）选择与管理、可视化时间轴编辑、文件保存与预览</w:t>
      </w:r>
    </w:p>
    <w:p w14:paraId="32F96F0E">
      <w:pPr>
        <w:numPr>
          <w:ilvl w:val="0"/>
          <w:numId w:val="13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播放器：.</w:t>
      </w:r>
      <w:r>
        <w:rPr>
          <w:rFonts w:hint="eastAsia" w:ascii="宋体" w:hAnsi="宋体" w:eastAsia="宋体" w:cs="宋体"/>
          <w:sz w:val="22"/>
          <w:lang w:val="en-US" w:eastAsia="zh-CN"/>
        </w:rPr>
        <w:t>ims</w:t>
      </w:r>
      <w:r>
        <w:rPr>
          <w:rFonts w:hint="eastAsia" w:ascii="宋体" w:hAnsi="宋体" w:eastAsia="宋体" w:cs="宋体"/>
          <w:sz w:val="22"/>
        </w:rPr>
        <w:t>文件解析、音画同步渲染、播放/暂停/退出控制、进度条显示</w:t>
      </w:r>
    </w:p>
    <w:p w14:paraId="531953E0">
      <w:pPr>
        <w:numPr>
          <w:ilvl w:val="0"/>
          <w:numId w:val="13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数据格式：定义包含metadata（元数据）、assets（资源）、timeline（时间轴）的JSON结构</w:t>
      </w:r>
    </w:p>
    <w:p w14:paraId="26EC6A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0D3E87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1" w:name="heading_12"/>
      <w:r>
        <w:rPr>
          <w:rFonts w:hint="eastAsia" w:ascii="宋体" w:hAnsi="宋体" w:eastAsia="宋体" w:cs="宋体"/>
          <w:b/>
          <w:sz w:val="28"/>
        </w:rPr>
        <w:t>2.2.2 排除功能</w:t>
      </w:r>
      <w:bookmarkEnd w:id="11"/>
    </w:p>
    <w:p w14:paraId="3CE8D8E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C6E4C35">
      <w:pPr>
        <w:numPr>
          <w:ilvl w:val="0"/>
          <w:numId w:val="14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在线资源库与云端同步功能</w:t>
      </w:r>
    </w:p>
    <w:p w14:paraId="50B1EEE7">
      <w:pPr>
        <w:numPr>
          <w:ilvl w:val="0"/>
          <w:numId w:val="14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AI内容生成与自动排版功能</w:t>
      </w:r>
    </w:p>
    <w:p w14:paraId="3B87EB91">
      <w:pPr>
        <w:numPr>
          <w:ilvl w:val="0"/>
          <w:numId w:val="14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macOS/Linux系统适配</w:t>
      </w:r>
    </w:p>
    <w:p w14:paraId="46B082B5">
      <w:pPr>
        <w:numPr>
          <w:ilvl w:val="0"/>
          <w:numId w:val="14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高级特效（3D渲染、动态粒子效果）</w:t>
      </w:r>
    </w:p>
    <w:p w14:paraId="36242C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879A9B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2" w:name="heading_13"/>
      <w:r>
        <w:rPr>
          <w:rFonts w:hint="eastAsia" w:ascii="宋体" w:hAnsi="宋体" w:eastAsia="宋体" w:cs="宋体"/>
          <w:b/>
          <w:sz w:val="30"/>
        </w:rPr>
        <w:t>2.3 约束条件</w:t>
      </w:r>
      <w:bookmarkEnd w:id="12"/>
    </w:p>
    <w:p w14:paraId="0C71144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29C6E4E0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时间约束</w:t>
      </w:r>
      <w:r>
        <w:rPr>
          <w:rFonts w:hint="eastAsia" w:ascii="宋体" w:hAnsi="宋体" w:eastAsia="宋体" w:cs="宋体"/>
          <w:sz w:val="22"/>
        </w:rPr>
        <w:t>：总开发周期不超过8周，每周可用开发时间约10小时</w:t>
      </w:r>
    </w:p>
    <w:p w14:paraId="22920D33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资源约束</w:t>
      </w:r>
      <w:r>
        <w:rPr>
          <w:rFonts w:hint="eastAsia" w:ascii="宋体" w:hAnsi="宋体" w:eastAsia="宋体" w:cs="宋体"/>
          <w:sz w:val="22"/>
        </w:rPr>
        <w:t>：开发设备为普通Windows 10笔记本电脑（i5处理器、8GB内存），无额外硬件投入</w:t>
      </w:r>
    </w:p>
    <w:p w14:paraId="6EF9DB7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技术约束</w:t>
      </w:r>
      <w:r>
        <w:rPr>
          <w:rFonts w:hint="eastAsia" w:ascii="宋体" w:hAnsi="宋体" w:eastAsia="宋体" w:cs="宋体"/>
          <w:sz w:val="22"/>
        </w:rPr>
        <w:t>：仅限使用Python及开源库开发，禁止使用付费软件或商业API</w:t>
      </w:r>
    </w:p>
    <w:p w14:paraId="430ED505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法律约束</w:t>
      </w:r>
      <w:r>
        <w:rPr>
          <w:rFonts w:hint="eastAsia" w:ascii="宋体" w:hAnsi="宋体" w:eastAsia="宋体" w:cs="宋体"/>
          <w:sz w:val="22"/>
        </w:rPr>
        <w:t>：需符合软件版权、知识产权相关法律法规，避免侵权风险</w:t>
      </w:r>
    </w:p>
    <w:p w14:paraId="2697637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8D13CE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3" w:name="heading_14"/>
      <w:r>
        <w:rPr>
          <w:rFonts w:hint="eastAsia" w:ascii="宋体" w:hAnsi="宋体" w:eastAsia="宋体" w:cs="宋体"/>
          <w:b/>
          <w:sz w:val="30"/>
        </w:rPr>
        <w:t>2.4 分析方法</w:t>
      </w:r>
      <w:bookmarkEnd w:id="13"/>
    </w:p>
    <w:p w14:paraId="45220D9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5A0BC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采用GB/T 8567-2006标准推荐的综合评估法，包括：</w:t>
      </w:r>
    </w:p>
    <w:p w14:paraId="11B1488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9B468A1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技术验证：通过核心功能原型（音画同步、JSON解析）测试技术可行性</w:t>
      </w:r>
    </w:p>
    <w:p w14:paraId="0765EA87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成本效益分析：量化开发成本与项目收益（含非经济收益）</w:t>
      </w:r>
    </w:p>
    <w:p w14:paraId="2F57AB94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风险矩阵评估：按"发生概率×影响程度"评估各维度风险</w:t>
      </w:r>
    </w:p>
    <w:p w14:paraId="1B1AFA54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方案对比：设计2套技术方案并进行优劣分析</w:t>
      </w:r>
    </w:p>
    <w:p w14:paraId="1FFB9C5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B00D22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4" w:name="heading_15"/>
      <w:r>
        <w:rPr>
          <w:rFonts w:hint="eastAsia" w:ascii="宋体" w:hAnsi="宋体" w:eastAsia="宋体" w:cs="宋体"/>
          <w:b/>
          <w:sz w:val="32"/>
        </w:rPr>
        <w:t>3 现有系统分析</w:t>
      </w:r>
      <w:bookmarkEnd w:id="14"/>
    </w:p>
    <w:p w14:paraId="4FB116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当前沉浸式阅读内容主要通过专业软件（如Adobe After Effects）制作，存在两大核心问题：</w:t>
      </w:r>
    </w:p>
    <w:p w14:paraId="38DA50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E551C28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创作门槛高</w:t>
      </w:r>
      <w:r>
        <w:rPr>
          <w:rFonts w:hint="eastAsia" w:ascii="宋体" w:hAnsi="宋体" w:eastAsia="宋体" w:cs="宋体"/>
          <w:sz w:val="22"/>
        </w:rPr>
        <w:t>：专业软件操作复杂，需掌握图层动画、关键帧设置等技能，普通用户难以上手</w:t>
      </w:r>
    </w:p>
    <w:p w14:paraId="33B6DE1B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资源占用大</w:t>
      </w:r>
      <w:r>
        <w:rPr>
          <w:rFonts w:hint="eastAsia" w:ascii="宋体" w:hAnsi="宋体" w:eastAsia="宋体" w:cs="宋体"/>
          <w:sz w:val="22"/>
        </w:rPr>
        <w:t>：导出文件多为视频格式（MP4），10分钟内容约占用200-500MB存储空间</w:t>
      </w:r>
    </w:p>
    <w:p w14:paraId="5ABEFFCD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可编辑性差</w:t>
      </w:r>
      <w:r>
        <w:rPr>
          <w:rFonts w:hint="eastAsia" w:ascii="宋体" w:hAnsi="宋体" w:eastAsia="宋体" w:cs="宋体"/>
          <w:sz w:val="22"/>
        </w:rPr>
        <w:t>：视频格式无法直接修改文本内容，更新需重新渲染生成</w:t>
      </w:r>
    </w:p>
    <w:p w14:paraId="6871EBD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601E3E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现有解决方案均未针对"轻量化创作+本地播放"场景优化，为本项目提供了差异化机会。</w:t>
      </w:r>
    </w:p>
    <w:p w14:paraId="75EC8E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49B1B0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5" w:name="heading_16"/>
      <w:r>
        <w:rPr>
          <w:rFonts w:hint="eastAsia" w:ascii="宋体" w:hAnsi="宋体" w:eastAsia="宋体" w:cs="宋体"/>
          <w:b/>
          <w:sz w:val="32"/>
        </w:rPr>
        <w:t>4 可行性分析</w:t>
      </w:r>
      <w:bookmarkEnd w:id="15"/>
    </w:p>
    <w:p w14:paraId="428F64F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71D1CC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6" w:name="heading_17"/>
      <w:r>
        <w:rPr>
          <w:rFonts w:hint="eastAsia" w:ascii="宋体" w:hAnsi="宋体" w:eastAsia="宋体" w:cs="宋体"/>
          <w:b/>
          <w:sz w:val="30"/>
        </w:rPr>
        <w:t>4.1 技术可行性</w:t>
      </w:r>
      <w:bookmarkEnd w:id="16"/>
    </w:p>
    <w:p w14:paraId="5DAC0B6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E15F26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7" w:name="heading_18"/>
      <w:r>
        <w:rPr>
          <w:rFonts w:hint="eastAsia" w:ascii="宋体" w:hAnsi="宋体" w:eastAsia="宋体" w:cs="宋体"/>
          <w:b/>
          <w:sz w:val="28"/>
        </w:rPr>
        <w:t>4.1.1 技术方案设计</w:t>
      </w:r>
      <w:bookmarkEnd w:id="17"/>
    </w:p>
    <w:p w14:paraId="06E860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D1943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基于Python生态设计2套候选方案，核心技术栈对比如下：</w:t>
      </w:r>
    </w:p>
    <w:p w14:paraId="2E91BFB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D1318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F83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技术方案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740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GUI框架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E83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多媒体渲染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CED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数据处理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8D7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优势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D54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劣势</w:t>
            </w:r>
          </w:p>
        </w:tc>
      </w:tr>
      <w:tr w14:paraId="485AA6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B9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方案A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1D0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Tkinter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09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Pygame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35E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json标准库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CB2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轻量易上手，资源占用低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CF8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复杂界面布局支持弱</w:t>
            </w:r>
          </w:p>
        </w:tc>
      </w:tr>
      <w:tr w14:paraId="4AAB65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BCF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方案B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745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PyQt6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614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PyQtMultimedia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CF6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json5库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648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界面组件丰富，渲染效果好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7FF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学习成本高，安装包较大</w:t>
            </w:r>
          </w:p>
        </w:tc>
      </w:tr>
    </w:tbl>
    <w:p w14:paraId="5C918F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74F2D8F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8" w:name="heading_19"/>
      <w:r>
        <w:rPr>
          <w:rFonts w:hint="eastAsia" w:ascii="宋体" w:hAnsi="宋体" w:eastAsia="宋体" w:cs="宋体"/>
          <w:b/>
          <w:sz w:val="28"/>
        </w:rPr>
        <w:t>4.1.2 技术可行性评估</w:t>
      </w:r>
      <w:bookmarkEnd w:id="18"/>
    </w:p>
    <w:p w14:paraId="138F31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D12A03B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核心功能实现能力</w:t>
      </w:r>
      <w:r>
        <w:rPr>
          <w:rFonts w:hint="eastAsia" w:ascii="宋体" w:hAnsi="宋体" w:eastAsia="宋体" w:cs="宋体"/>
          <w:sz w:val="22"/>
        </w:rPr>
        <w:t>：</w:t>
      </w:r>
    </w:p>
    <w:p w14:paraId="3B365668">
      <w:pPr>
        <w:numPr>
          <w:ilvl w:val="0"/>
          <w:numId w:val="27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界面开发：Tkinter/PyQt均能实现编辑器的多区域布局（菜单栏、资源区、编辑区）和播放器的全屏渲染需求</w:t>
      </w:r>
    </w:p>
    <w:p w14:paraId="536CBF0E">
      <w:pPr>
        <w:numPr>
          <w:ilvl w:val="0"/>
          <w:numId w:val="28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音画同步：Pygame可通过统一时钟（60帧/秒）控制音频播放与画面刷新，经原型测试延迟可控制在50ms以内，满足≤100ms的性能要求</w:t>
      </w:r>
    </w:p>
    <w:p w14:paraId="611ABD35">
      <w:pPr>
        <w:numPr>
          <w:ilvl w:val="0"/>
          <w:numId w:val="29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数据处理：Python json库可完整支持.immersive格式的解析与生成，配合JSON Schema可实现格式验证</w:t>
      </w:r>
    </w:p>
    <w:p w14:paraId="19BF7BD7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技术资源可得性</w:t>
      </w:r>
      <w:r>
        <w:rPr>
          <w:rFonts w:hint="eastAsia" w:ascii="宋体" w:hAnsi="宋体" w:eastAsia="宋体" w:cs="宋体"/>
          <w:sz w:val="22"/>
        </w:rPr>
        <w:t>：</w:t>
      </w:r>
    </w:p>
    <w:p w14:paraId="1C58D974">
      <w:pPr>
        <w:numPr>
          <w:ilvl w:val="0"/>
          <w:numId w:val="31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开发工具：Python 3.10+、PyCharm社区版（免费）、DrawIO（免费架构设计工具）均无需付费获取</w:t>
      </w:r>
    </w:p>
    <w:p w14:paraId="629B6C4E">
      <w:pPr>
        <w:numPr>
          <w:ilvl w:val="0"/>
          <w:numId w:val="32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开源库：所有依赖库（Tkinter内置、Pygame 2.5.2、PyQt6社区版）均为开源许可，符合项目约束条件</w:t>
      </w:r>
    </w:p>
    <w:p w14:paraId="083761D6">
      <w:pPr>
        <w:numPr>
          <w:ilvl w:val="0"/>
          <w:numId w:val="33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技术文档：各库官方文档完善，且存在大量音画同步、GUI开发的实例教程</w:t>
      </w:r>
    </w:p>
    <w:p w14:paraId="1D11592F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技术风险与应对</w:t>
      </w:r>
      <w:r>
        <w:rPr>
          <w:rFonts w:hint="eastAsia" w:ascii="宋体" w:hAnsi="宋体" w:eastAsia="宋体" w:cs="宋体"/>
          <w:sz w:val="22"/>
        </w:rPr>
        <w:t>（按GB/T 8566-88风险分析要求）：</w:t>
      </w:r>
    </w:p>
    <w:p w14:paraId="0D74C96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95E24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526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风险点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194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发生概率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DAC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影响程度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5D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应对措施</w:t>
            </w:r>
          </w:p>
        </w:tc>
      </w:tr>
      <w:tr w14:paraId="08C202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94F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Pygame音频卡顿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DE5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18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DC5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采用"预加载+缓存"策略，提前加载下一段音频资源</w:t>
            </w:r>
          </w:p>
        </w:tc>
      </w:tr>
      <w:tr w14:paraId="39011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97A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大文件解析延迟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EDA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EE51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559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实现分段解析机制，优先加载前3段内容</w:t>
            </w:r>
          </w:p>
        </w:tc>
      </w:tr>
      <w:tr w14:paraId="5F26A2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207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不同分辨率适配问题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2B7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C50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936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采用相对坐标布局，自动适配屏幕分辨率</w:t>
            </w:r>
          </w:p>
        </w:tc>
      </w:tr>
    </w:tbl>
    <w:p w14:paraId="07BE00F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6F42E1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结论</w:t>
      </w:r>
      <w:r>
        <w:rPr>
          <w:rFonts w:hint="eastAsia" w:ascii="宋体" w:hAnsi="宋体" w:eastAsia="宋体" w:cs="宋体"/>
          <w:sz w:val="22"/>
        </w:rPr>
        <w:t>：技术方案成熟可行，核心风险均有有效应对措施，现有技术资源可满足开发需求。</w:t>
      </w:r>
    </w:p>
    <w:p w14:paraId="6CC1ED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2A80915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9" w:name="heading_20"/>
      <w:r>
        <w:rPr>
          <w:rFonts w:hint="eastAsia" w:ascii="宋体" w:hAnsi="宋体" w:eastAsia="宋体" w:cs="宋体"/>
          <w:b/>
          <w:sz w:val="30"/>
        </w:rPr>
        <w:t>4.2 经济可行性</w:t>
      </w:r>
      <w:bookmarkEnd w:id="19"/>
    </w:p>
    <w:p w14:paraId="1C6AF5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A6F7A7C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0" w:name="heading_21"/>
      <w:r>
        <w:rPr>
          <w:rFonts w:hint="eastAsia" w:ascii="宋体" w:hAnsi="宋体" w:eastAsia="宋体" w:cs="宋体"/>
          <w:b/>
          <w:sz w:val="28"/>
        </w:rPr>
        <w:t>4.2.1 成本估算（按8周开发周期计算）</w:t>
      </w:r>
      <w:bookmarkEnd w:id="20"/>
    </w:p>
    <w:p w14:paraId="44BA55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4546627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直接成本</w:t>
      </w:r>
      <w:r>
        <w:rPr>
          <w:rFonts w:hint="eastAsia" w:ascii="宋体" w:hAnsi="宋体" w:eastAsia="宋体" w:cs="宋体"/>
          <w:sz w:val="22"/>
        </w:rPr>
        <w:t>：</w:t>
      </w:r>
    </w:p>
    <w:p w14:paraId="3CEFEF1F">
      <w:pPr>
        <w:numPr>
          <w:ilvl w:val="0"/>
          <w:numId w:val="36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硬件成本：0元（使用现有笔记本电脑）</w:t>
      </w:r>
    </w:p>
    <w:p w14:paraId="6F152903">
      <w:pPr>
        <w:numPr>
          <w:ilvl w:val="0"/>
          <w:numId w:val="37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软件成本：0元（全部使用开源/免费工具）</w:t>
      </w:r>
    </w:p>
    <w:p w14:paraId="2E191987">
      <w:pPr>
        <w:numPr>
          <w:ilvl w:val="0"/>
          <w:numId w:val="38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资源成本：0元（采用Unsplash无版权图片、FreeSound免费音频）</w:t>
      </w:r>
    </w:p>
    <w:p w14:paraId="7B427608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间接成本</w:t>
      </w:r>
      <w:r>
        <w:rPr>
          <w:rFonts w:hint="eastAsia" w:ascii="宋体" w:hAnsi="宋体" w:eastAsia="宋体" w:cs="宋体"/>
          <w:sz w:val="22"/>
        </w:rPr>
        <w:t>：</w:t>
      </w:r>
    </w:p>
    <w:p w14:paraId="4C0C26F3">
      <w:pPr>
        <w:numPr>
          <w:ilvl w:val="0"/>
          <w:numId w:val="40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时间成本：</w:t>
      </w:r>
      <w:r>
        <w:rPr>
          <w:rFonts w:hint="eastAsia" w:ascii="宋体" w:hAnsi="宋体" w:eastAsia="宋体" w:cs="宋体"/>
          <w:sz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</w:rPr>
        <w:t>0元</w:t>
      </w:r>
      <w:r>
        <w:rPr>
          <w:rFonts w:hint="eastAsia" w:ascii="宋体" w:hAnsi="宋体" w:eastAsia="宋体" w:cs="宋体"/>
          <w:sz w:val="22"/>
          <w:lang w:val="en-US" w:eastAsia="zh-CN"/>
        </w:rPr>
        <w:t xml:space="preserve"> (课余时间自主开发）</w:t>
      </w:r>
    </w:p>
    <w:p w14:paraId="358C6A19">
      <w:pPr>
        <w:numPr>
          <w:ilvl w:val="0"/>
          <w:numId w:val="41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测试成本：0元（自我测试+同学协助测试）</w:t>
      </w:r>
    </w:p>
    <w:p w14:paraId="0F2A3CD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45CC29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sz w:val="22"/>
        </w:rPr>
        <w:t>总成本估算</w:t>
      </w:r>
      <w:r>
        <w:rPr>
          <w:rFonts w:hint="eastAsia" w:ascii="宋体" w:hAnsi="宋体" w:eastAsia="宋体" w:cs="宋体"/>
          <w:sz w:val="22"/>
        </w:rPr>
        <w:t>：</w:t>
      </w:r>
      <w:r>
        <w:rPr>
          <w:rFonts w:hint="eastAsia" w:ascii="宋体" w:hAnsi="宋体" w:eastAsia="宋体" w:cs="宋体"/>
          <w:sz w:val="22"/>
          <w:lang w:val="en-US" w:eastAsia="zh-CN"/>
        </w:rPr>
        <w:t>0元</w:t>
      </w:r>
    </w:p>
    <w:p w14:paraId="0F1FCC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BD83D4A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1" w:name="heading_22"/>
      <w:r>
        <w:rPr>
          <w:rFonts w:hint="eastAsia" w:ascii="宋体" w:hAnsi="宋体" w:eastAsia="宋体" w:cs="宋体"/>
          <w:b/>
          <w:sz w:val="28"/>
        </w:rPr>
        <w:t>4.2.2 收益分析</w:t>
      </w:r>
      <w:bookmarkEnd w:id="21"/>
    </w:p>
    <w:p w14:paraId="5961C81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B6D22C7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直接收益</w:t>
      </w:r>
      <w:r>
        <w:rPr>
          <w:rFonts w:hint="eastAsia" w:ascii="宋体" w:hAnsi="宋体" w:eastAsia="宋体" w:cs="宋体"/>
          <w:sz w:val="22"/>
        </w:rPr>
        <w:t>：MVP版本暂不考虑商业变现，直接经济收益为0</w:t>
      </w:r>
    </w:p>
    <w:p w14:paraId="6A905656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间接收益</w:t>
      </w:r>
      <w:r>
        <w:rPr>
          <w:rFonts w:hint="eastAsia" w:ascii="宋体" w:hAnsi="宋体" w:eastAsia="宋体" w:cs="宋体"/>
          <w:sz w:val="22"/>
        </w:rPr>
        <w:t>：</w:t>
      </w:r>
    </w:p>
    <w:p w14:paraId="1477CF18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学习收益：掌握GUI开发、多媒体同步、数据格式设计等实践技能</w:t>
      </w:r>
    </w:p>
    <w:p w14:paraId="31B11CC0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项目收益：可作为课程设计成果或作品集项目，提升学术/求职竞争力</w:t>
      </w:r>
    </w:p>
    <w:p w14:paraId="0904A978">
      <w:pPr>
        <w:numPr>
          <w:ilvl w:val="0"/>
          <w:numId w:val="46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使用收益：满足个人及周边群体的沉浸式阅读创作需求，替代专业软件使用</w:t>
      </w:r>
    </w:p>
    <w:p w14:paraId="0C8207D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2F8344A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2" w:name="heading_23"/>
      <w:r>
        <w:rPr>
          <w:rFonts w:hint="eastAsia" w:ascii="宋体" w:hAnsi="宋体" w:eastAsia="宋体" w:cs="宋体"/>
          <w:b/>
          <w:sz w:val="28"/>
        </w:rPr>
        <w:t>4.2.3 经济指标评估</w:t>
      </w:r>
      <w:bookmarkEnd w:id="22"/>
    </w:p>
    <w:p w14:paraId="2669D1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A456B06">
      <w:pPr>
        <w:numPr>
          <w:ilvl w:val="0"/>
          <w:numId w:val="47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2"/>
        </w:rPr>
        <w:t>投资回收期：无直接经济收益，按学习价值测算，项目完成即实现"收益"</w:t>
      </w:r>
    </w:p>
    <w:p w14:paraId="333A2AC7">
      <w:pPr>
        <w:numPr>
          <w:ilvl w:val="0"/>
          <w:numId w:val="47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2"/>
        </w:rPr>
        <w:t>盈亏平衡点：无需商业盈利，功能达标即达成目标</w:t>
      </w:r>
    </w:p>
    <w:p w14:paraId="69E60332">
      <w:pPr>
        <w:numPr>
          <w:ilvl w:val="0"/>
          <w:numId w:val="47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2"/>
        </w:rPr>
        <w:t>成本效益比：低成本投入可获得显著的学习与实践价值，效益优于成本</w:t>
      </w:r>
    </w:p>
    <w:p w14:paraId="4AB507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6CE232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结论</w:t>
      </w:r>
      <w:r>
        <w:rPr>
          <w:rFonts w:hint="eastAsia" w:ascii="宋体" w:hAnsi="宋体" w:eastAsia="宋体" w:cs="宋体"/>
          <w:sz w:val="22"/>
        </w:rPr>
        <w:t>：项目经济成本低，非经济收益显著，符合个人开发的经济可行性要求。</w:t>
      </w:r>
    </w:p>
    <w:p w14:paraId="438D5E2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19F828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3" w:name="heading_24"/>
      <w:r>
        <w:rPr>
          <w:rFonts w:hint="eastAsia" w:ascii="宋体" w:hAnsi="宋体" w:eastAsia="宋体" w:cs="宋体"/>
          <w:b/>
          <w:sz w:val="30"/>
        </w:rPr>
        <w:t>4.3 法律可行性</w:t>
      </w:r>
      <w:bookmarkEnd w:id="23"/>
    </w:p>
    <w:p w14:paraId="57C7B4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E44EA1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4" w:name="heading_25"/>
      <w:r>
        <w:rPr>
          <w:rFonts w:hint="eastAsia" w:ascii="宋体" w:hAnsi="宋体" w:eastAsia="宋体" w:cs="宋体"/>
          <w:b/>
          <w:sz w:val="28"/>
        </w:rPr>
        <w:t>4.3.1 版权合规性</w:t>
      </w:r>
      <w:bookmarkEnd w:id="24"/>
    </w:p>
    <w:p w14:paraId="2E4F0D8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7A00CB7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软件版权</w:t>
      </w:r>
      <w:r>
        <w:rPr>
          <w:rFonts w:hint="eastAsia" w:ascii="宋体" w:hAnsi="宋体" w:eastAsia="宋体" w:cs="宋体"/>
          <w:sz w:val="22"/>
        </w:rPr>
        <w:t>：项目为独立开发，核心代码自主编写，符合《计算机软件保护条例》要求，可申请软件著作权</w:t>
      </w:r>
    </w:p>
    <w:p w14:paraId="2D126AA0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资源版权</w:t>
      </w:r>
      <w:r>
        <w:rPr>
          <w:rFonts w:hint="eastAsia" w:ascii="宋体" w:hAnsi="宋体" w:eastAsia="宋体" w:cs="宋体"/>
          <w:sz w:val="22"/>
        </w:rPr>
        <w:t>：</w:t>
      </w:r>
    </w:p>
    <w:p w14:paraId="26D3EC17"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图片资源：采用Unsplash授权的无版权图片，可免费用于非商业项目</w:t>
      </w:r>
    </w:p>
    <w:p w14:paraId="7980F1D5">
      <w:pPr>
        <w:numPr>
          <w:ilvl w:val="0"/>
          <w:numId w:val="51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音频资源：选用FreeSound的CC0协议音频，允许无限制使用</w:t>
      </w:r>
    </w:p>
    <w:p w14:paraId="4801E1EC">
      <w:pPr>
        <w:numPr>
          <w:ilvl w:val="0"/>
          <w:numId w:val="52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开源库：使用的Python库均符合MIT/GPL许可协议，合规调用</w:t>
      </w:r>
    </w:p>
    <w:p w14:paraId="1C3AA92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E5D214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5" w:name="heading_26"/>
      <w:r>
        <w:rPr>
          <w:rFonts w:hint="eastAsia" w:ascii="宋体" w:hAnsi="宋体" w:eastAsia="宋体" w:cs="宋体"/>
          <w:b/>
          <w:sz w:val="28"/>
        </w:rPr>
        <w:t>4.3.2 数据合规性</w:t>
      </w:r>
      <w:bookmarkEnd w:id="25"/>
    </w:p>
    <w:p w14:paraId="3E092D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9555417">
      <w:pPr>
        <w:numPr>
          <w:ilvl w:val="0"/>
          <w:numId w:val="53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2"/>
        </w:rPr>
        <w:t>项目仅处理本地文件，不收集、存储任何用户个人信息，符合《个人信息保护法》要求</w:t>
      </w:r>
    </w:p>
    <w:p w14:paraId="0479BA90">
      <w:pPr>
        <w:numPr>
          <w:ilvl w:val="0"/>
          <w:numId w:val="53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2"/>
        </w:rPr>
        <w:t>无数据传输行为，不存在数据安全与隐私泄露风险</w:t>
      </w:r>
    </w:p>
    <w:p w14:paraId="48CCA5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9FBA006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6" w:name="heading_27"/>
      <w:r>
        <w:rPr>
          <w:rFonts w:hint="eastAsia" w:ascii="宋体" w:hAnsi="宋体" w:eastAsia="宋体" w:cs="宋体"/>
          <w:b/>
          <w:sz w:val="28"/>
        </w:rPr>
        <w:t>4.3.3 法律风险评估</w:t>
      </w:r>
      <w:bookmarkEnd w:id="26"/>
    </w:p>
    <w:p w14:paraId="0E8D4F8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0995243">
      <w:pPr>
        <w:numPr>
          <w:ilvl w:val="0"/>
          <w:numId w:val="54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</w:rPr>
        <w:t>侵权风险：通过规范使用无版权资源和开源库，侵权风险为低</w:t>
      </w:r>
    </w:p>
    <w:p w14:paraId="629E46E1">
      <w:pPr>
        <w:numPr>
          <w:ilvl w:val="0"/>
          <w:numId w:val="54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</w:rPr>
        <w:t>合规风险：不涉及特殊行业监管要求，合规风险为低</w:t>
      </w:r>
    </w:p>
    <w:p w14:paraId="0F71FC6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EACAD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结论</w:t>
      </w:r>
      <w:r>
        <w:rPr>
          <w:rFonts w:hint="eastAsia" w:ascii="宋体" w:hAnsi="宋体" w:eastAsia="宋体" w:cs="宋体"/>
          <w:sz w:val="22"/>
        </w:rPr>
        <w:t>：项目完全符合现有法律法规要求，无法律风险。</w:t>
      </w:r>
    </w:p>
    <w:p w14:paraId="7E1B3B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65E7D9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7" w:name="heading_28"/>
      <w:r>
        <w:rPr>
          <w:rFonts w:hint="eastAsia" w:ascii="宋体" w:hAnsi="宋体" w:eastAsia="宋体" w:cs="宋体"/>
          <w:b/>
          <w:sz w:val="30"/>
        </w:rPr>
        <w:t>4.4 操作可行性</w:t>
      </w:r>
      <w:bookmarkEnd w:id="27"/>
    </w:p>
    <w:p w14:paraId="359BCD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C48AAB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8" w:name="heading_29"/>
      <w:r>
        <w:rPr>
          <w:rFonts w:hint="eastAsia" w:ascii="宋体" w:hAnsi="宋体" w:eastAsia="宋体" w:cs="宋体"/>
          <w:b/>
          <w:sz w:val="28"/>
        </w:rPr>
        <w:t>4.4.1 开发操作可行性</w:t>
      </w:r>
      <w:bookmarkEnd w:id="28"/>
    </w:p>
    <w:p w14:paraId="66288EB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2E02744D">
      <w:pPr>
        <w:numPr>
          <w:ilvl w:val="0"/>
          <w:numId w:val="55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2"/>
        </w:rPr>
        <w:t>开发者具备Python基础（掌握语法、函数、类等核心知识），已完成Tkinter入门学习，具备技术能力基础</w:t>
      </w:r>
      <w:r>
        <w:rPr>
          <w:rFonts w:hint="eastAsia" w:ascii="宋体" w:hAnsi="宋体" w:eastAsia="宋体" w:cs="宋体"/>
          <w:sz w:val="22"/>
          <w:lang w:eastAsia="zh-CN"/>
        </w:rPr>
        <w:t>。</w:t>
      </w:r>
    </w:p>
    <w:p w14:paraId="2619341E">
      <w:pPr>
        <w:numPr>
          <w:ilvl w:val="0"/>
          <w:numId w:val="55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2"/>
        </w:rPr>
        <w:t>开发流程清晰，按"需求→设计→开发→测试"阶段推进，符合软件工程规范</w:t>
      </w:r>
      <w:r>
        <w:rPr>
          <w:rFonts w:hint="eastAsia" w:ascii="宋体" w:hAnsi="宋体" w:eastAsia="宋体" w:cs="宋体"/>
          <w:sz w:val="22"/>
          <w:lang w:eastAsia="zh-CN"/>
        </w:rPr>
        <w:t>。</w:t>
      </w:r>
    </w:p>
    <w:p w14:paraId="32E1F3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BDCE954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9" w:name="heading_30"/>
      <w:r>
        <w:rPr>
          <w:rFonts w:hint="eastAsia" w:ascii="宋体" w:hAnsi="宋体" w:eastAsia="宋体" w:cs="宋体"/>
          <w:b/>
          <w:sz w:val="28"/>
        </w:rPr>
        <w:t>4.4.2 用户操作可行性</w:t>
      </w:r>
      <w:bookmarkEnd w:id="29"/>
    </w:p>
    <w:p w14:paraId="0A4D54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8ED5E8E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创作者操作</w:t>
      </w:r>
      <w:r>
        <w:rPr>
          <w:rFonts w:hint="eastAsia" w:ascii="宋体" w:hAnsi="宋体" w:eastAsia="宋体" w:cs="宋体"/>
          <w:sz w:val="22"/>
        </w:rPr>
        <w:t>：核心流程（导入文本→选资源→设时间轴→保存）仅需3步，新手可在15分钟内掌握</w:t>
      </w:r>
    </w:p>
    <w:p w14:paraId="38A3A592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读者操作</w:t>
      </w:r>
      <w:r>
        <w:rPr>
          <w:rFonts w:hint="eastAsia" w:ascii="宋体" w:hAnsi="宋体" w:eastAsia="宋体" w:cs="宋体"/>
          <w:sz w:val="22"/>
        </w:rPr>
        <w:t>：播放流程（选文件→播放→控制）简单直观，符合用户使用习惯</w:t>
      </w:r>
    </w:p>
    <w:p w14:paraId="0E9C915C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环境适配</w:t>
      </w:r>
      <w:r>
        <w:rPr>
          <w:rFonts w:hint="eastAsia" w:ascii="宋体" w:hAnsi="宋体" w:eastAsia="宋体" w:cs="宋体"/>
          <w:sz w:val="22"/>
        </w:rPr>
        <w:t>：支持Windows 10及以上系统，覆盖90%以上的目标用户设备</w:t>
      </w:r>
    </w:p>
    <w:p w14:paraId="37A6AB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501001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30" w:name="heading_31"/>
      <w:r>
        <w:rPr>
          <w:rFonts w:hint="eastAsia" w:ascii="宋体" w:hAnsi="宋体" w:eastAsia="宋体" w:cs="宋体"/>
          <w:b/>
          <w:sz w:val="28"/>
        </w:rPr>
        <w:t>4.4.3 组织可行性</w:t>
      </w:r>
      <w:bookmarkEnd w:id="30"/>
    </w:p>
    <w:p w14:paraId="259ABDCD">
      <w:pPr>
        <w:numPr>
          <w:ilvl w:val="0"/>
          <w:numId w:val="59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项目为个人开发，无需团队协作，决策与执行效率高</w:t>
      </w:r>
    </w:p>
    <w:p w14:paraId="703C9830">
      <w:pPr>
        <w:numPr>
          <w:ilvl w:val="0"/>
          <w:numId w:val="59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测试支持：可协调3-5名同学进行功能测试，确保操作易用性</w:t>
      </w:r>
    </w:p>
    <w:p w14:paraId="0900B54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01D75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结论</w:t>
      </w:r>
      <w:r>
        <w:rPr>
          <w:rFonts w:hint="eastAsia" w:ascii="宋体" w:hAnsi="宋体" w:eastAsia="宋体" w:cs="宋体"/>
          <w:sz w:val="22"/>
        </w:rPr>
        <w:t>：开发与用户操作均简单可行，符合操作可行性要求。</w:t>
      </w:r>
    </w:p>
    <w:p w14:paraId="3FA2BB3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738B50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1" w:name="heading_32"/>
      <w:r>
        <w:rPr>
          <w:rFonts w:hint="eastAsia" w:ascii="宋体" w:hAnsi="宋体" w:eastAsia="宋体" w:cs="宋体"/>
          <w:b/>
          <w:sz w:val="32"/>
        </w:rPr>
        <w:t>5 方案选择与折衷</w:t>
      </w:r>
      <w:bookmarkEnd w:id="31"/>
    </w:p>
    <w:p w14:paraId="492C0AE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6FC230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2" w:name="heading_33"/>
      <w:r>
        <w:rPr>
          <w:rFonts w:hint="eastAsia" w:ascii="宋体" w:hAnsi="宋体" w:eastAsia="宋体" w:cs="宋体"/>
          <w:b/>
          <w:sz w:val="30"/>
        </w:rPr>
        <w:t>5.1 方案对比与选择</w:t>
      </w:r>
      <w:bookmarkEnd w:id="32"/>
    </w:p>
    <w:p w14:paraId="0CFE1E9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F18D2E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综合技术、经济、操作三维度分析，对2套技术方案进行最终选择：</w:t>
      </w:r>
    </w:p>
    <w:p w14:paraId="1CC2D88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0CFBE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8F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评估维度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2D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方案A（Tkinter+Pygame）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8B8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方案B（PyQt6+PyQtMultimedia）</w:t>
            </w:r>
          </w:p>
        </w:tc>
      </w:tr>
      <w:tr w14:paraId="01C8E5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179A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技术难度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C7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1E4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</w:t>
            </w:r>
          </w:p>
        </w:tc>
      </w:tr>
      <w:tr w14:paraId="049B02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CC3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开发效率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672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399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</w:t>
            </w:r>
          </w:p>
        </w:tc>
      </w:tr>
      <w:tr w14:paraId="7A4246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96E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界面效果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E89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基础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351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优质</w:t>
            </w:r>
          </w:p>
        </w:tc>
      </w:tr>
      <w:tr w14:paraId="5D0E83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7CD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资源占用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28A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F90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</w:t>
            </w:r>
          </w:p>
        </w:tc>
      </w:tr>
      <w:tr w14:paraId="442BAB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2EA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学习成本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132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7C9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高</w:t>
            </w:r>
          </w:p>
        </w:tc>
      </w:tr>
    </w:tbl>
    <w:p w14:paraId="4914D08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0A7993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选择结果</w:t>
      </w:r>
      <w:r>
        <w:rPr>
          <w:rFonts w:hint="eastAsia" w:ascii="宋体" w:hAnsi="宋体" w:eastAsia="宋体" w:cs="宋体"/>
          <w:sz w:val="22"/>
        </w:rPr>
        <w:t>：采用方案A（Tkinter+Pygame），理由如下：</w:t>
      </w:r>
    </w:p>
    <w:p w14:paraId="6FD105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2DD67DDB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符合"低成本、高效率"的开发目标</w:t>
      </w:r>
    </w:p>
    <w:p w14:paraId="69CC59D5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技术难度与个人能力匹配，可确保按时交付</w:t>
      </w:r>
    </w:p>
    <w:p w14:paraId="383AE01E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资源占用小，更符合轻量化项目定位</w:t>
      </w:r>
    </w:p>
    <w:p w14:paraId="756B3D48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核心功能实现不受影响，可满足MVP需求</w:t>
      </w:r>
    </w:p>
    <w:p w14:paraId="7B70C63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023FED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3" w:name="heading_34"/>
      <w:r>
        <w:rPr>
          <w:rFonts w:hint="eastAsia" w:ascii="宋体" w:hAnsi="宋体" w:eastAsia="宋体" w:cs="宋体"/>
          <w:b/>
          <w:sz w:val="30"/>
        </w:rPr>
        <w:t>5.2 折衷策略</w:t>
      </w:r>
      <w:bookmarkEnd w:id="33"/>
    </w:p>
    <w:p w14:paraId="0CA189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C8919F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针对方案A的界面功能局限，采取以下折衷措施：</w:t>
      </w:r>
    </w:p>
    <w:p w14:paraId="2AD5B2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1A67DE8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简化界面布局，优先保证核心功能可用</w:t>
      </w:r>
    </w:p>
    <w:p w14:paraId="187A439A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预留扩展接口，后续可升级为PyQt框架</w:t>
      </w:r>
    </w:p>
    <w:p w14:paraId="70A7F6C3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通过自定义样式提升基础界面的美观度</w:t>
      </w:r>
    </w:p>
    <w:p w14:paraId="3A47A93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E8EB06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4" w:name="heading_35"/>
      <w:r>
        <w:rPr>
          <w:rFonts w:hint="eastAsia" w:ascii="宋体" w:hAnsi="宋体" w:eastAsia="宋体" w:cs="宋体"/>
          <w:b/>
          <w:sz w:val="32"/>
        </w:rPr>
        <w:t>6 可行性结论与建议</w:t>
      </w:r>
      <w:bookmarkEnd w:id="34"/>
    </w:p>
    <w:p w14:paraId="396A7E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904C8E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5" w:name="heading_36"/>
      <w:r>
        <w:rPr>
          <w:rFonts w:hint="eastAsia" w:ascii="宋体" w:hAnsi="宋体" w:eastAsia="宋体" w:cs="宋体"/>
          <w:b/>
          <w:sz w:val="30"/>
        </w:rPr>
        <w:t>6.1 总体结论</w:t>
      </w:r>
      <w:bookmarkEnd w:id="35"/>
    </w:p>
    <w:p w14:paraId="32E4BB9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2AF33B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依据GB/T 8567-2006标准的综合评估，沉浸式阅读创作平台项目在</w:t>
      </w:r>
      <w:r>
        <w:rPr>
          <w:rFonts w:hint="eastAsia" w:ascii="宋体" w:hAnsi="宋体" w:eastAsia="宋体" w:cs="宋体"/>
          <w:b/>
          <w:sz w:val="22"/>
        </w:rPr>
        <w:t>技术、经济、法律、操作四个维度均具备可行性</w:t>
      </w:r>
      <w:r>
        <w:rPr>
          <w:rFonts w:hint="eastAsia" w:ascii="宋体" w:hAnsi="宋体" w:eastAsia="宋体" w:cs="宋体"/>
          <w:sz w:val="22"/>
        </w:rPr>
        <w:t>，项目目标明确，约束条件可控，潜在风险均有有效应对措施，建议立即启动项目开发。</w:t>
      </w:r>
    </w:p>
    <w:p w14:paraId="1F1681D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DFC44F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6" w:name="heading_37"/>
      <w:r>
        <w:rPr>
          <w:rFonts w:hint="eastAsia" w:ascii="宋体" w:hAnsi="宋体" w:eastAsia="宋体" w:cs="宋体"/>
          <w:b/>
          <w:sz w:val="30"/>
        </w:rPr>
        <w:t>6.2 实施建议</w:t>
      </w:r>
      <w:bookmarkEnd w:id="36"/>
    </w:p>
    <w:p w14:paraId="7926D9C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21D89900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开发计划</w:t>
      </w:r>
      <w:r>
        <w:rPr>
          <w:rFonts w:hint="eastAsia" w:ascii="宋体" w:hAnsi="宋体" w:eastAsia="宋体" w:cs="宋体"/>
          <w:sz w:val="22"/>
        </w:rPr>
        <w:t>：</w:t>
      </w:r>
    </w:p>
    <w:p w14:paraId="74C4E4A2">
      <w:pPr>
        <w:numPr>
          <w:ilvl w:val="0"/>
          <w:numId w:val="68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第1-2周：需求细化与设计（完成架构设计、数据格式定义）</w:t>
      </w:r>
    </w:p>
    <w:p w14:paraId="6B296E7B">
      <w:pPr>
        <w:numPr>
          <w:ilvl w:val="0"/>
          <w:numId w:val="69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第3-5周：核心功能开发（编辑器模块→播放器模块→公共工具模块）</w:t>
      </w:r>
    </w:p>
    <w:p w14:paraId="16748D85">
      <w:pPr>
        <w:numPr>
          <w:ilvl w:val="0"/>
          <w:numId w:val="70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第6-7周：测试与优化（功能测试→性能优化→Bug修复）</w:t>
      </w:r>
    </w:p>
    <w:p w14:paraId="65A17172">
      <w:pPr>
        <w:numPr>
          <w:ilvl w:val="0"/>
          <w:numId w:val="71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第8周：文档编写与交付（用户手册→设计文档→总结报告）</w:t>
      </w:r>
    </w:p>
    <w:p w14:paraId="4886C006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风险控制</w:t>
      </w:r>
      <w:r>
        <w:rPr>
          <w:rFonts w:hint="eastAsia" w:ascii="宋体" w:hAnsi="宋体" w:eastAsia="宋体" w:cs="宋体"/>
          <w:sz w:val="22"/>
        </w:rPr>
        <w:t>：</w:t>
      </w:r>
    </w:p>
    <w:p w14:paraId="0CF73278">
      <w:pPr>
        <w:numPr>
          <w:ilvl w:val="0"/>
          <w:numId w:val="73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建立每周进度检查机制，及时调整开发计划</w:t>
      </w:r>
    </w:p>
    <w:p w14:paraId="06702CDC">
      <w:pPr>
        <w:numPr>
          <w:ilvl w:val="0"/>
          <w:numId w:val="74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优先实现核心功能（文本编辑、基础播放），再开发扩展功能（预览、特效）</w:t>
      </w:r>
    </w:p>
    <w:p w14:paraId="35599817">
      <w:pPr>
        <w:numPr>
          <w:ilvl w:val="0"/>
          <w:numId w:val="75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关键技术点（音画同步）提前制作原型验证</w:t>
      </w:r>
    </w:p>
    <w:p w14:paraId="5F2115B9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后续扩展</w:t>
      </w:r>
      <w:r>
        <w:rPr>
          <w:rFonts w:hint="eastAsia" w:ascii="宋体" w:hAnsi="宋体" w:eastAsia="宋体" w:cs="宋体"/>
          <w:sz w:val="22"/>
        </w:rPr>
        <w:t>：</w:t>
      </w:r>
    </w:p>
    <w:p w14:paraId="07616A46">
      <w:pPr>
        <w:numPr>
          <w:ilvl w:val="0"/>
          <w:numId w:val="77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MVP完成后，可评估升级PyQt框架提升界面体验</w:t>
      </w:r>
    </w:p>
    <w:p w14:paraId="0F85C1B6">
      <w:pPr>
        <w:numPr>
          <w:ilvl w:val="0"/>
          <w:numId w:val="78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增加云端同步功能，扩展使用场景</w:t>
      </w:r>
    </w:p>
    <w:p w14:paraId="74ACFEE9">
      <w:pPr>
        <w:numPr>
          <w:ilvl w:val="0"/>
          <w:numId w:val="79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探索教育领域应用，实现商业化价值</w:t>
      </w:r>
    </w:p>
    <w:p w14:paraId="38CF948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47641E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7" w:name="heading_38"/>
      <w:r>
        <w:rPr>
          <w:rFonts w:hint="eastAsia" w:ascii="宋体" w:hAnsi="宋体" w:eastAsia="宋体" w:cs="宋体"/>
          <w:b/>
          <w:sz w:val="30"/>
        </w:rPr>
        <w:t>6.3 附件清单</w:t>
      </w:r>
      <w:bookmarkEnd w:id="37"/>
    </w:p>
    <w:p w14:paraId="58CCA2C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B57CAFC"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附件1：.im</w:t>
      </w:r>
      <w:r>
        <w:rPr>
          <w:rFonts w:hint="eastAsia" w:ascii="宋体" w:hAnsi="宋体" w:eastAsia="宋体" w:cs="宋体"/>
          <w:sz w:val="22"/>
          <w:lang w:val="en-US" w:eastAsia="zh-CN"/>
        </w:rPr>
        <w:t>s</w:t>
      </w:r>
      <w:r>
        <w:rPr>
          <w:rFonts w:hint="eastAsia" w:ascii="宋体" w:hAnsi="宋体" w:eastAsia="宋体" w:cs="宋体"/>
          <w:sz w:val="22"/>
        </w:rPr>
        <w:t>文件JSON Schema定义</w:t>
      </w:r>
    </w:p>
    <w:p w14:paraId="6A86F981"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附件2：系统总体架构图（符合GB/T 8567-2006图示要求）</w:t>
      </w:r>
    </w:p>
    <w:p w14:paraId="4B1A4D34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附件3：核心功能原型测试报告</w:t>
      </w:r>
    </w:p>
    <w:p w14:paraId="5D4EC89C"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附件4：无版权资源使用清单及许可证明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1927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CC59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1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2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3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4">
    <w:nsid w:val="879935BE"/>
    <w:multiLevelType w:val="singleLevel"/>
    <w:tmpl w:val="879935B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6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7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8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9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10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1">
    <w:nsid w:val="9C11E984"/>
    <w:multiLevelType w:val="singleLevel"/>
    <w:tmpl w:val="9C11E984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12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13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14">
    <w:nsid w:val="AAF3F3FA"/>
    <w:multiLevelType w:val="singleLevel"/>
    <w:tmpl w:val="AAF3F3FA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15">
    <w:nsid w:val="B0ED9BEA"/>
    <w:multiLevelType w:val="singleLevel"/>
    <w:tmpl w:val="B0ED9BEA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6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17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8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9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20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21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22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23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24">
    <w:nsid w:val="C16CAEA1"/>
    <w:multiLevelType w:val="singleLevel"/>
    <w:tmpl w:val="C16CAEA1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26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27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28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9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30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1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2">
    <w:nsid w:val="DF9DA6D4"/>
    <w:multiLevelType w:val="singleLevel"/>
    <w:tmpl w:val="DF9DA6D4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E0294EC7"/>
    <w:multiLevelType w:val="singleLevel"/>
    <w:tmpl w:val="E0294EC7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34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35">
    <w:nsid w:val="E2E41C04"/>
    <w:multiLevelType w:val="singleLevel"/>
    <w:tmpl w:val="E2E41C04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37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38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39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40">
    <w:nsid w:val="F585BF25"/>
    <w:multiLevelType w:val="singleLevel"/>
    <w:tmpl w:val="F585BF25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41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42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43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44">
    <w:nsid w:val="0BE9CF1C"/>
    <w:multiLevelType w:val="singleLevel"/>
    <w:tmpl w:val="0BE9CF1C"/>
    <w:lvl w:ilvl="0" w:tentative="0">
      <w:start w:val="1"/>
      <w:numFmt w:val="decimal"/>
      <w:suff w:val="space"/>
      <w:lvlText w:val="%1."/>
      <w:lvlJc w:val="left"/>
    </w:lvl>
  </w:abstractNum>
  <w:abstractNum w:abstractNumId="45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46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47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48">
    <w:nsid w:val="1450273B"/>
    <w:multiLevelType w:val="singleLevel"/>
    <w:tmpl w:val="1450273B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49">
    <w:nsid w:val="162BAE73"/>
    <w:multiLevelType w:val="singleLevel"/>
    <w:tmpl w:val="162BAE73"/>
    <w:lvl w:ilvl="0" w:tentative="0">
      <w:start w:val="1"/>
      <w:numFmt w:val="decimal"/>
      <w:suff w:val="space"/>
      <w:lvlText w:val="%1."/>
      <w:lvlJc w:val="left"/>
    </w:lvl>
  </w:abstractNum>
  <w:abstractNum w:abstractNumId="50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51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52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53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54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55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abstractNum w:abstractNumId="56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57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58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59">
    <w:nsid w:val="32639005"/>
    <w:multiLevelType w:val="singleLevel"/>
    <w:tmpl w:val="32639005"/>
    <w:lvl w:ilvl="0" w:tentative="0">
      <w:start w:val="1"/>
      <w:numFmt w:val="decimal"/>
      <w:suff w:val="space"/>
      <w:lvlText w:val="%1."/>
      <w:lvlJc w:val="left"/>
    </w:lvl>
  </w:abstractNum>
  <w:abstractNum w:abstractNumId="60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61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62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63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64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65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66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67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68">
    <w:nsid w:val="5539F6C1"/>
    <w:multiLevelType w:val="singleLevel"/>
    <w:tmpl w:val="5539F6C1"/>
    <w:lvl w:ilvl="0" w:tentative="0">
      <w:start w:val="1"/>
      <w:numFmt w:val="decimal"/>
      <w:suff w:val="space"/>
      <w:lvlText w:val="%1."/>
      <w:lvlJc w:val="left"/>
    </w:lvl>
  </w:abstractNum>
  <w:abstractNum w:abstractNumId="69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0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7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2">
    <w:nsid w:val="5D267589"/>
    <w:multiLevelType w:val="singleLevel"/>
    <w:tmpl w:val="5D267589"/>
    <w:lvl w:ilvl="0" w:tentative="0">
      <w:start w:val="1"/>
      <w:numFmt w:val="decimal"/>
      <w:suff w:val="space"/>
      <w:lvlText w:val="%1."/>
      <w:lvlJc w:val="left"/>
    </w:lvl>
  </w:abstractNum>
  <w:abstractNum w:abstractNumId="73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74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5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6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77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78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9">
    <w:nsid w:val="72418ECC"/>
    <w:multiLevelType w:val="singleLevel"/>
    <w:tmpl w:val="72418ECC"/>
    <w:lvl w:ilvl="0" w:tentative="0">
      <w:start w:val="1"/>
      <w:numFmt w:val="decimal"/>
      <w:suff w:val="space"/>
      <w:lvlText w:val="%1."/>
      <w:lvlJc w:val="left"/>
    </w:lvl>
  </w:abstractNum>
  <w:abstractNum w:abstractNumId="80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81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82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num w:numId="1">
    <w:abstractNumId w:val="79"/>
  </w:num>
  <w:num w:numId="2">
    <w:abstractNumId w:val="49"/>
  </w:num>
  <w:num w:numId="3">
    <w:abstractNumId w:val="24"/>
  </w:num>
  <w:num w:numId="4">
    <w:abstractNumId w:val="71"/>
  </w:num>
  <w:num w:numId="5">
    <w:abstractNumId w:val="26"/>
  </w:num>
  <w:num w:numId="6">
    <w:abstractNumId w:val="66"/>
  </w:num>
  <w:num w:numId="7">
    <w:abstractNumId w:val="39"/>
  </w:num>
  <w:num w:numId="8">
    <w:abstractNumId w:val="55"/>
  </w:num>
  <w:num w:numId="9">
    <w:abstractNumId w:val="31"/>
  </w:num>
  <w:num w:numId="10">
    <w:abstractNumId w:val="29"/>
  </w:num>
  <w:num w:numId="11">
    <w:abstractNumId w:val="12"/>
  </w:num>
  <w:num w:numId="12">
    <w:abstractNumId w:val="63"/>
  </w:num>
  <w:num w:numId="13">
    <w:abstractNumId w:val="59"/>
  </w:num>
  <w:num w:numId="14">
    <w:abstractNumId w:val="44"/>
  </w:num>
  <w:num w:numId="15">
    <w:abstractNumId w:val="75"/>
  </w:num>
  <w:num w:numId="16">
    <w:abstractNumId w:val="8"/>
  </w:num>
  <w:num w:numId="17">
    <w:abstractNumId w:val="62"/>
  </w:num>
  <w:num w:numId="18">
    <w:abstractNumId w:val="3"/>
  </w:num>
  <w:num w:numId="19">
    <w:abstractNumId w:val="69"/>
  </w:num>
  <w:num w:numId="20">
    <w:abstractNumId w:val="82"/>
  </w:num>
  <w:num w:numId="21">
    <w:abstractNumId w:val="1"/>
  </w:num>
  <w:num w:numId="22">
    <w:abstractNumId w:val="54"/>
  </w:num>
  <w:num w:numId="23">
    <w:abstractNumId w:val="67"/>
  </w:num>
  <w:num w:numId="24">
    <w:abstractNumId w:val="41"/>
  </w:num>
  <w:num w:numId="25">
    <w:abstractNumId w:val="34"/>
  </w:num>
  <w:num w:numId="26">
    <w:abstractNumId w:val="57"/>
  </w:num>
  <w:num w:numId="27">
    <w:abstractNumId w:val="81"/>
  </w:num>
  <w:num w:numId="28">
    <w:abstractNumId w:val="19"/>
  </w:num>
  <w:num w:numId="29">
    <w:abstractNumId w:val="6"/>
  </w:num>
  <w:num w:numId="30">
    <w:abstractNumId w:val="18"/>
  </w:num>
  <w:num w:numId="31">
    <w:abstractNumId w:val="73"/>
  </w:num>
  <w:num w:numId="32">
    <w:abstractNumId w:val="2"/>
  </w:num>
  <w:num w:numId="33">
    <w:abstractNumId w:val="50"/>
  </w:num>
  <w:num w:numId="34">
    <w:abstractNumId w:val="5"/>
  </w:num>
  <w:num w:numId="35">
    <w:abstractNumId w:val="74"/>
  </w:num>
  <w:num w:numId="36">
    <w:abstractNumId w:val="80"/>
  </w:num>
  <w:num w:numId="37">
    <w:abstractNumId w:val="64"/>
  </w:num>
  <w:num w:numId="38">
    <w:abstractNumId w:val="58"/>
  </w:num>
  <w:num w:numId="39">
    <w:abstractNumId w:val="76"/>
  </w:num>
  <w:num w:numId="40">
    <w:abstractNumId w:val="43"/>
  </w:num>
  <w:num w:numId="41">
    <w:abstractNumId w:val="45"/>
  </w:num>
  <w:num w:numId="42">
    <w:abstractNumId w:val="28"/>
  </w:num>
  <w:num w:numId="43">
    <w:abstractNumId w:val="60"/>
  </w:num>
  <w:num w:numId="44">
    <w:abstractNumId w:val="52"/>
  </w:num>
  <w:num w:numId="45">
    <w:abstractNumId w:val="38"/>
  </w:num>
  <w:num w:numId="46">
    <w:abstractNumId w:val="53"/>
  </w:num>
  <w:num w:numId="47">
    <w:abstractNumId w:val="35"/>
  </w:num>
  <w:num w:numId="48">
    <w:abstractNumId w:val="61"/>
  </w:num>
  <w:num w:numId="49">
    <w:abstractNumId w:val="42"/>
  </w:num>
  <w:num w:numId="50">
    <w:abstractNumId w:val="23"/>
  </w:num>
  <w:num w:numId="51">
    <w:abstractNumId w:val="47"/>
  </w:num>
  <w:num w:numId="52">
    <w:abstractNumId w:val="16"/>
  </w:num>
  <w:num w:numId="53">
    <w:abstractNumId w:val="72"/>
  </w:num>
  <w:num w:numId="54">
    <w:abstractNumId w:val="4"/>
  </w:num>
  <w:num w:numId="55">
    <w:abstractNumId w:val="68"/>
  </w:num>
  <w:num w:numId="56">
    <w:abstractNumId w:val="78"/>
  </w:num>
  <w:num w:numId="57">
    <w:abstractNumId w:val="36"/>
  </w:num>
  <w:num w:numId="58">
    <w:abstractNumId w:val="25"/>
  </w:num>
  <w:num w:numId="59">
    <w:abstractNumId w:val="32"/>
  </w:num>
  <w:num w:numId="60">
    <w:abstractNumId w:val="30"/>
  </w:num>
  <w:num w:numId="61">
    <w:abstractNumId w:val="17"/>
  </w:num>
  <w:num w:numId="62">
    <w:abstractNumId w:val="56"/>
  </w:num>
  <w:num w:numId="63">
    <w:abstractNumId w:val="37"/>
  </w:num>
  <w:num w:numId="64">
    <w:abstractNumId w:val="10"/>
  </w:num>
  <w:num w:numId="65">
    <w:abstractNumId w:val="70"/>
  </w:num>
  <w:num w:numId="66">
    <w:abstractNumId w:val="21"/>
  </w:num>
  <w:num w:numId="67">
    <w:abstractNumId w:val="15"/>
  </w:num>
  <w:num w:numId="68">
    <w:abstractNumId w:val="9"/>
  </w:num>
  <w:num w:numId="69">
    <w:abstractNumId w:val="13"/>
  </w:num>
  <w:num w:numId="70">
    <w:abstractNumId w:val="14"/>
  </w:num>
  <w:num w:numId="71">
    <w:abstractNumId w:val="7"/>
  </w:num>
  <w:num w:numId="72">
    <w:abstractNumId w:val="51"/>
  </w:num>
  <w:num w:numId="73">
    <w:abstractNumId w:val="22"/>
  </w:num>
  <w:num w:numId="74">
    <w:abstractNumId w:val="48"/>
  </w:num>
  <w:num w:numId="75">
    <w:abstractNumId w:val="27"/>
  </w:num>
  <w:num w:numId="76">
    <w:abstractNumId w:val="77"/>
  </w:num>
  <w:num w:numId="77">
    <w:abstractNumId w:val="0"/>
  </w:num>
  <w:num w:numId="78">
    <w:abstractNumId w:val="20"/>
  </w:num>
  <w:num w:numId="79">
    <w:abstractNumId w:val="40"/>
  </w:num>
  <w:num w:numId="80">
    <w:abstractNumId w:val="65"/>
  </w:num>
  <w:num w:numId="81">
    <w:abstractNumId w:val="46"/>
  </w:num>
  <w:num w:numId="82">
    <w:abstractNumId w:val="11"/>
  </w:num>
  <w:num w:numId="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47778C"/>
    <w:rsid w:val="3945218B"/>
    <w:rsid w:val="41C438B4"/>
    <w:rsid w:val="5E6D0DCF"/>
    <w:rsid w:val="7B4800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3479</Words>
  <Characters>4113</Characters>
  <TotalTime>61</TotalTime>
  <ScaleCrop>false</ScaleCrop>
  <LinksUpToDate>false</LinksUpToDate>
  <CharactersWithSpaces>4215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2025-11-16T10:22:00Z</dcterms:created>
  <dc:creator>Apache POI</dc:creator>
  <cp:lastModifiedBy>WPS_1649246111</cp:lastModifiedBy>
  <dcterms:modified xsi:type="dcterms:W3CDTF">2025-11-17T07:44:07Z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eyJoZGlkIjoiYWE5NjdmZDM0ZGU5NzcwNWQ0ZTFlMGE0YjM3MjVmODEiLCJ1c2VySWQiOiIxMzU0OTgwMTMzIn0=</vt:lpwstr>
  </property>
  <property fmtid="{D5CDD505-2E9C-101B-9397-08002B2CF9AE}" pid="3" name="KSOProductBuildVer">
    <vt:lpwstr>2052-12.1.0.23542</vt:lpwstr>
  </property>
  <property fmtid="{D5CDD505-2E9C-101B-9397-08002B2CF9AE}" pid="4" name="ICV">
    <vt:lpwstr>18C3B30F0A5747E1A097902A1B59FB61_12</vt:lpwstr>
  </property>
</Properties>
</file>