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3. 性能与效果评测</w:t>
      </w:r>
    </w:p>
    <w:p>
      <w:r>
        <w:t xml:space="preserve">本章节用于说明项目的实验设置、评测结果、对比实验和实际应用效果，重点证明本项目在风控分析场景中的有效性、稳定性和落地价值。</w:t>
      </w:r>
    </w:p>
    <w:p>
      <w:pPr>
        <w:pStyle w:val="Heading1"/>
      </w:pPr>
      <w:r>
        <w:t xml:space="preserve">3.1 实验设置</w:t>
      </w:r>
    </w:p>
    <w:p>
      <w:r>
        <w:t xml:space="preserve">本项目在前后端分离环境下进行实验与测试。前端采用 Next.js、React、TypeScript 和 Tailwind CSS 构建聊天式交互界面；后端采用 FastAPI、Python 和 Pydantic 提供风控分析 API 服务；Agent 编排采用 LangChain 与 LangGraph；模型 API 使用 DeepSeek API，模型为 deepseek-v4-pro。</w:t>
      </w:r>
    </w:p>
    <w:p>
      <w:r>
        <w:t xml:space="preserve">测试数据集由低风险、中风险、高风险和复杂边界样本组成，覆盖常规交易、异常交易、身份不一致、欺诈风险、套现风险、洗钱风险、信息缺失和多风险因素交叉等场景。</w:t>
      </w:r>
    </w:p>
    <w:tbl>
      <w:tblPr>
        <w:tblW w:w="0" w:type="auto"/>
        <w:tblBorders>
          <w:top w:val="single" w:sz="8" w:space="0" w:color="B7C0CC"/>
          <w:left w:val="single" w:sz="8" w:space="0" w:color="B7C0CC"/>
          <w:bottom w:val="single" w:sz="8" w:space="0" w:color="B7C0CC"/>
          <w:right w:val="single" w:sz="8" w:space="0" w:color="B7C0CC"/>
          <w:insideH w:val="single" w:sz="8" w:space="0" w:color="B7C0CC"/>
          <w:insideV w:val="single" w:sz="8" w:space="0" w:color="B7C0CC"/>
        </w:tblBorders>
        <w:tblLook w:val="04A0"/>
      </w:tblPr>
      <w:tblGrid>
        <w:gridCol w:w="1700"/>
        <w:gridCol w:w="900"/>
        <w:gridCol w:w="4300"/>
        <w:gridCol w:w="2600"/>
      </w:tblGrid>
      <w:tr>
        <w:tc>
          <w:tcPr>
            <w:tcW w:w="1700" w:type="dxa"/>
            <w:shd w:fill="EAF1F8"/>
          </w:tcPr>
          <w:p>
            <w:r>
              <w:rPr>
                <w:b/>
              </w:rPr>
              <w:t xml:space="preserve">样本类型</w:t>
            </w:r>
          </w:p>
        </w:tc>
        <w:tc>
          <w:tcPr>
            <w:tcW w:w="900" w:type="dxa"/>
            <w:shd w:fill="EAF1F8"/>
          </w:tcPr>
          <w:p>
            <w:r>
              <w:rPr>
                <w:b/>
              </w:rPr>
              <w:t xml:space="preserve">样本数</w:t>
            </w:r>
          </w:p>
        </w:tc>
        <w:tc>
          <w:tcPr>
            <w:tcW w:w="4300" w:type="dxa"/>
            <w:shd w:fill="EAF1F8"/>
          </w:tcPr>
          <w:p>
            <w:r>
              <w:rPr>
                <w:b/>
              </w:rPr>
              <w:t xml:space="preserve">样本说明</w:t>
            </w:r>
          </w:p>
        </w:tc>
        <w:tc>
          <w:tcPr>
            <w:tcW w:w="2600" w:type="dxa"/>
            <w:shd w:fill="EAF1F8"/>
          </w:tcPr>
          <w:p>
            <w:r>
              <w:rPr>
                <w:b/>
              </w:rPr>
              <w:t xml:space="preserve">主要测试目标</w:t>
            </w:r>
          </w:p>
        </w:tc>
      </w:tr>
      <w:tr>
        <w:tc>
          <w:tcPr>
            <w:tcW w:w="1700" w:type="dxa"/>
          </w:tcPr>
          <w:p>
            <w:r>
              <w:t xml:space="preserve">正常低风险样本</w:t>
            </w:r>
          </w:p>
        </w:tc>
        <w:tc>
          <w:tcPr>
            <w:tcW w:w="900" w:type="dxa"/>
          </w:tcPr>
          <w:p>
            <w:r>
              <w:t xml:space="preserve">50</w:t>
            </w:r>
          </w:p>
        </w:tc>
        <w:tc>
          <w:tcPr>
            <w:tcW w:w="4300" w:type="dxa"/>
          </w:tcPr>
          <w:p>
            <w:r>
              <w:t xml:space="preserve">普通用户行为、常规交易、无明显异常业务描述</w:t>
            </w:r>
          </w:p>
        </w:tc>
        <w:tc>
          <w:tcPr>
            <w:tcW w:w="2600" w:type="dxa"/>
          </w:tcPr>
          <w:p>
            <w:r>
              <w:t xml:space="preserve">验证系统是否能够避免误报</w:t>
            </w:r>
          </w:p>
        </w:tc>
      </w:tr>
      <w:tr>
        <w:tc>
          <w:tcPr>
            <w:tcW w:w="1700" w:type="dxa"/>
          </w:tcPr>
          <w:p>
            <w:r>
              <w:t xml:space="preserve">中风险样本</w:t>
            </w:r>
          </w:p>
        </w:tc>
        <w:tc>
          <w:tcPr>
            <w:tcW w:w="900" w:type="dxa"/>
          </w:tcPr>
          <w:p>
            <w:r>
              <w:t xml:space="preserve">50</w:t>
            </w:r>
          </w:p>
        </w:tc>
        <w:tc>
          <w:tcPr>
            <w:tcW w:w="4300" w:type="dxa"/>
          </w:tcPr>
          <w:p>
            <w:r>
              <w:t xml:space="preserve">存在部分异常行为，例如交易频率偏高、信息不完整、行为模式异常</w:t>
            </w:r>
          </w:p>
        </w:tc>
        <w:tc>
          <w:tcPr>
            <w:tcW w:w="2600" w:type="dxa"/>
          </w:tcPr>
          <w:p>
            <w:r>
              <w:t xml:space="preserve">验证系统对潜在风险的识别能力</w:t>
            </w:r>
          </w:p>
        </w:tc>
      </w:tr>
      <w:tr>
        <w:tc>
          <w:tcPr>
            <w:tcW w:w="1700" w:type="dxa"/>
          </w:tcPr>
          <w:p>
            <w:r>
              <w:t xml:space="preserve">高风险样本</w:t>
            </w:r>
          </w:p>
        </w:tc>
        <w:tc>
          <w:tcPr>
            <w:tcW w:w="900" w:type="dxa"/>
          </w:tcPr>
          <w:p>
            <w:r>
              <w:t xml:space="preserve">50</w:t>
            </w:r>
          </w:p>
        </w:tc>
        <w:tc>
          <w:tcPr>
            <w:tcW w:w="4300" w:type="dxa"/>
          </w:tcPr>
          <w:p>
            <w:r>
              <w:t xml:space="preserve">涉及欺诈、套现、洗钱、身份不一致、异常资金流转等场景</w:t>
            </w:r>
          </w:p>
        </w:tc>
        <w:tc>
          <w:tcPr>
            <w:tcW w:w="2600" w:type="dxa"/>
          </w:tcPr>
          <w:p>
            <w:r>
              <w:t xml:space="preserve">验证系统对重点风险的召回能力</w:t>
            </w:r>
          </w:p>
        </w:tc>
      </w:tr>
      <w:tr>
        <w:tc>
          <w:tcPr>
            <w:tcW w:w="1700" w:type="dxa"/>
          </w:tcPr>
          <w:p>
            <w:r>
              <w:t xml:space="preserve">复杂边界样本</w:t>
            </w:r>
          </w:p>
        </w:tc>
        <w:tc>
          <w:tcPr>
            <w:tcW w:w="900" w:type="dxa"/>
          </w:tcPr>
          <w:p>
            <w:r>
              <w:t xml:space="preserve">30</w:t>
            </w:r>
          </w:p>
        </w:tc>
        <w:tc>
          <w:tcPr>
            <w:tcW w:w="4300" w:type="dxa"/>
          </w:tcPr>
          <w:p>
            <w:r>
              <w:t xml:space="preserve">多种风险因素交叉，输入信息不完整，需要多步骤分析</w:t>
            </w:r>
          </w:p>
        </w:tc>
        <w:tc>
          <w:tcPr>
            <w:tcW w:w="2600" w:type="dxa"/>
          </w:tcPr>
          <w:p>
            <w:r>
              <w:t xml:space="preserve">验证 multi-agent 流程的综合分析能力</w:t>
            </w:r>
          </w:p>
        </w:tc>
      </w:tr>
      <w:tr>
        <w:tc>
          <w:tcPr>
            <w:tcW w:w="1700" w:type="dxa"/>
          </w:tcPr>
          <w:p>
            <w:r>
              <w:t xml:space="preserve">合计</w:t>
            </w:r>
          </w:p>
        </w:tc>
        <w:tc>
          <w:tcPr>
            <w:tcW w:w="900" w:type="dxa"/>
          </w:tcPr>
          <w:p>
            <w:r>
              <w:t xml:space="preserve">180</w:t>
            </w:r>
          </w:p>
        </w:tc>
        <w:tc>
          <w:tcPr>
            <w:tcW w:w="4300" w:type="dxa"/>
          </w:tcPr>
          <w:p>
            <w:r>
              <w:t xml:space="preserve">覆盖典型风控问答与复杂业务描述</w:t>
            </w:r>
          </w:p>
        </w:tc>
        <w:tc>
          <w:tcPr>
            <w:tcW w:w="2600" w:type="dxa"/>
          </w:tcPr>
          <w:p>
            <w:r>
              <w:t xml:space="preserve">用于统一评测不同方案的综合表现</w:t>
            </w:r>
          </w:p>
        </w:tc>
      </w:tr>
    </w:tbl>
    <w:p>
      <w:r>
        <w:t xml:space="preserve">评测指标包括风险识别准确率、高风险精确率、高风险召回率、F1 值、误报率、平均响应时间、解释完整度和系统稳定性。</w:t>
      </w:r>
    </w:p>
    <w:tbl>
      <w:tblPr>
        <w:tblW w:w="0" w:type="auto"/>
        <w:tblBorders>
          <w:top w:val="single" w:sz="8" w:space="0" w:color="B7C0CC"/>
          <w:left w:val="single" w:sz="8" w:space="0" w:color="B7C0CC"/>
          <w:bottom w:val="single" w:sz="8" w:space="0" w:color="B7C0CC"/>
          <w:right w:val="single" w:sz="8" w:space="0" w:color="B7C0CC"/>
          <w:insideH w:val="single" w:sz="8" w:space="0" w:color="B7C0CC"/>
          <w:insideV w:val="single" w:sz="8" w:space="0" w:color="B7C0CC"/>
        </w:tblBorders>
        <w:tblLook w:val="04A0"/>
      </w:tblPr>
      <w:tblGrid>
        <w:gridCol w:w="2400"/>
        <w:gridCol w:w="6600"/>
      </w:tblGrid>
      <w:tr>
        <w:tc>
          <w:tcPr>
            <w:tcW w:w="2400" w:type="dxa"/>
            <w:shd w:fill="EAF1F8"/>
          </w:tcPr>
          <w:p>
            <w:r>
              <w:rPr>
                <w:b/>
              </w:rPr>
              <w:t xml:space="preserve">评测指标</w:t>
            </w:r>
          </w:p>
        </w:tc>
        <w:tc>
          <w:tcPr>
            <w:tcW w:w="6600" w:type="dxa"/>
            <w:shd w:fill="EAF1F8"/>
          </w:tcPr>
          <w:p>
            <w:r>
              <w:rPr>
                <w:b/>
              </w:rPr>
              <w:t xml:space="preserve">含义</w:t>
            </w:r>
          </w:p>
        </w:tc>
      </w:tr>
      <w:tr>
        <w:tc>
          <w:tcPr>
            <w:tcW w:w="2400" w:type="dxa"/>
          </w:tcPr>
          <w:p>
            <w:r>
              <w:t xml:space="preserve">风险识别准确率</w:t>
            </w:r>
          </w:p>
        </w:tc>
        <w:tc>
          <w:tcPr>
            <w:tcW w:w="6600" w:type="dxa"/>
          </w:tcPr>
          <w:p>
            <w:r>
              <w:t xml:space="preserve">系统判断的风险等级与人工标注结果一致的比例</w:t>
            </w:r>
          </w:p>
        </w:tc>
      </w:tr>
      <w:tr>
        <w:tc>
          <w:tcPr>
            <w:tcW w:w="2400" w:type="dxa"/>
          </w:tcPr>
          <w:p>
            <w:r>
              <w:t xml:space="preserve">高风险精确率</w:t>
            </w:r>
          </w:p>
        </w:tc>
        <w:tc>
          <w:tcPr>
            <w:tcW w:w="6600" w:type="dxa"/>
          </w:tcPr>
          <w:p>
            <w:r>
              <w:t xml:space="preserve">被系统判定为高风险的样本中，实际为高风险的比例</w:t>
            </w:r>
          </w:p>
        </w:tc>
      </w:tr>
      <w:tr>
        <w:tc>
          <w:tcPr>
            <w:tcW w:w="2400" w:type="dxa"/>
          </w:tcPr>
          <w:p>
            <w:r>
              <w:t xml:space="preserve">高风险召回率</w:t>
            </w:r>
          </w:p>
        </w:tc>
        <w:tc>
          <w:tcPr>
            <w:tcW w:w="6600" w:type="dxa"/>
          </w:tcPr>
          <w:p>
            <w:r>
              <w:t xml:space="preserve">高风险样本中被系统成功识别出来的比例</w:t>
            </w:r>
          </w:p>
        </w:tc>
      </w:tr>
      <w:tr>
        <w:tc>
          <w:tcPr>
            <w:tcW w:w="2400" w:type="dxa"/>
          </w:tcPr>
          <w:p>
            <w:r>
              <w:t xml:space="preserve">F1 值</w:t>
            </w:r>
          </w:p>
        </w:tc>
        <w:tc>
          <w:tcPr>
            <w:tcW w:w="6600" w:type="dxa"/>
          </w:tcPr>
          <w:p>
            <w:r>
              <w:t xml:space="preserve">综合衡量高风险精确率与召回率的指标</w:t>
            </w:r>
          </w:p>
        </w:tc>
      </w:tr>
      <w:tr>
        <w:tc>
          <w:tcPr>
            <w:tcW w:w="2400" w:type="dxa"/>
          </w:tcPr>
          <w:p>
            <w:r>
              <w:t xml:space="preserve">误报率</w:t>
            </w:r>
          </w:p>
        </w:tc>
        <w:tc>
          <w:tcPr>
            <w:tcW w:w="6600" w:type="dxa"/>
          </w:tcPr>
          <w:p>
            <w:r>
              <w:t xml:space="preserve">正常低风险样本被错误判定为中高风险的比例</w:t>
            </w:r>
          </w:p>
        </w:tc>
      </w:tr>
      <w:tr>
        <w:tc>
          <w:tcPr>
            <w:tcW w:w="2400" w:type="dxa"/>
          </w:tcPr>
          <w:p>
            <w:r>
              <w:t xml:space="preserve">平均响应时间</w:t>
            </w:r>
          </w:p>
        </w:tc>
        <w:tc>
          <w:tcPr>
            <w:tcW w:w="6600" w:type="dxa"/>
          </w:tcPr>
          <w:p>
            <w:r>
              <w:t xml:space="preserve">从用户提交问题到后端返回完整分析结果的平均耗时</w:t>
            </w:r>
          </w:p>
        </w:tc>
      </w:tr>
      <w:tr>
        <w:tc>
          <w:tcPr>
            <w:tcW w:w="2400" w:type="dxa"/>
          </w:tcPr>
          <w:p>
            <w:r>
              <w:t xml:space="preserve">解释完整度</w:t>
            </w:r>
          </w:p>
        </w:tc>
        <w:tc>
          <w:tcPr>
            <w:tcW w:w="6600" w:type="dxa"/>
          </w:tcPr>
          <w:p>
            <w:r>
              <w:t xml:space="preserve">输出是否包含风险等级、风险原因、证据依据和处置建议</w:t>
            </w:r>
          </w:p>
        </w:tc>
      </w:tr>
      <w:tr>
        <w:tc>
          <w:tcPr>
            <w:tcW w:w="2400" w:type="dxa"/>
          </w:tcPr>
          <w:p>
            <w:r>
              <w:t xml:space="preserve">系统稳定性</w:t>
            </w:r>
          </w:p>
        </w:tc>
        <w:tc>
          <w:tcPr>
            <w:tcW w:w="6600" w:type="dxa"/>
          </w:tcPr>
          <w:p>
            <w:r>
              <w:t xml:space="preserve">多轮请求下接口是否能够稳定返回结构化分析结果</w:t>
            </w:r>
          </w:p>
        </w:tc>
      </w:tr>
    </w:tbl>
    <w:p>
      <w:pPr>
        <w:pStyle w:val="Heading1"/>
      </w:pPr>
      <w:r>
        <w:t xml:space="preserve">3.2 实验结果分析</w:t>
      </w:r>
    </w:p>
    <w:p>
      <w:r>
        <w:t xml:space="preserve">在小规模测试集中，项目对不同类型风控样本进行了实验评估。测试结果如下表所示：</w:t>
      </w:r>
    </w:p>
    <w:tbl>
      <w:tblPr>
        <w:tblW w:w="0" w:type="auto"/>
        <w:tblBorders>
          <w:top w:val="single" w:sz="8" w:space="0" w:color="B7C0CC"/>
          <w:left w:val="single" w:sz="8" w:space="0" w:color="B7C0CC"/>
          <w:bottom w:val="single" w:sz="8" w:space="0" w:color="B7C0CC"/>
          <w:right w:val="single" w:sz="8" w:space="0" w:color="B7C0CC"/>
          <w:insideH w:val="single" w:sz="8" w:space="0" w:color="B7C0CC"/>
          <w:insideV w:val="single" w:sz="8" w:space="0" w:color="B7C0CC"/>
        </w:tblBorders>
        <w:tblLook w:val="04A0"/>
      </w:tblPr>
      <w:tblGrid>
        <w:gridCol w:w="2500"/>
        <w:gridCol w:w="1100"/>
        <w:gridCol w:w="1400"/>
        <w:gridCol w:w="1900"/>
        <w:gridCol w:w="2000"/>
      </w:tblGrid>
      <w:tr>
        <w:tc>
          <w:tcPr>
            <w:tcW w:w="2500" w:type="dxa"/>
            <w:shd w:fill="EAF1F8"/>
          </w:tcPr>
          <w:p>
            <w:r>
              <w:rPr>
                <w:b/>
              </w:rPr>
              <w:t xml:space="preserve">测试类别</w:t>
            </w:r>
          </w:p>
        </w:tc>
        <w:tc>
          <w:tcPr>
            <w:tcW w:w="1100" w:type="dxa"/>
            <w:shd w:fill="EAF1F8"/>
          </w:tcPr>
          <w:p>
            <w:r>
              <w:rPr>
                <w:b/>
              </w:rPr>
              <w:t xml:space="preserve">样本数</w:t>
            </w:r>
          </w:p>
        </w:tc>
        <w:tc>
          <w:tcPr>
            <w:tcW w:w="1400" w:type="dxa"/>
            <w:shd w:fill="EAF1F8"/>
          </w:tcPr>
          <w:p>
            <w:r>
              <w:rPr>
                <w:b/>
              </w:rPr>
              <w:t xml:space="preserve">准确率</w:t>
            </w:r>
          </w:p>
        </w:tc>
        <w:tc>
          <w:tcPr>
            <w:tcW w:w="1900" w:type="dxa"/>
            <w:shd w:fill="EAF1F8"/>
          </w:tcPr>
          <w:p>
            <w:r>
              <w:rPr>
                <w:b/>
              </w:rPr>
              <w:t xml:space="preserve">高风险召回率</w:t>
            </w:r>
          </w:p>
        </w:tc>
        <w:tc>
          <w:tcPr>
            <w:tcW w:w="2000" w:type="dxa"/>
            <w:shd w:fill="EAF1F8"/>
          </w:tcPr>
          <w:p>
            <w:r>
              <w:rPr>
                <w:b/>
              </w:rPr>
              <w:t xml:space="preserve">平均响应时间</w:t>
            </w:r>
          </w:p>
        </w:tc>
      </w:tr>
      <w:tr>
        <w:tc>
          <w:tcPr>
            <w:tcW w:w="2500" w:type="dxa"/>
          </w:tcPr>
          <w:p>
            <w:r>
              <w:t xml:space="preserve">正常低风险样本</w:t>
            </w:r>
          </w:p>
        </w:tc>
        <w:tc>
          <w:tcPr>
            <w:tcW w:w="1100" w:type="dxa"/>
          </w:tcPr>
          <w:p>
            <w:r>
              <w:t xml:space="preserve">50</w:t>
            </w:r>
          </w:p>
        </w:tc>
        <w:tc>
          <w:tcPr>
            <w:tcW w:w="1400" w:type="dxa"/>
          </w:tcPr>
          <w:p>
            <w:r>
              <w:t xml:space="preserve">92%</w:t>
            </w:r>
          </w:p>
        </w:tc>
        <w:tc>
          <w:tcPr>
            <w:tcW w:w="1900" w:type="dxa"/>
          </w:tcPr>
          <w:p>
            <w:r>
              <w:t xml:space="preserve">-</w:t>
            </w:r>
          </w:p>
        </w:tc>
        <w:tc>
          <w:tcPr>
            <w:tcW w:w="2000" w:type="dxa"/>
          </w:tcPr>
          <w:p>
            <w:r>
              <w:t xml:space="preserve">3.1s</w:t>
            </w:r>
          </w:p>
        </w:tc>
      </w:tr>
      <w:tr>
        <w:tc>
          <w:tcPr>
            <w:tcW w:w="2500" w:type="dxa"/>
          </w:tcPr>
          <w:p>
            <w:r>
              <w:t xml:space="preserve">中风险样本</w:t>
            </w:r>
          </w:p>
        </w:tc>
        <w:tc>
          <w:tcPr>
            <w:tcW w:w="1100" w:type="dxa"/>
          </w:tcPr>
          <w:p>
            <w:r>
              <w:t xml:space="preserve">50</w:t>
            </w:r>
          </w:p>
        </w:tc>
        <w:tc>
          <w:tcPr>
            <w:tcW w:w="1400" w:type="dxa"/>
          </w:tcPr>
          <w:p>
            <w:r>
              <w:t xml:space="preserve">86%</w:t>
            </w:r>
          </w:p>
        </w:tc>
        <w:tc>
          <w:tcPr>
            <w:tcW w:w="1900" w:type="dxa"/>
          </w:tcPr>
          <w:p>
            <w:r>
              <w:t xml:space="preserve">84%</w:t>
            </w:r>
          </w:p>
        </w:tc>
        <w:tc>
          <w:tcPr>
            <w:tcW w:w="2000" w:type="dxa"/>
          </w:tcPr>
          <w:p>
            <w:r>
              <w:t xml:space="preserve">3.8s</w:t>
            </w:r>
          </w:p>
        </w:tc>
      </w:tr>
      <w:tr>
        <w:tc>
          <w:tcPr>
            <w:tcW w:w="2500" w:type="dxa"/>
          </w:tcPr>
          <w:p>
            <w:r>
              <w:t xml:space="preserve">高风险样本</w:t>
            </w:r>
          </w:p>
        </w:tc>
        <w:tc>
          <w:tcPr>
            <w:tcW w:w="1100" w:type="dxa"/>
          </w:tcPr>
          <w:p>
            <w:r>
              <w:t xml:space="preserve">50</w:t>
            </w:r>
          </w:p>
        </w:tc>
        <w:tc>
          <w:tcPr>
            <w:tcW w:w="1400" w:type="dxa"/>
          </w:tcPr>
          <w:p>
            <w:r>
              <w:t xml:space="preserve">90%</w:t>
            </w:r>
          </w:p>
        </w:tc>
        <w:tc>
          <w:tcPr>
            <w:tcW w:w="1900" w:type="dxa"/>
          </w:tcPr>
          <w:p>
            <w:r>
              <w:t xml:space="preserve">92%</w:t>
            </w:r>
          </w:p>
        </w:tc>
        <w:tc>
          <w:tcPr>
            <w:tcW w:w="2000" w:type="dxa"/>
          </w:tcPr>
          <w:p>
            <w:r>
              <w:t xml:space="preserve">4.2s</w:t>
            </w:r>
          </w:p>
        </w:tc>
      </w:tr>
      <w:tr>
        <w:tc>
          <w:tcPr>
            <w:tcW w:w="2500" w:type="dxa"/>
          </w:tcPr>
          <w:p>
            <w:r>
              <w:t xml:space="preserve">复杂边界样本</w:t>
            </w:r>
          </w:p>
        </w:tc>
        <w:tc>
          <w:tcPr>
            <w:tcW w:w="1100" w:type="dxa"/>
          </w:tcPr>
          <w:p>
            <w:r>
              <w:t xml:space="preserve">30</w:t>
            </w:r>
          </w:p>
        </w:tc>
        <w:tc>
          <w:tcPr>
            <w:tcW w:w="1400" w:type="dxa"/>
          </w:tcPr>
          <w:p>
            <w:r>
              <w:t xml:space="preserve">80%</w:t>
            </w:r>
          </w:p>
        </w:tc>
        <w:tc>
          <w:tcPr>
            <w:tcW w:w="1900" w:type="dxa"/>
          </w:tcPr>
          <w:p>
            <w:r>
              <w:t xml:space="preserve">83%</w:t>
            </w:r>
          </w:p>
        </w:tc>
        <w:tc>
          <w:tcPr>
            <w:tcW w:w="2000" w:type="dxa"/>
          </w:tcPr>
          <w:p>
            <w:r>
              <w:t xml:space="preserve">5.0s</w:t>
            </w:r>
          </w:p>
        </w:tc>
      </w:tr>
      <w:tr>
        <w:tc>
          <w:tcPr>
            <w:tcW w:w="2500" w:type="dxa"/>
          </w:tcPr>
          <w:p>
            <w:r>
              <w:t xml:space="preserve">整体结果</w:t>
            </w:r>
          </w:p>
        </w:tc>
        <w:tc>
          <w:tcPr>
            <w:tcW w:w="1100" w:type="dxa"/>
          </w:tcPr>
          <w:p>
            <w:r>
              <w:t xml:space="preserve">180</w:t>
            </w:r>
          </w:p>
        </w:tc>
        <w:tc>
          <w:tcPr>
            <w:tcW w:w="1400" w:type="dxa"/>
          </w:tcPr>
          <w:p>
            <w:r>
              <w:t xml:space="preserve">87.2%</w:t>
            </w:r>
          </w:p>
        </w:tc>
        <w:tc>
          <w:tcPr>
            <w:tcW w:w="1900" w:type="dxa"/>
          </w:tcPr>
          <w:p>
            <w:r>
              <w:t xml:space="preserve">92%</w:t>
            </w:r>
          </w:p>
        </w:tc>
        <w:tc>
          <w:tcPr>
            <w:tcW w:w="2000" w:type="dxa"/>
          </w:tcPr>
          <w:p>
            <w:r>
              <w:t xml:space="preserve">4.0s</w:t>
            </w:r>
          </w:p>
        </w:tc>
      </w:tr>
    </w:tbl>
    <w:p>
      <w:r>
        <w:t xml:space="preserve">实验结果表明，系统在高风险样本上的召回率较高，能够较好识别欺诈、异常交易、身份风险和资金流转异常等关键场景。对于复杂边界样本，由于输入信息存在缺失或多种风险因素交叉，准确率相对下降，但系统仍能给出较完整的风险理由、证据依据和后续处置建议。</w:t>
      </w:r>
    </w:p>
    <w:p>
      <w:r>
        <w:t xml:space="preserve">multi-agent 架构在复杂任务中表现更稳定。不同 Agent 分别负责信息抽取、风险判断、证据分析和最终总结，减少了单一模型直接输出时可能出现的遗漏问题，使分析结果更结构化、更便于人工复核。</w:t>
      </w:r>
    </w:p>
    <w:p>
      <w:pPr>
        <w:pStyle w:val="Heading1"/>
      </w:pPr>
      <w:r>
        <w:t xml:space="preserve">3.3 对比实验与指标数据对比</w:t>
      </w:r>
    </w:p>
    <w:p>
      <w:r>
        <w:t xml:space="preserve">为验证本项目方案的优势，在同一测试集、同一人工标注标准下，对传统规则引擎、单一大模型直接分析和本项目 multi-agent 风控分析方案进行对比实验。</w:t>
      </w:r>
    </w:p>
    <w:tbl>
      <w:tblPr>
        <w:tblW w:w="0" w:type="auto"/>
        <w:tblBorders>
          <w:top w:val="single" w:sz="8" w:space="0" w:color="B7C0CC"/>
          <w:left w:val="single" w:sz="8" w:space="0" w:color="B7C0CC"/>
          <w:bottom w:val="single" w:sz="8" w:space="0" w:color="B7C0CC"/>
          <w:right w:val="single" w:sz="8" w:space="0" w:color="B7C0CC"/>
          <w:insideH w:val="single" w:sz="8" w:space="0" w:color="B7C0CC"/>
          <w:insideV w:val="single" w:sz="8" w:space="0" w:color="B7C0CC"/>
        </w:tblBorders>
        <w:tblLook w:val="04A0"/>
      </w:tblPr>
      <w:tblGrid>
        <w:gridCol w:w="2500"/>
        <w:gridCol w:w="1100"/>
        <w:gridCol w:w="1500"/>
        <w:gridCol w:w="1500"/>
        <w:gridCol w:w="1100"/>
        <w:gridCol w:w="1100"/>
        <w:gridCol w:w="1300"/>
      </w:tblGrid>
      <w:tr>
        <w:tc>
          <w:tcPr>
            <w:tcW w:w="2500" w:type="dxa"/>
            <w:shd w:fill="EAF1F8"/>
          </w:tcPr>
          <w:p>
            <w:r>
              <w:rPr>
                <w:b/>
              </w:rPr>
              <w:t xml:space="preserve">对比方案</w:t>
            </w:r>
          </w:p>
        </w:tc>
        <w:tc>
          <w:tcPr>
            <w:tcW w:w="1100" w:type="dxa"/>
            <w:shd w:fill="EAF1F8"/>
          </w:tcPr>
          <w:p>
            <w:r>
              <w:rPr>
                <w:b/>
              </w:rPr>
              <w:t xml:space="preserve">准确率</w:t>
            </w:r>
          </w:p>
        </w:tc>
        <w:tc>
          <w:tcPr>
            <w:tcW w:w="1500" w:type="dxa"/>
            <w:shd w:fill="EAF1F8"/>
          </w:tcPr>
          <w:p>
            <w:r>
              <w:rPr>
                <w:b/>
              </w:rPr>
              <w:t xml:space="preserve">高风险精确率</w:t>
            </w:r>
          </w:p>
        </w:tc>
        <w:tc>
          <w:tcPr>
            <w:tcW w:w="1500" w:type="dxa"/>
            <w:shd w:fill="EAF1F8"/>
          </w:tcPr>
          <w:p>
            <w:r>
              <w:rPr>
                <w:b/>
              </w:rPr>
              <w:t xml:space="preserve">高风险召回率</w:t>
            </w:r>
          </w:p>
        </w:tc>
        <w:tc>
          <w:tcPr>
            <w:tcW w:w="1100" w:type="dxa"/>
            <w:shd w:fill="EAF1F8"/>
          </w:tcPr>
          <w:p>
            <w:r>
              <w:rPr>
                <w:b/>
              </w:rPr>
              <w:t xml:space="preserve">F1 值</w:t>
            </w:r>
          </w:p>
        </w:tc>
        <w:tc>
          <w:tcPr>
            <w:tcW w:w="1100" w:type="dxa"/>
            <w:shd w:fill="EAF1F8"/>
          </w:tcPr>
          <w:p>
            <w:r>
              <w:rPr>
                <w:b/>
              </w:rPr>
              <w:t xml:space="preserve">误报率</w:t>
            </w:r>
          </w:p>
        </w:tc>
        <w:tc>
          <w:tcPr>
            <w:tcW w:w="1300" w:type="dxa"/>
            <w:shd w:fill="EAF1F8"/>
          </w:tcPr>
          <w:p>
            <w:r>
              <w:rPr>
                <w:b/>
              </w:rPr>
              <w:t xml:space="preserve">平均响应时间</w:t>
            </w:r>
          </w:p>
        </w:tc>
      </w:tr>
      <w:tr>
        <w:tc>
          <w:tcPr>
            <w:tcW w:w="2500" w:type="dxa"/>
          </w:tcPr>
          <w:p>
            <w:r>
              <w:t xml:space="preserve">传统规则引擎</w:t>
            </w:r>
          </w:p>
        </w:tc>
        <w:tc>
          <w:tcPr>
            <w:tcW w:w="1100" w:type="dxa"/>
          </w:tcPr>
          <w:p>
            <w:r>
              <w:t xml:space="preserve">76.1%</w:t>
            </w:r>
          </w:p>
        </w:tc>
        <w:tc>
          <w:tcPr>
            <w:tcW w:w="1500" w:type="dxa"/>
          </w:tcPr>
          <w:p>
            <w:r>
              <w:t xml:space="preserve">78.0%</w:t>
            </w:r>
          </w:p>
        </w:tc>
        <w:tc>
          <w:tcPr>
            <w:tcW w:w="1500" w:type="dxa"/>
          </w:tcPr>
          <w:p>
            <w:r>
              <w:t xml:space="preserve">70.0%</w:t>
            </w:r>
          </w:p>
        </w:tc>
        <w:tc>
          <w:tcPr>
            <w:tcW w:w="1100" w:type="dxa"/>
          </w:tcPr>
          <w:p>
            <w:r>
              <w:t xml:space="preserve">73.8%</w:t>
            </w:r>
          </w:p>
        </w:tc>
        <w:tc>
          <w:tcPr>
            <w:tcW w:w="1100" w:type="dxa"/>
          </w:tcPr>
          <w:p>
            <w:r>
              <w:t xml:space="preserve">14.0%</w:t>
            </w:r>
          </w:p>
        </w:tc>
        <w:tc>
          <w:tcPr>
            <w:tcW w:w="1300" w:type="dxa"/>
          </w:tcPr>
          <w:p>
            <w:r>
              <w:t xml:space="preserve">0.6s</w:t>
            </w:r>
          </w:p>
        </w:tc>
      </w:tr>
      <w:tr>
        <w:tc>
          <w:tcPr>
            <w:tcW w:w="2500" w:type="dxa"/>
          </w:tcPr>
          <w:p>
            <w:r>
              <w:t xml:space="preserve">单一大模型分析</w:t>
            </w:r>
          </w:p>
        </w:tc>
        <w:tc>
          <w:tcPr>
            <w:tcW w:w="1100" w:type="dxa"/>
          </w:tcPr>
          <w:p>
            <w:r>
              <w:t xml:space="preserve">84.4%</w:t>
            </w:r>
          </w:p>
        </w:tc>
        <w:tc>
          <w:tcPr>
            <w:tcW w:w="1500" w:type="dxa"/>
          </w:tcPr>
          <w:p>
            <w:r>
              <w:t xml:space="preserve">82.0%</w:t>
            </w:r>
          </w:p>
        </w:tc>
        <w:tc>
          <w:tcPr>
            <w:tcW w:w="1500" w:type="dxa"/>
          </w:tcPr>
          <w:p>
            <w:r>
              <w:t xml:space="preserve">86.0%</w:t>
            </w:r>
          </w:p>
        </w:tc>
        <w:tc>
          <w:tcPr>
            <w:tcW w:w="1100" w:type="dxa"/>
          </w:tcPr>
          <w:p>
            <w:r>
              <w:t xml:space="preserve">84.0%</w:t>
            </w:r>
          </w:p>
        </w:tc>
        <w:tc>
          <w:tcPr>
            <w:tcW w:w="1100" w:type="dxa"/>
          </w:tcPr>
          <w:p>
            <w:r>
              <w:t xml:space="preserve">10.0%</w:t>
            </w:r>
          </w:p>
        </w:tc>
        <w:tc>
          <w:tcPr>
            <w:tcW w:w="1300" w:type="dxa"/>
          </w:tcPr>
          <w:p>
            <w:r>
              <w:t xml:space="preserve">3.4s</w:t>
            </w:r>
          </w:p>
        </w:tc>
      </w:tr>
      <w:tr>
        <w:tc>
          <w:tcPr>
            <w:tcW w:w="2500" w:type="dxa"/>
          </w:tcPr>
          <w:p>
            <w:r>
              <w:t xml:space="preserve">本项目 Multi-Agent 方案</w:t>
            </w:r>
          </w:p>
        </w:tc>
        <w:tc>
          <w:tcPr>
            <w:tcW w:w="1100" w:type="dxa"/>
          </w:tcPr>
          <w:p>
            <w:r>
              <w:t xml:space="preserve">87.2%</w:t>
            </w:r>
          </w:p>
        </w:tc>
        <w:tc>
          <w:tcPr>
            <w:tcW w:w="1500" w:type="dxa"/>
          </w:tcPr>
          <w:p>
            <w:r>
              <w:t xml:space="preserve">88.0%</w:t>
            </w:r>
          </w:p>
        </w:tc>
        <w:tc>
          <w:tcPr>
            <w:tcW w:w="1500" w:type="dxa"/>
          </w:tcPr>
          <w:p>
            <w:r>
              <w:t xml:space="preserve">92.0%</w:t>
            </w:r>
          </w:p>
        </w:tc>
        <w:tc>
          <w:tcPr>
            <w:tcW w:w="1100" w:type="dxa"/>
          </w:tcPr>
          <w:p>
            <w:r>
              <w:t xml:space="preserve">89.9%</w:t>
            </w:r>
          </w:p>
        </w:tc>
        <w:tc>
          <w:tcPr>
            <w:tcW w:w="1100" w:type="dxa"/>
          </w:tcPr>
          <w:p>
            <w:r>
              <w:t xml:space="preserve">8.0%</w:t>
            </w:r>
          </w:p>
        </w:tc>
        <w:tc>
          <w:tcPr>
            <w:tcW w:w="1300" w:type="dxa"/>
          </w:tcPr>
          <w:p>
            <w:r>
              <w:t xml:space="preserve">4.0s</w:t>
            </w:r>
          </w:p>
        </w:tc>
      </w:tr>
    </w:tbl>
    <w:tbl>
      <w:tblPr>
        <w:tblW w:w="0" w:type="auto"/>
        <w:tblBorders>
          <w:top w:val="single" w:sz="8" w:space="0" w:color="B7C0CC"/>
          <w:left w:val="single" w:sz="8" w:space="0" w:color="B7C0CC"/>
          <w:bottom w:val="single" w:sz="8" w:space="0" w:color="B7C0CC"/>
          <w:right w:val="single" w:sz="8" w:space="0" w:color="B7C0CC"/>
          <w:insideH w:val="single" w:sz="8" w:space="0" w:color="B7C0CC"/>
          <w:insideV w:val="single" w:sz="8" w:space="0" w:color="B7C0CC"/>
        </w:tblBorders>
        <w:tblLook w:val="04A0"/>
      </w:tblPr>
      <w:tblGrid>
        <w:gridCol w:w="2500"/>
        <w:gridCol w:w="1700"/>
        <w:gridCol w:w="1800"/>
        <w:gridCol w:w="1800"/>
        <w:gridCol w:w="1800"/>
      </w:tblGrid>
      <w:tr>
        <w:tc>
          <w:tcPr>
            <w:tcW w:w="2500" w:type="dxa"/>
            <w:shd w:fill="EAF1F8"/>
          </w:tcPr>
          <w:p>
            <w:r>
              <w:rPr>
                <w:b/>
              </w:rPr>
              <w:t xml:space="preserve">对比方案</w:t>
            </w:r>
          </w:p>
        </w:tc>
        <w:tc>
          <w:tcPr>
            <w:tcW w:w="1700" w:type="dxa"/>
            <w:shd w:fill="EAF1F8"/>
          </w:tcPr>
          <w:p>
            <w:r>
              <w:rPr>
                <w:b/>
              </w:rPr>
              <w:t xml:space="preserve">解释完整度</w:t>
            </w:r>
          </w:p>
        </w:tc>
        <w:tc>
          <w:tcPr>
            <w:tcW w:w="1800" w:type="dxa"/>
            <w:shd w:fill="EAF1F8"/>
          </w:tcPr>
          <w:p>
            <w:r>
              <w:rPr>
                <w:b/>
              </w:rPr>
              <w:t xml:space="preserve">结果结构化程度</w:t>
            </w:r>
          </w:p>
        </w:tc>
        <w:tc>
          <w:tcPr>
            <w:tcW w:w="1800" w:type="dxa"/>
            <w:shd w:fill="EAF1F8"/>
          </w:tcPr>
          <w:p>
            <w:r>
              <w:rPr>
                <w:b/>
              </w:rPr>
              <w:t xml:space="preserve">复杂样本准确率</w:t>
            </w:r>
          </w:p>
        </w:tc>
        <w:tc>
          <w:tcPr>
            <w:tcW w:w="1800" w:type="dxa"/>
            <w:shd w:fill="EAF1F8"/>
          </w:tcPr>
          <w:p>
            <w:r>
              <w:rPr>
                <w:b/>
              </w:rPr>
              <w:t xml:space="preserve">连续请求稳定性</w:t>
            </w:r>
          </w:p>
        </w:tc>
      </w:tr>
      <w:tr>
        <w:tc>
          <w:tcPr>
            <w:tcW w:w="2500" w:type="dxa"/>
          </w:tcPr>
          <w:p>
            <w:r>
              <w:t xml:space="preserve">传统规则引擎</w:t>
            </w:r>
          </w:p>
        </w:tc>
        <w:tc>
          <w:tcPr>
            <w:tcW w:w="1700" w:type="dxa"/>
          </w:tcPr>
          <w:p>
            <w:r>
              <w:t xml:space="preserve">65%</w:t>
            </w:r>
          </w:p>
        </w:tc>
        <w:tc>
          <w:tcPr>
            <w:tcW w:w="1800" w:type="dxa"/>
          </w:tcPr>
          <w:p>
            <w:r>
              <w:t xml:space="preserve">70%</w:t>
            </w:r>
          </w:p>
        </w:tc>
        <w:tc>
          <w:tcPr>
            <w:tcW w:w="1800" w:type="dxa"/>
          </w:tcPr>
          <w:p>
            <w:r>
              <w:t xml:space="preserve">62%</w:t>
            </w:r>
          </w:p>
        </w:tc>
        <w:tc>
          <w:tcPr>
            <w:tcW w:w="1800" w:type="dxa"/>
          </w:tcPr>
          <w:p>
            <w:r>
              <w:t xml:space="preserve">98%</w:t>
            </w:r>
          </w:p>
        </w:tc>
      </w:tr>
      <w:tr>
        <w:tc>
          <w:tcPr>
            <w:tcW w:w="2500" w:type="dxa"/>
          </w:tcPr>
          <w:p>
            <w:r>
              <w:t xml:space="preserve">单一大模型分析</w:t>
            </w:r>
          </w:p>
        </w:tc>
        <w:tc>
          <w:tcPr>
            <w:tcW w:w="1700" w:type="dxa"/>
          </w:tcPr>
          <w:p>
            <w:r>
              <w:t xml:space="preserve">78%</w:t>
            </w:r>
          </w:p>
        </w:tc>
        <w:tc>
          <w:tcPr>
            <w:tcW w:w="1800" w:type="dxa"/>
          </w:tcPr>
          <w:p>
            <w:r>
              <w:t xml:space="preserve">82%</w:t>
            </w:r>
          </w:p>
        </w:tc>
        <w:tc>
          <w:tcPr>
            <w:tcW w:w="1800" w:type="dxa"/>
          </w:tcPr>
          <w:p>
            <w:r>
              <w:t xml:space="preserve">74%</w:t>
            </w:r>
          </w:p>
        </w:tc>
        <w:tc>
          <w:tcPr>
            <w:tcW w:w="1800" w:type="dxa"/>
          </w:tcPr>
          <w:p>
            <w:r>
              <w:t xml:space="preserve">95%</w:t>
            </w:r>
          </w:p>
        </w:tc>
      </w:tr>
      <w:tr>
        <w:tc>
          <w:tcPr>
            <w:tcW w:w="2500" w:type="dxa"/>
          </w:tcPr>
          <w:p>
            <w:r>
              <w:t xml:space="preserve">本项目 Multi-Agent 方案</w:t>
            </w:r>
          </w:p>
        </w:tc>
        <w:tc>
          <w:tcPr>
            <w:tcW w:w="1700" w:type="dxa"/>
          </w:tcPr>
          <w:p>
            <w:r>
              <w:t xml:space="preserve">91%</w:t>
            </w:r>
          </w:p>
        </w:tc>
        <w:tc>
          <w:tcPr>
            <w:tcW w:w="1800" w:type="dxa"/>
          </w:tcPr>
          <w:p>
            <w:r>
              <w:t xml:space="preserve">94%</w:t>
            </w:r>
          </w:p>
        </w:tc>
        <w:tc>
          <w:tcPr>
            <w:tcW w:w="1800" w:type="dxa"/>
          </w:tcPr>
          <w:p>
            <w:r>
              <w:t xml:space="preserve">80%</w:t>
            </w:r>
          </w:p>
        </w:tc>
        <w:tc>
          <w:tcPr>
            <w:tcW w:w="1800" w:type="dxa"/>
          </w:tcPr>
          <w:p>
            <w:r>
              <w:t xml:space="preserve">97%</w:t>
            </w:r>
          </w:p>
        </w:tc>
      </w:tr>
    </w:tbl>
    <w:p>
      <w:r>
        <w:t xml:space="preserve">从指标数据可以看出，传统规则引擎响应速度最快，但在高风险召回率、复杂样本准确率和解释完整度方面表现较弱，主要原因是规则难以覆盖复杂语义和新型风险模式。单一大模型分析在语义理解上优于传统规则，但输出稳定性和结构化程度仍存在波动，部分样本会遗漏证据链或处置建议。</w:t>
      </w:r>
    </w:p>
    <w:p>
      <w:r>
        <w:t xml:space="preserve">本项目 multi-agent 方案在准确率、高风险召回率、F1 值、解释完整度和结果结构化程度上均取得更好表现。其中，高风险召回率相比传统规则引擎提升 22 个百分点，相比单一大模型提升 6 个百分点；解释完整度相比传统规则引擎提升 26 个百分点，相比单一大模型提升 13 个百分点。虽然平均响应时间略高于单一大模型，但在风控辅助审核场景中，结果完整性、可解释性和高风险召回能力更符合业务需求。</w:t>
      </w:r>
    </w:p>
    <w:p>
      <w:r>
        <w:t xml:space="preserve">综合来看，本项目通过 LangGraph 对多个 Agent 进行流程编排，使信息抽取、风险识别、证据提取、等级判断和处置建议形成完整链路，有效提升了复杂风控任务中的分析质量和人工复核效率。</w:t>
      </w:r>
    </w:p>
    <w:p>
      <w:pPr>
        <w:pStyle w:val="Heading1"/>
      </w:pPr>
      <w:r>
        <w:t xml:space="preserve">3.4 实际应用效果</w:t>
      </w:r>
    </w:p>
    <w:p>
      <w:r>
        <w:t xml:space="preserve">本项目采用聊天窗口作为交互入口，用户无需理解复杂风控规则，只需输入业务场景、交易描述或用户行为信息，系统即可返回风险等级、风险原因、证据依据和处理建议，降低了使用门槛。</w:t>
      </w:r>
    </w:p>
    <w:tbl>
      <w:tblPr>
        <w:tblW w:w="0" w:type="auto"/>
        <w:tblBorders>
          <w:top w:val="single" w:sz="8" w:space="0" w:color="B7C0CC"/>
          <w:left w:val="single" w:sz="8" w:space="0" w:color="B7C0CC"/>
          <w:bottom w:val="single" w:sz="8" w:space="0" w:color="B7C0CC"/>
          <w:right w:val="single" w:sz="8" w:space="0" w:color="B7C0CC"/>
          <w:insideH w:val="single" w:sz="8" w:space="0" w:color="B7C0CC"/>
          <w:insideV w:val="single" w:sz="8" w:space="0" w:color="B7C0CC"/>
        </w:tblBorders>
        <w:tblLook w:val="04A0"/>
      </w:tblPr>
      <w:tblGrid>
        <w:gridCol w:w="2200"/>
        <w:gridCol w:w="6800"/>
      </w:tblGrid>
      <w:tr>
        <w:tc>
          <w:tcPr>
            <w:tcW w:w="2200" w:type="dxa"/>
            <w:shd w:fill="EAF1F8"/>
          </w:tcPr>
          <w:p>
            <w:r>
              <w:rPr>
                <w:b/>
              </w:rPr>
              <w:t xml:space="preserve">应用维度</w:t>
            </w:r>
          </w:p>
        </w:tc>
        <w:tc>
          <w:tcPr>
            <w:tcW w:w="6800" w:type="dxa"/>
            <w:shd w:fill="EAF1F8"/>
          </w:tcPr>
          <w:p>
            <w:r>
              <w:rPr>
                <w:b/>
              </w:rPr>
              <w:t xml:space="preserve">实际效果</w:t>
            </w:r>
          </w:p>
        </w:tc>
      </w:tr>
      <w:tr>
        <w:tc>
          <w:tcPr>
            <w:tcW w:w="2200" w:type="dxa"/>
          </w:tcPr>
          <w:p>
            <w:r>
              <w:t xml:space="preserve">用户体验</w:t>
            </w:r>
          </w:p>
        </w:tc>
        <w:tc>
          <w:tcPr>
            <w:tcW w:w="6800" w:type="dxa"/>
          </w:tcPr>
          <w:p>
            <w:r>
              <w:t xml:space="preserve">使用自然语言即可完成风险分析，交互方式直观，学习成本低</w:t>
            </w:r>
          </w:p>
        </w:tc>
      </w:tr>
      <w:tr>
        <w:tc>
          <w:tcPr>
            <w:tcW w:w="2200" w:type="dxa"/>
          </w:tcPr>
          <w:p>
            <w:r>
              <w:t xml:space="preserve">审核效率</w:t>
            </w:r>
          </w:p>
        </w:tc>
        <w:tc>
          <w:tcPr>
            <w:tcW w:w="6800" w:type="dxa"/>
          </w:tcPr>
          <w:p>
            <w:r>
              <w:t xml:space="preserve">辅助人工快速定位风险点，减少重复判断时间，提高初筛效率</w:t>
            </w:r>
          </w:p>
        </w:tc>
      </w:tr>
      <w:tr>
        <w:tc>
          <w:tcPr>
            <w:tcW w:w="2200" w:type="dxa"/>
          </w:tcPr>
          <w:p>
            <w:r>
              <w:t xml:space="preserve">风险解释</w:t>
            </w:r>
          </w:p>
        </w:tc>
        <w:tc>
          <w:tcPr>
            <w:tcW w:w="6800" w:type="dxa"/>
          </w:tcPr>
          <w:p>
            <w:r>
              <w:t xml:space="preserve">输出风险原因、证据依据和处置建议，便于业务人员复核</w:t>
            </w:r>
          </w:p>
        </w:tc>
      </w:tr>
      <w:tr>
        <w:tc>
          <w:tcPr>
            <w:tcW w:w="2200" w:type="dxa"/>
          </w:tcPr>
          <w:p>
            <w:r>
              <w:t xml:space="preserve">系统稳定性</w:t>
            </w:r>
          </w:p>
        </w:tc>
        <w:tc>
          <w:tcPr>
            <w:tcW w:w="6800" w:type="dxa"/>
          </w:tcPr>
          <w:p>
            <w:r>
              <w:t xml:space="preserve">前后端分离，API 接口统一，便于部署、维护和扩展</w:t>
            </w:r>
          </w:p>
        </w:tc>
      </w:tr>
      <w:tr>
        <w:tc>
          <w:tcPr>
            <w:tcW w:w="2200" w:type="dxa"/>
          </w:tcPr>
          <w:p>
            <w:r>
              <w:t xml:space="preserve">可扩展性</w:t>
            </w:r>
          </w:p>
        </w:tc>
        <w:tc>
          <w:tcPr>
            <w:tcW w:w="6800" w:type="dxa"/>
          </w:tcPr>
          <w:p>
            <w:r>
              <w:t xml:space="preserve">后续可继续接入黑名单检测、交易画像、合规审查等 Agent</w:t>
            </w:r>
          </w:p>
        </w:tc>
      </w:tr>
    </w:tbl>
    <w:p>
      <w:r>
        <w:t xml:space="preserve">在业务场景中，系统可作为风控人员的辅助分析工具，帮助其快速完成初步风险判断。对于明显高风险样本，系统能够快速提示核心风险点；对于边界样本，系统能够提供进一步核查建议，提升人工审核效率和决策一致性。</w:t>
      </w:r>
    </w:p>
    <w:p>
      <w:r>
        <w:t xml:space="preserve">说明：以上实验结果可作为项目文档中的初版评测数据。若后续接入更多真实业务样本或人工标注数据，可进一步扩充测试集规模，并更新准确率、召回率、误报率和响应时间等指标。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宋体" w:hAnsi="Calibri"/>
      <w:sz w:val="22"/>
      <w:szCs w:val="22"/>
    </w:rPr>
  </w:style>
  <w:style w:type="paragraph" w:styleId="Title">
    <w:name w:val="Title"/>
    <w:basedOn w:val="Normal"/>
    <w:qFormat/>
    <w:pPr>
      <w:spacing w:after="300"/>
    </w:pPr>
    <w:rPr>
      <w:b/>
      <w:rFonts w:ascii="Calibri" w:eastAsia="黑体" w:hAnsi="Calibri"/>
      <w:sz w:val="36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rFonts w:ascii="Calibri" w:eastAsia="黑体" w:hAnsi="Calibri"/>
      <w:sz w:val="28"/>
    </w:rPr>
  </w:style>
  <w:style w:type="paragraph" w:styleId="ListParagraph">
    <w:name w:val="List Paragraph"/>
    <w:basedOn w:val="Normal"/>
    <w:pPr>
      <w:spacing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