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4.png" ContentType="image/png"/>
  <Override PartName="/word/media/rId27.png" ContentType="image/png"/>
  <Override PartName="/word/media/rId36.png" ContentType="image/png"/>
  <Override PartName="/word/media/rId42.png" ContentType="image/png"/>
  <Override PartName="/word/media/rId48.png" ContentType="image/png"/>
  <Override PartName="/word/media/rId5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“Tôi xin trân trọng cảm ơn …”</w:t>
      </w:r>
    </w:p>
    <w:p>
      <w:pPr>
        <w:pStyle w:val="BodyText"/>
      </w:pPr>
      <w:r>
        <w:t xml:space="preserve">TP Hồ Chí Minh: 10:37 sáng, THỨ 7, NGÀY 24 THÁNG 5 NĂM 2025</w:t>
      </w:r>
    </w:p>
    <w:bookmarkStart w:id="32" w:name="mã-lệnh"/>
    <w:p>
      <w:pPr>
        <w:pStyle w:val="Heading1"/>
      </w:pPr>
      <w:r>
        <w:t xml:space="preserve">MÃ LỆNH</w:t>
      </w:r>
    </w:p>
    <w:bookmarkStart w:id="20" w:name="đọc-dữ-liệu"/>
    <w:p>
      <w:pPr>
        <w:pStyle w:val="Heading2"/>
      </w:pPr>
      <w:r>
        <w:t xml:space="preserve">Đọc dữ liệu</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Tuổi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CommentTok"/>
        </w:rPr>
        <w:t xml:space="preserve"># ⚧️ Giới tính bệnh nhân</w:t>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MMSE &amp; phân nhóm</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br/>
      </w:r>
      <w:r>
        <w:rPr>
          <w:rStyle w:val="NormalTok"/>
        </w:rPr>
        <w:t xml:space="preserve">    )),</w:t>
      </w:r>
      <w:r>
        <w:br/>
      </w:r>
      <w:r>
        <w:br/>
      </w:r>
      <w:r>
        <w:rPr>
          <w:rStyle w:val="NormalTok"/>
        </w:rPr>
        <w:t xml:space="preserve">    </w:t>
      </w:r>
      <w:r>
        <w:rPr>
          <w:rStyle w:val="CommentTok"/>
        </w:rPr>
        <w:t xml:space="preserve"># 🔢 Trích số giai đoạn từ FAST (6a → 6, 7d → 7)</w:t>
      </w:r>
      <w:r>
        <w:br/>
      </w:r>
      <w:r>
        <w:rPr>
          <w:rStyle w:val="NormalTok"/>
        </w:rPr>
        <w:t xml:space="preserve">    </w:t>
      </w:r>
      <w:r>
        <w:rPr>
          <w:rStyle w:val="AttributeTok"/>
        </w:rPr>
        <w:t xml:space="preserve">fast_so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(FAST, </w:t>
      </w:r>
      <w:r>
        <w:rPr>
          <w:rStyle w:val="StringTok"/>
        </w:rPr>
        <w:t xml:space="preserve">"^[0-9]"</w:t>
      </w:r>
      <w:r>
        <w:rPr>
          <w:rStyle w:val="NormalTok"/>
        </w:rPr>
        <w:t xml:space="preserve">)),</w:t>
      </w:r>
      <w:r>
        <w:br/>
      </w:r>
      <w:r>
        <w:br/>
      </w:r>
      <w:r>
        <w:rPr>
          <w:rStyle w:val="NormalTok"/>
        </w:rPr>
        <w:t xml:space="preserve">    </w:t>
      </w:r>
      <w:r>
        <w:rPr>
          <w:rStyle w:val="CommentTok"/>
        </w:rPr>
        <w:t xml:space="preserve"># 🧠 Phân nhóm FAST theo đề tài Bs Hoa</w:t>
      </w:r>
      <w:r>
        <w:br/>
      </w:r>
      <w:r>
        <w:rPr>
          <w:rStyle w:val="NormalTok"/>
        </w:rPr>
        <w:t xml:space="preserve">    </w:t>
      </w:r>
      <w:r>
        <w:rPr>
          <w:rStyle w:val="AttributeTok"/>
        </w:rPr>
        <w:t xml:space="preserve">fast_group =</w:t>
      </w:r>
      <w:r>
        <w:rPr>
          <w:rStyle w:val="NormalTok"/>
        </w:rPr>
        <w:t xml:space="preserve"> </w:t>
      </w:r>
      <w:r>
        <w:rPr>
          <w:rStyle w:val="FunctionTok"/>
        </w:rPr>
        <w:t xml:space="preserve">case_when</w:t>
      </w:r>
      <w:r>
        <w:rPr>
          <w:rStyle w:val="NormalTok"/>
        </w:rPr>
        <w:t xml:space="preserve">(</w:t>
      </w:r>
      <w:r>
        <w:br/>
      </w:r>
      <w:r>
        <w:rPr>
          <w:rStyle w:val="NormalTok"/>
        </w:rPr>
        <w:t xml:space="preserve">      fast_so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"Sớm"</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Tuổi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CommentTok"/>
        </w:rPr>
        <w:t xml:space="preserve"># ⚧️ Giới tính người chăm sóc</w:t>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 với người bệnh</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chăm sóc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       </w:t>
      </w:r>
      <w:r>
        <w:rPr>
          <w:rStyle w:val="CommentTok"/>
        </w:rPr>
        <w:t xml:space="preserve"># 😟</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br/>
      </w:r>
      <w:r>
        <w:rPr>
          <w:rStyle w:val="NormalTok"/>
        </w:rPr>
        <w:t xml:space="preserve">    )),</w:t>
      </w:r>
      <w:r>
        <w:br/>
      </w:r>
      <w:r>
        <w:br/>
      </w:r>
      <w:r>
        <w:rPr>
          <w:rStyle w:val="NormalTok"/>
        </w:rPr>
        <w:t xml:space="preserve">    </w:t>
      </w:r>
      <w:r>
        <w:rPr>
          <w:rStyle w:val="CommentTok"/>
        </w:rPr>
        <w:t xml:space="preserve"># 💰 Thu nhập người chăm sóc</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br/>
      </w:r>
      <w:r>
        <w:rPr>
          <w:rStyle w:val="NormalTok"/>
        </w:rPr>
        <w:t xml:space="preserve">    </w:t>
      </w:r>
      <w:r>
        <w:rPr>
          <w:rStyle w:val="CommentTok"/>
        </w:rPr>
        <w:t xml:space="preserve"># 🧠 Tổng điểm NPI-Q severity</w:t>
      </w:r>
      <w:r>
        <w:br/>
      </w:r>
      <w:r>
        <w:rPr>
          <w:rStyle w:val="NormalTok"/>
        </w:rPr>
        <w:t xml:space="preserve">    </w:t>
      </w:r>
      <w:r>
        <w:rPr>
          <w:rStyle w:val="AttributeTok"/>
        </w:rPr>
        <w:t xml:space="preserve">npiq_severity_total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br/>
      </w:r>
      <w:r>
        <w:rPr>
          <w:rStyle w:val="NormalTok"/>
        </w:rPr>
        <w:t xml:space="preserve">      NPI_Hoang_Tuong, NPI_Ao_giac, NPI_kich_dong, NPI_tram_cam, NPI_lo_au,</w:t>
      </w:r>
      <w:r>
        <w:br/>
      </w:r>
      <w:r>
        <w:rPr>
          <w:rStyle w:val="NormalTok"/>
        </w:rPr>
        <w:t xml:space="preserve">      NPI_hung_cam, NPI_thu_rut, NPI_mat_uc, NPI_kichthich, NPI_RLVD,</w:t>
      </w:r>
      <w:r>
        <w:br/>
      </w:r>
      <w:r>
        <w:rPr>
          <w:rStyle w:val="NormalTok"/>
        </w:rPr>
        <w:t xml:space="preserve">      NPI_hanhvi, NPI_taste</w:t>
      </w:r>
      <w:r>
        <w:br/>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 Phân nhóm độ nặng NPI-Q (gợi ý nghiên cứu)</w:t>
      </w:r>
      <w:r>
        <w:br/>
      </w:r>
      <w:r>
        <w:rPr>
          <w:rStyle w:val="NormalTok"/>
        </w:rPr>
        <w:t xml:space="preserve">    </w:t>
      </w:r>
      <w:r>
        <w:rPr>
          <w:rStyle w:val="AttributeTok"/>
        </w:rPr>
        <w:t xml:space="preserve">npiq_severity_group =</w:t>
      </w:r>
      <w:r>
        <w:rPr>
          <w:rStyle w:val="NormalTok"/>
        </w:rPr>
        <w:t xml:space="preserve"> </w:t>
      </w:r>
      <w:r>
        <w:rPr>
          <w:rStyle w:val="FunctionTok"/>
        </w:rPr>
        <w:t xml:space="preserve">case_when</w:t>
      </w:r>
      <w:r>
        <w:rPr>
          <w:rStyle w:val="NormalTok"/>
        </w:rPr>
        <w:t xml:space="preserve">(</w:t>
      </w:r>
      <w:r>
        <w:br/>
      </w:r>
      <w:r>
        <w:rPr>
          <w:rStyle w:val="NormalTok"/>
        </w:rPr>
        <w:t xml:space="preserve">      npiq_severity_total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&gt;=</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"Không hoặc rất nhẹ"</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w:t>
      </w:r>
      <w:r>
        <w:br/>
      </w:r>
      <w:r>
        <w:rPr>
          <w:rStyle w:val="NormalTok"/>
        </w:rPr>
        <w:t xml:space="preserve">  )</w:t>
      </w:r>
    </w:p>
    <w:bookmarkEnd w:id="20"/>
    <w:bookmarkStart w:id="21"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1"/>
    <w:bookmarkStart w:id="22" w:name="đặc-điểm-mmse"/>
    <w:p>
      <w:pPr>
        <w:pStyle w:val="Heading2"/>
      </w:pPr>
      <w:r>
        <w:t xml:space="preserve">Đặc điểm MMSE</w:t>
      </w:r>
    </w:p>
    <w:bookmarkEnd w:id="22"/>
    <w:bookmarkStart w:id="23" w:name="phân-độ-fast"/>
    <w:p>
      <w:pPr>
        <w:pStyle w:val="Heading2"/>
      </w:pPr>
      <w:r>
        <w:t xml:space="preserve">Phân độ Fast</w:t>
      </w:r>
    </w:p>
    <w:p>
      <w:pPr>
        <w:pStyle w:val="SourceCode"/>
      </w:pPr>
      <w:r>
        <w:rPr>
          <w:rStyle w:val="CommentTok"/>
        </w:rPr>
        <w:t xml:space="preserve"># 📊 Tính số lượng và tỷ lệ từ dữ liệu df có biến fast_group</w:t>
      </w:r>
      <w:r>
        <w:br/>
      </w:r>
      <w:r>
        <w:rPr>
          <w:rStyle w:val="NormalTok"/>
        </w:rPr>
        <w:t xml:space="preserve">bang_fast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(fast_group)) </w:t>
      </w:r>
      <w:r>
        <w:rPr>
          <w:rStyle w:val="SpecialCharTok"/>
        </w:rPr>
        <w:t xml:space="preserve">%&gt;%</w:t>
      </w:r>
      <w:r>
        <w:br/>
      </w:r>
      <w:r>
        <w:rPr>
          <w:rStyle w:val="NormalTok"/>
        </w:rPr>
        <w:t xml:space="preserve">  </w:t>
      </w:r>
      <w:r>
        <w:rPr>
          <w:rStyle w:val="FunctionTok"/>
        </w:rPr>
        <w:t xml:space="preserve">count</w:t>
      </w:r>
      <w:r>
        <w:rPr>
          <w:rStyle w:val="NormalTok"/>
        </w:rPr>
        <w:t xml:space="preserve">(fast_group)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fast_group =</w:t>
      </w:r>
      <w:r>
        <w:rPr>
          <w:rStyle w:val="NormalTok"/>
        </w:rPr>
        <w:t xml:space="preserve"> </w:t>
      </w:r>
      <w:r>
        <w:rPr>
          <w:rStyle w:val="FunctionTok"/>
        </w:rPr>
        <w:t xml:space="preserve">factor</w:t>
      </w:r>
      <w:r>
        <w:rPr>
          <w:rStyle w:val="NormalTok"/>
        </w:rPr>
        <w:t xml:space="preserve">(fast_group,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OtherTok"/>
        </w:rPr>
        <w:t xml:space="preserve">=</w:t>
      </w:r>
      <w:r>
        <w:rPr>
          <w:rStyle w:val="NormalTok"/>
        </w:rPr>
        <w:t xml:space="preserve"> fast_group,</w:t>
      </w:r>
      <w:r>
        <w:br/>
      </w:r>
      <w:r>
        <w:rPr>
          <w:rStyle w:val="NormalTok"/>
        </w:rPr>
        <w:t xml:space="preserve">         </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OtherTok"/>
        </w:rPr>
        <w:t xml:space="preserve">=</w:t>
      </w:r>
      <w:r>
        <w:rPr>
          <w:rStyle w:val="NormalTok"/>
        </w:rPr>
        <w:t xml:space="preserve"> n)</w:t>
      </w:r>
      <w:r>
        <w:br/>
      </w:r>
      <w:r>
        <w:br/>
      </w:r>
      <w:r>
        <w:rPr>
          <w:rStyle w:val="CommentTok"/>
        </w:rPr>
        <w:t xml:space="preserve"># 📋 Tạo flextable</w:t>
      </w:r>
      <w:r>
        <w:br/>
      </w:r>
      <w:r>
        <w:rPr>
          <w:rStyle w:val="NormalTok"/>
        </w:rPr>
        <w:t xml:space="preserve">ft_bang_fast </w:t>
      </w:r>
      <w:r>
        <w:rPr>
          <w:rStyle w:val="OtherTok"/>
        </w:rPr>
        <w:t xml:space="preserve">&lt;-</w:t>
      </w:r>
      <w:r>
        <w:rPr>
          <w:rStyle w:val="NormalTok"/>
        </w:rPr>
        <w:t xml:space="preserve"> </w:t>
      </w:r>
      <w:r>
        <w:rPr>
          <w:rStyle w:val="FunctionTok"/>
        </w:rPr>
        <w:t xml:space="preserve">flextable</w:t>
      </w:r>
      <w:r>
        <w:rPr>
          <w:rStyle w:val="NormalTok"/>
        </w:rPr>
        <w:t xml:space="preserve">(bang_fast)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bệnh nhân theo phân loại FAST"</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Biểu đồ ggplot2 không có chữ 'người'</w:t>
      </w:r>
      <w:r>
        <w:br/>
      </w:r>
      <w:r>
        <w:rPr>
          <w:rStyle w:val="NormalTok"/>
        </w:rPr>
        <w:t xml:space="preserve">bieu_do_fast </w:t>
      </w:r>
      <w:r>
        <w:rPr>
          <w:rStyle w:val="OtherTok"/>
        </w:rPr>
        <w:t xml:space="preserve">&lt;-</w:t>
      </w:r>
      <w:r>
        <w:rPr>
          <w:rStyle w:val="NormalTok"/>
        </w:rPr>
        <w:t xml:space="preserve"> </w:t>
      </w:r>
      <w:r>
        <w:rPr>
          <w:rStyle w:val="FunctionTok"/>
        </w:rPr>
        <w:t xml:space="preserve">ggplot</w:t>
      </w:r>
      <w:r>
        <w:rPr>
          <w:rStyle w:val="NormalTok"/>
        </w:rPr>
        <w:t xml:space="preserve">(bang_fast,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"Phân loại FAST"</w:t>
      </w:r>
      <w:r>
        <w:rPr>
          <w:rStyle w:val="NormalTok"/>
        </w:rPr>
        <w:t xml:space="preserve">, </w:t>
      </w:r>
      <w:r>
        <w:rPr>
          <w:rStyle w:val="AttributeTok"/>
        </w:rPr>
        <w:t xml:space="preserve">y =</w:t>
      </w:r>
      <w:r>
        <w:rPr>
          <w:rStyle w:val="NormalTok"/>
        </w:rPr>
        <w:t xml:space="preserve"> </w:t>
      </w:r>
      <w:r>
        <w:rPr>
          <w:rStyle w:val="StringTok"/>
        </w:rPr>
        <w:t xml:space="preserve">"Tỷ lệ (%)"</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 Nhận xét bảng</w:t>
      </w:r>
      <w:r>
        <w:br/>
      </w:r>
      <w:r>
        <w:rPr>
          <w:rStyle w:val="NormalTok"/>
        </w:rPr>
        <w:t xml:space="preserve">nhan_xet_fast_bang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"**Nhận xét bảng:** Nhóm phổ biến nhất là '{bang_fast$`Phân loại FAST`[which.max(bang_fast$`Số lượng`)]}' với "</w:t>
      </w:r>
      <w:r>
        <w:rPr>
          <w:rStyle w:val="NormalTok"/>
        </w:rPr>
        <w:t xml:space="preserve">,</w:t>
      </w:r>
      <w:r>
        <w:br/>
      </w:r>
      <w:r>
        <w:rPr>
          <w:rStyle w:val="NormalTok"/>
        </w:rPr>
        <w:t xml:space="preserve">  </w:t>
      </w:r>
      <w:r>
        <w:rPr>
          <w:rStyle w:val="StringTok"/>
        </w:rPr>
        <w:t xml:space="preserve">"{max(bang_fast$`Số lượng`)} người ("</w:t>
      </w:r>
      <w:r>
        <w:rPr>
          <w:rStyle w:val="NormalTok"/>
        </w:rPr>
        <w:t xml:space="preserve">,</w:t>
      </w:r>
      <w:r>
        <w:br/>
      </w:r>
      <w:r>
        <w:rPr>
          <w:rStyle w:val="NormalTok"/>
        </w:rPr>
        <w:t xml:space="preserve">  </w:t>
      </w:r>
      <w:r>
        <w:rPr>
          <w:rStyle w:val="StringTok"/>
        </w:rPr>
        <w:t xml:space="preserve">"{bang_fast$`Tỷ lệ (%)`[which.max(bang_fast$`Số lượng`)]}%). "</w:t>
      </w:r>
      <w:r>
        <w:rPr>
          <w:rStyle w:val="NormalTok"/>
        </w:rPr>
        <w:t xml:space="preserve">,</w:t>
      </w:r>
      <w:r>
        <w:br/>
      </w:r>
      <w:r>
        <w:rPr>
          <w:rStyle w:val="NormalTok"/>
        </w:rPr>
        <w:t xml:space="preserve">  </w:t>
      </w:r>
      <w:r>
        <w:rPr>
          <w:rStyle w:val="StringTok"/>
        </w:rPr>
        <w:t xml:space="preserve">"Nhóm thấp nhất là '{bang_fast$`Phân loại FAST`[which.min(bang_fast$`Số lượng`)]}' với "</w:t>
      </w:r>
      <w:r>
        <w:rPr>
          <w:rStyle w:val="NormalTok"/>
        </w:rPr>
        <w:t xml:space="preserve">,</w:t>
      </w:r>
      <w:r>
        <w:br/>
      </w:r>
      <w:r>
        <w:rPr>
          <w:rStyle w:val="NormalTok"/>
        </w:rPr>
        <w:t xml:space="preserve">  </w:t>
      </w:r>
      <w:r>
        <w:rPr>
          <w:rStyle w:val="StringTok"/>
        </w:rPr>
        <w:t xml:space="preserve">"{min(bang_fast$`Số lượng`)} người."</w:t>
      </w:r>
      <w:r>
        <w:br/>
      </w:r>
      <w:r>
        <w:rPr>
          <w:rStyle w:val="NormalTok"/>
        </w:rPr>
        <w:t xml:space="preserve">)</w:t>
      </w:r>
      <w:r>
        <w:br/>
      </w:r>
      <w:r>
        <w:br/>
      </w:r>
      <w:r>
        <w:rPr>
          <w:rStyle w:val="CommentTok"/>
        </w:rPr>
        <w:t xml:space="preserve"># ✍️ Nhận xét biểu đồ</w:t>
      </w:r>
      <w:r>
        <w:br/>
      </w:r>
      <w:r>
        <w:rPr>
          <w:rStyle w:val="NormalTok"/>
        </w:rPr>
        <w:t xml:space="preserve">nhan_xet_fast_bieu_do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"Biểu đồ phản ánh rõ sự phân tầng theo mức độ sa sút trí tuệ, "</w:t>
      </w:r>
      <w:r>
        <w:rPr>
          <w:rStyle w:val="NormalTok"/>
        </w:rPr>
        <w:t xml:space="preserve">,</w:t>
      </w:r>
      <w:r>
        <w:br/>
      </w:r>
      <w:r>
        <w:rPr>
          <w:rStyle w:val="NormalTok"/>
        </w:rPr>
        <w:t xml:space="preserve">  </w:t>
      </w:r>
      <w:r>
        <w:rPr>
          <w:rStyle w:val="StringTok"/>
        </w:rPr>
        <w:t xml:space="preserve">"trong đó các nhóm 'Nhẹ' và 'Trung bình' chiếm tỷ lệ cao nhất."</w:t>
      </w:r>
      <w:r>
        <w:br/>
      </w:r>
      <w:r>
        <w:rPr>
          <w:rStyle w:val="NormalTok"/>
        </w:rPr>
        <w:t xml:space="preserve">)</w:t>
      </w:r>
      <w:r>
        <w:br/>
      </w:r>
      <w:r>
        <w:br/>
      </w:r>
      <w:r>
        <w:rPr>
          <w:rStyle w:val="CommentTok"/>
        </w:rPr>
        <w:t xml:space="preserve"># 🧠 Bàn luận</w:t>
      </w:r>
      <w:r>
        <w:br/>
      </w:r>
      <w:r>
        <w:rPr>
          <w:rStyle w:val="NormalTok"/>
        </w:rPr>
        <w:t xml:space="preserve">ban_luan_fast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 Thang FAST là công cụ đánh giá chức năng theo giai đoạn bệnh lý sa sút trí tuệ. "</w:t>
      </w:r>
      <w:r>
        <w:rPr>
          <w:rStyle w:val="NormalTok"/>
        </w:rPr>
        <w:t xml:space="preserve">,</w:t>
      </w:r>
      <w:r>
        <w:br/>
      </w:r>
      <w:r>
        <w:rPr>
          <w:rStyle w:val="NormalTok"/>
        </w:rPr>
        <w:t xml:space="preserve">  </w:t>
      </w:r>
      <w:r>
        <w:rPr>
          <w:rStyle w:val="StringTok"/>
        </w:rPr>
        <w:t xml:space="preserve">"Phân bố trong nghiên cứu cho thấy sự tập trung cao ở các giai đoạn giữa, cho thấy người bệnh thường được phát hiện "</w:t>
      </w:r>
      <w:r>
        <w:rPr>
          <w:rStyle w:val="NormalTok"/>
        </w:rPr>
        <w:t xml:space="preserve">,</w:t>
      </w:r>
      <w:r>
        <w:br/>
      </w:r>
      <w:r>
        <w:rPr>
          <w:rStyle w:val="NormalTok"/>
        </w:rPr>
        <w:t xml:space="preserve">  </w:t>
      </w:r>
      <w:r>
        <w:rPr>
          <w:rStyle w:val="StringTok"/>
        </w:rPr>
        <w:t xml:space="preserve">"và chẩn đoán ở giai đoạn đã có ảnh hưởng rõ đến chức năng sống hàng ngày."</w:t>
      </w:r>
      <w:r>
        <w:br/>
      </w:r>
      <w:r>
        <w:rPr>
          <w:rStyle w:val="NormalTok"/>
        </w:rPr>
        <w:t xml:space="preserve">)</w:t>
      </w:r>
    </w:p>
    <w:bookmarkEnd w:id="23"/>
    <w:bookmarkStart w:id="30" w:name="đặc-điểm-npi"/>
    <w:p>
      <w:pPr>
        <w:pStyle w:val="Heading2"/>
      </w:pPr>
      <w:r>
        <w:t xml:space="preserve">Đặc điểm NPI</w:t>
      </w:r>
    </w:p>
    <w:p>
      <w:pPr>
        <w:pStyle w:val="SourceCode"/>
      </w:pPr>
      <w:r>
        <w:rPr>
          <w:rStyle w:val="CommentTok"/>
        </w:rPr>
        <w:t xml:space="preserve"># 📦 Thống kê mô tả tổng điểm NPI-Q</w:t>
      </w:r>
      <w:r>
        <w:br/>
      </w:r>
      <w:r>
        <w:rPr>
          <w:rStyle w:val="NormalTok"/>
        </w:rPr>
        <w:t xml:space="preserve">tbl_npiq_severity_total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Trung bình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"{round(mean(npiq_severity_total, na.rm = TRUE), 1)} ± {round(sd(npiq_severity_total,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Trung vị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"{round(median(npiq_severity_total,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Tứ phân vị (Q1 – Q3)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"{round(quantile(npiq_severity_total, 0.25, na.rm = TRUE),1)} – {round(quantile(npiq_severity_total, 0.75, na.rm = TRUE),1)}"</w:t>
      </w:r>
      <w:r>
        <w:rPr>
          <w:rStyle w:val="NormalTok"/>
        </w:rPr>
        <w:t xml:space="preserve">),</w:t>
      </w:r>
      <w:r>
        <w:br/>
      </w:r>
      <w:r>
        <w:rPr>
          <w:rStyle w:val="NormalTok"/>
        </w:rPr>
        <w:t xml:space="preserve">    </w:t>
      </w:r>
      <w:r>
        <w:rPr>
          <w:rStyle w:val="StringTok"/>
        </w:rPr>
        <w:t xml:space="preserve">`</w:t>
      </w:r>
      <w:r>
        <w:rPr>
          <w:rStyle w:val="AttributeTok"/>
        </w:rPr>
        <w:t xml:space="preserve">Nhỏ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"{min(npiq_severity_total, na.rm = TRUE)}"</w:t>
      </w:r>
      <w:r>
        <w:rPr>
          <w:rStyle w:val="NormalTok"/>
        </w:rPr>
        <w:t xml:space="preserve">),</w:t>
      </w:r>
      <w:r>
        <w:br/>
      </w:r>
      <w:r>
        <w:rPr>
          <w:rStyle w:val="NormalTok"/>
        </w:rPr>
        <w:t xml:space="preserve">    </w:t>
      </w:r>
      <w:r>
        <w:rPr>
          <w:rStyle w:val="StringTok"/>
        </w:rPr>
        <w:t xml:space="preserve">`</w:t>
      </w:r>
      <w:r>
        <w:rPr>
          <w:rStyle w:val="AttributeTok"/>
        </w:rPr>
        <w:t xml:space="preserve">Lớn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"{max(npiq_severity_total, na.rm = 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"Chỉ số"</w:t>
      </w:r>
      <w:r>
        <w:rPr>
          <w:rStyle w:val="NormalTok"/>
        </w:rPr>
        <w:t xml:space="preserve">, </w:t>
      </w:r>
      <w:r>
        <w:rPr>
          <w:rStyle w:val="AttributeTok"/>
        </w:rPr>
        <w:t xml:space="preserve">values_to =</w:t>
      </w:r>
      <w:r>
        <w:rPr>
          <w:rStyle w:val="NormalTok"/>
        </w:rPr>
        <w:t xml:space="preserve"> </w:t>
      </w:r>
      <w:r>
        <w:rPr>
          <w:rStyle w:val="StringTok"/>
        </w:rPr>
        <w:t xml:space="preserve">"Giá trị"</w:t>
      </w:r>
      <w:r>
        <w:rPr>
          <w:rStyle w:val="NormalTok"/>
        </w:rPr>
        <w:t xml:space="preserve">)</w:t>
      </w:r>
      <w:r>
        <w:br/>
      </w:r>
      <w:r>
        <w:br/>
      </w:r>
      <w:r>
        <w:rPr>
          <w:rStyle w:val="CommentTok"/>
        </w:rPr>
        <w:t xml:space="preserve"># 📄 Bảng flextable tổng điểm</w:t>
      </w:r>
      <w:r>
        <w:br/>
      </w:r>
      <w:r>
        <w:rPr>
          <w:rStyle w:val="NormalTok"/>
        </w:rPr>
        <w:t xml:space="preserve">bang_npiq_severity_total </w:t>
      </w:r>
      <w:r>
        <w:rPr>
          <w:rStyle w:val="OtherTok"/>
        </w:rPr>
        <w:t xml:space="preserve">&lt;-</w:t>
      </w:r>
      <w:r>
        <w:rPr>
          <w:rStyle w:val="NormalTok"/>
        </w:rPr>
        <w:t xml:space="preserve"> </w:t>
      </w:r>
      <w:r>
        <w:rPr>
          <w:rStyle w:val="FunctionTok"/>
        </w:rPr>
        <w:t xml:space="preserve">ft_vn</w:t>
      </w:r>
      <w:r>
        <w:rPr>
          <w:rStyle w:val="NormalTok"/>
        </w:rPr>
        <w:t xml:space="preserve">(tbl_npiq_severity_total)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mô tả tổng điểm NPI-Q (severity)"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bang_npiq_severity_total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bl>
    <w:p>
      <w:pPr>
        <w:pStyle w:val="SourceCode"/>
      </w:pPr>
      <w:r>
        <w:rPr>
          <w:rStyle w:val="CommentTok"/>
        </w:rPr>
        <w:t xml:space="preserve"># 📊 Biểu đồ histogram tổng điểm</w:t>
      </w:r>
      <w:r>
        <w:br/>
      </w:r>
      <w:r>
        <w:rPr>
          <w:rStyle w:val="NormalTok"/>
        </w:rPr>
        <w:t xml:space="preserve">bieu_do_npiq_severity_total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"Tổng điểm NPI-Q"</w:t>
      </w:r>
      <w:r>
        <w:rPr>
          <w:rStyle w:val="NormalTok"/>
        </w:rPr>
        <w:t xml:space="preserve">, </w:t>
      </w:r>
      <w:r>
        <w:rPr>
          <w:rStyle w:val="AttributeTok"/>
        </w:rPr>
        <w:t xml:space="preserve">y =</w:t>
      </w:r>
      <w:r>
        <w:rPr>
          <w:rStyle w:val="NormalTok"/>
        </w:rPr>
        <w:t xml:space="preserve"> </w:t>
      </w:r>
      <w:r>
        <w:rPr>
          <w:rStyle w:val="StringTok"/>
        </w:rPr>
        <w:t xml:space="preserve">"Tần suất"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(bieu_do_npiq_severity_total)</w:t>
      </w:r>
    </w:p>
    <w:p>
      <w:pPr>
        <w:pStyle w:val="FirstParagraph"/>
      </w:pPr>
      <w:r>
        <w:drawing>
          <wp:inline>
            <wp:extent cx="4587290" cy="2834945"/>
            <wp:effectExtent b="0" l="0" r="0" t="0"/>
            <wp:docPr descr="" title="" id="25" name="Picture"/>
            <a:graphic>
              <a:graphicData uri="http://schemas.openxmlformats.org/drawingml/2006/picture">
                <pic:pic>
                  <pic:nvPicPr>
                    <pic:cNvPr descr="lang_pro_quarto_output_files/figure-docx/phan_tich_npiq_severity-1.png" id="26" name="Picture"/>
                    <pic:cNvPicPr>
                      <a:picLocks noChangeArrowheads="1" noChangeAspect="1"/>
                    </pic:cNvPicPr>
                  </pic:nvPicPr>
                  <pic:blipFill>
                    <a:blip r:embed="rId24"/>
                    <a:stretch>
                      <a:fillRect/>
                    </a:stretch>
                  </pic:blipFill>
                  <pic:spPr bwMode="auto">
                    <a:xfrm>
                      <a:off x="0" y="0"/>
                      <a:ext cx="4587290" cy="2834945"/>
                    </a:xfrm>
                    <a:prstGeom prst="rect">
                      <a:avLst/>
                    </a:prstGeom>
                    <a:noFill/>
                    <a:ln w="9525">
                      <a:noFill/>
                      <a:headEnd/>
                      <a:tailEnd/>
                    </a:ln>
                  </pic:spPr>
                </pic:pic>
              </a:graphicData>
            </a:graphic>
          </wp:inline>
        </w:drawing>
      </w:r>
    </w:p>
    <w:p>
      <w:pPr>
        <w:pStyle w:val="SourceCode"/>
      </w:pPr>
      <w:r>
        <w:rPr>
          <w:rStyle w:val="CommentTok"/>
        </w:rPr>
        <w:t xml:space="preserve"># 📦 Bảng tần suất nhóm độ nặng</w:t>
      </w:r>
      <w:r>
        <w:br/>
      </w:r>
      <w:r>
        <w:rPr>
          <w:rStyle w:val="NormalTok"/>
        </w:rPr>
        <w:t xml:space="preserve">tbl_npiq_group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count</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"{n} ({`Tỷ lệ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Mức độ NPI-Q</w:t>
      </w:r>
      <w:r>
        <w:rPr>
          <w:rStyle w:val="StringTok"/>
        </w:rPr>
        <w:t xml:space="preserve">`</w:t>
      </w:r>
      <w:r>
        <w:rPr>
          <w:rStyle w:val="NormalTok"/>
        </w:rPr>
        <w:t xml:space="preserve"> </w:t>
      </w:r>
      <w:r>
        <w:rPr>
          <w:rStyle w:val="OtherTok"/>
        </w:rPr>
        <w:t xml:space="preserve">=</w:t>
      </w:r>
      <w:r>
        <w:rPr>
          <w:rStyle w:val="NormalTok"/>
        </w:rPr>
        <w:t xml:space="preserve"> npiq_severity_group, </w:t>
      </w:r>
      <w:r>
        <w:rPr>
          <w:rStyle w:val="StringTok"/>
        </w:rPr>
        <w:t xml:space="preserve">`</w:t>
      </w:r>
      <w:r>
        <w:rPr>
          <w:rStyle w:val="AttributeTok"/>
        </w:rPr>
        <w:t xml:space="preserve">Giá trị</w:t>
      </w:r>
      <w:r>
        <w:rPr>
          <w:rStyle w:val="StringTok"/>
        </w:rPr>
        <w:t xml:space="preserve">`</w:t>
      </w:r>
      <w:r>
        <w:rPr>
          <w:rStyle w:val="NormalTok"/>
        </w:rPr>
        <w:t xml:space="preserve">)</w:t>
      </w:r>
      <w:r>
        <w:br/>
      </w:r>
      <w:r>
        <w:br/>
      </w:r>
      <w:r>
        <w:rPr>
          <w:rStyle w:val="CommentTok"/>
        </w:rPr>
        <w:t xml:space="preserve"># 📄 Bảng flextable nhóm độ nặng</w:t>
      </w:r>
      <w:r>
        <w:br/>
      </w:r>
      <w:r>
        <w:rPr>
          <w:rStyle w:val="NormalTok"/>
        </w:rPr>
        <w:t xml:space="preserve">bang_npiq_severity_group </w:t>
      </w:r>
      <w:r>
        <w:rPr>
          <w:rStyle w:val="OtherTok"/>
        </w:rPr>
        <w:t xml:space="preserve">&lt;-</w:t>
      </w:r>
      <w:r>
        <w:rPr>
          <w:rStyle w:val="NormalTok"/>
        </w:rPr>
        <w:t xml:space="preserve"> </w:t>
      </w:r>
      <w:r>
        <w:rPr>
          <w:rStyle w:val="FunctionTok"/>
        </w:rPr>
        <w:t xml:space="preserve">ft_vn</w:t>
      </w:r>
      <w:r>
        <w:rPr>
          <w:rStyle w:val="NormalTok"/>
        </w:rPr>
        <w:t xml:space="preserve">(tbl_npiq_group)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mức độ NPI-Q"</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(81,8%)</w:t>
            </w:r>
          </w:p>
        </w:tc>
      </w:tr>
    </w:tbl>
    <w:p>
      <w:pPr>
        <w:pStyle w:val="SourceCode"/>
      </w:pPr>
      <w:r>
        <w:rPr>
          <w:rStyle w:val="CommentTok"/>
        </w:rPr>
        <w:t xml:space="preserve"># 📉 Biểu đồ bar nhóm độ nặng</w:t>
      </w:r>
      <w:r>
        <w:br/>
      </w:r>
      <w:r>
        <w:rPr>
          <w:rStyle w:val="NormalTok"/>
        </w:rPr>
        <w:t xml:space="preserve">bieu_do_npiq_severity_group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npiq_severity_group, </w:t>
      </w:r>
      <w:r>
        <w:rPr>
          <w:rStyle w:val="AttributeTok"/>
        </w:rPr>
        <w:t xml:space="preserve">fill =</w:t>
      </w:r>
      <w:r>
        <w:rPr>
          <w:rStyle w:val="NormalTok"/>
        </w:rPr>
        <w:t xml:space="preserve"> npiq_severity_group))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"Mức độ NPI-Q"</w:t>
      </w:r>
      <w:r>
        <w:rPr>
          <w:rStyle w:val="NormalTok"/>
        </w:rPr>
        <w:t xml:space="preserve">, </w:t>
      </w:r>
      <w:r>
        <w:rPr>
          <w:rStyle w:val="AttributeTok"/>
        </w:rPr>
        <w:t xml:space="preserve">y =</w:t>
      </w:r>
      <w:r>
        <w:rPr>
          <w:rStyle w:val="NormalTok"/>
        </w:rPr>
        <w:t xml:space="preserve"> </w:t>
      </w:r>
      <w:r>
        <w:rPr>
          <w:rStyle w:val="StringTok"/>
        </w:rPr>
        <w:t xml:space="preserve">"Số lượng"</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(bieu_do_npiq_severity_group)</w:t>
      </w:r>
    </w:p>
    <w:p>
      <w:pPr>
        <w:pStyle w:val="FirstParagraph"/>
      </w:pPr>
      <w:r>
        <w:drawing>
          <wp:inline>
            <wp:extent cx="4587290" cy="2834945"/>
            <wp:effectExtent b="0" l="0" r="0" t="0"/>
            <wp:docPr descr="" title="" id="28" name="Picture"/>
            <a:graphic>
              <a:graphicData uri="http://schemas.openxmlformats.org/drawingml/2006/picture">
                <pic:pic>
                  <pic:nvPicPr>
                    <pic:cNvPr descr="lang_pro_quarto_output_files/figure-docx/phan_tich_npiq_severity-2.png" id="29" name="Picture"/>
                    <pic:cNvPicPr>
                      <a:picLocks noChangeArrowheads="1" noChangeAspect="1"/>
                    </pic:cNvPicPr>
                  </pic:nvPicPr>
                  <pic:blipFill>
                    <a:blip r:embed="rId27"/>
                    <a:stretch>
                      <a:fillRect/>
                    </a:stretch>
                  </pic:blipFill>
                  <pic:spPr bwMode="auto">
                    <a:xfrm>
                      <a:off x="0" y="0"/>
                      <a:ext cx="4587290" cy="2834945"/>
                    </a:xfrm>
                    <a:prstGeom prst="rect">
                      <a:avLst/>
                    </a:prstGeom>
                    <a:noFill/>
                    <a:ln w="9525">
                      <a:noFill/>
                      <a:headEnd/>
                      <a:tailEnd/>
                    </a:ln>
                  </pic:spPr>
                </pic:pic>
              </a:graphicData>
            </a:graphic>
          </wp:inline>
        </w:drawing>
      </w:r>
    </w:p>
    <w:p>
      <w:pPr>
        <w:pStyle w:val="SourceCode"/>
      </w:pPr>
      <w:r>
        <w:rPr>
          <w:rStyle w:val="CommentTok"/>
        </w:rPr>
        <w:t xml:space="preserve"># ✏️ Nhận xét bảng tổng điểm</w:t>
      </w:r>
      <w:r>
        <w:br/>
      </w:r>
      <w:r>
        <w:rPr>
          <w:rStyle w:val="NormalTok"/>
        </w:rPr>
        <w:t xml:space="preserve">npiq_tb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npiq_med </w:t>
      </w:r>
      <w:r>
        <w:rPr>
          <w:rStyle w:val="OtherTok"/>
        </w:rPr>
        <w:t xml:space="preserve">&lt;-</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npiq_min </w:t>
      </w:r>
      <w:r>
        <w:rPr>
          <w:rStyle w:val="OtherTok"/>
        </w:rPr>
        <w:t xml:space="preserve">&lt;-</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npiq_max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br/>
      </w:r>
      <w:r>
        <w:rPr>
          <w:rStyle w:val="NormalTok"/>
        </w:rPr>
        <w:t xml:space="preserve">nhan_xet_bang_npiq_severity_total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Tổng điểm NPI-Q trung bình là {npiq_tb} ± {npiq_sd}, "</w:t>
      </w:r>
      <w:r>
        <w:rPr>
          <w:rStyle w:val="NormalTok"/>
        </w:rPr>
        <w:t xml:space="preserve">,</w:t>
      </w:r>
      <w:r>
        <w:br/>
      </w:r>
      <w:r>
        <w:rPr>
          <w:rStyle w:val="NormalTok"/>
        </w:rPr>
        <w:t xml:space="preserve">  </w:t>
      </w:r>
      <w:r>
        <w:rPr>
          <w:rStyle w:val="StringTok"/>
        </w:rPr>
        <w:t xml:space="preserve">"trung vị {npiq_med}, từ {npiq_min} đến {npiq_max}, tứ phân vị từ {npiq_q1} – {npiq_q3}."</w:t>
      </w:r>
      <w:r>
        <w:br/>
      </w:r>
      <w:r>
        <w:rPr>
          <w:rStyle w:val="NormalTok"/>
        </w:rPr>
        <w:t xml:space="preserve">)</w:t>
      </w:r>
      <w:r>
        <w:br/>
      </w:r>
      <w:r>
        <w:rPr>
          <w:rStyle w:val="FunctionTok"/>
        </w:rPr>
        <w:t xml:space="preserve">cat</w:t>
      </w:r>
      <w:r>
        <w:rPr>
          <w:rStyle w:val="NormalTok"/>
        </w:rPr>
        <w:t xml:space="preserve">(nhan_xet_bang_npiq_severity_total,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rPr>
          <w:b/>
          <w:bCs/>
        </w:rPr>
        <w:t xml:space="preserve">Nhận xét:</w:t>
      </w:r>
      <w:r>
        <w:t xml:space="preserve"> </w:t>
      </w:r>
      <w:r>
        <w:t xml:space="preserve">Tổng điểm NPI-Q trung bình là 18,1 ± 6,5, trung vị 20, từ 0 đến 24, tứ phân vị từ 17 – 21.</w:t>
      </w:r>
    </w:p>
    <w:p>
      <w:pPr>
        <w:pStyle w:val="SourceCode"/>
      </w:pPr>
      <w:r>
        <w:rPr>
          <w:rStyle w:val="CommentTok"/>
        </w:rPr>
        <w:t xml:space="preserve"># ✏️ Nhận xét biểu đồ tổng điểm</w:t>
      </w:r>
      <w:r>
        <w:br/>
      </w:r>
      <w:r>
        <w:rPr>
          <w:rStyle w:val="NormalTok"/>
        </w:rPr>
        <w:t xml:space="preserve">nhan_xet_bieu_do_npiq_severity_total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cho thấy tổng điểm NPI-Q có xu hướng tập trung nhiều ở khoảng trung bình đến cao, "</w:t>
      </w:r>
      <w:r>
        <w:rPr>
          <w:rStyle w:val="NormalTok"/>
        </w:rPr>
        <w:t xml:space="preserve">,</w:t>
      </w:r>
      <w:r>
        <w:br/>
      </w:r>
      <w:r>
        <w:rPr>
          <w:rStyle w:val="NormalTok"/>
        </w:rPr>
        <w:t xml:space="preserve">  </w:t>
      </w:r>
      <w:r>
        <w:rPr>
          <w:rStyle w:val="StringTok"/>
        </w:rPr>
        <w:t xml:space="preserve">"phản ánh người bệnh có biểu hiện hành vi thần kinh đa dạng."</w:t>
      </w:r>
      <w:r>
        <w:br/>
      </w:r>
      <w:r>
        <w:rPr>
          <w:rStyle w:val="NormalTok"/>
        </w:rPr>
        <w:t xml:space="preserve">)</w:t>
      </w:r>
      <w:r>
        <w:br/>
      </w:r>
      <w:r>
        <w:rPr>
          <w:rStyle w:val="FunctionTok"/>
        </w:rPr>
        <w:t xml:space="preserve">cat</w:t>
      </w:r>
      <w:r>
        <w:rPr>
          <w:rStyle w:val="NormalTok"/>
        </w:rPr>
        <w:t xml:space="preserve">(nhan_xet_bieu_do_npiq_severity_total,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cho thấy tổng điểm NPI-Q có xu hướng tập trung nhiều ở khoảng trung bình đến cao, phản ánh người bệnh có biểu hiện hành vi thần kinh đa dạng.</w:t>
      </w:r>
    </w:p>
    <w:p>
      <w:pPr>
        <w:pStyle w:val="SourceCode"/>
      </w:pPr>
      <w:r>
        <w:rPr>
          <w:rStyle w:val="CommentTok"/>
        </w:rPr>
        <w:t xml:space="preserve"># ✏️ Nhận xét bảng nhóm độ nặng</w:t>
      </w:r>
      <w:r>
        <w:br/>
      </w:r>
      <w:r>
        <w:rPr>
          <w:rStyle w:val="NormalTok"/>
        </w:rPr>
        <w:t xml:space="preserve">tbl_npiq_top </w:t>
      </w:r>
      <w:r>
        <w:rPr>
          <w:rStyle w:val="OtherTok"/>
        </w:rPr>
        <w:t xml:space="preserve">&lt;-</w:t>
      </w:r>
      <w:r>
        <w:rPr>
          <w:rStyle w:val="NormalTok"/>
        </w:rPr>
        <w:t xml:space="preserve"> tbl_npiq_group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nhan_xet_bang_npiq_severity_group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"Mức độ phổ biến nhất là **{tbl_npiq_top$`Mức độ NPI-Q`}**, chiếm tỷ lệ {tbl_npiq_top$`Giá trị`}."</w:t>
      </w:r>
      <w:r>
        <w:br/>
      </w:r>
      <w:r>
        <w:rPr>
          <w:rStyle w:val="NormalTok"/>
        </w:rPr>
        <w:t xml:space="preserve">)</w:t>
      </w:r>
      <w:r>
        <w:br/>
      </w:r>
      <w:r>
        <w:rPr>
          <w:rStyle w:val="FunctionTok"/>
        </w:rPr>
        <w:t xml:space="preserve">cat</w:t>
      </w:r>
      <w:r>
        <w:rPr>
          <w:rStyle w:val="NormalTok"/>
        </w:rPr>
        <w:t xml:space="preserve">(nhan_xet_bang_npiq_severity_group,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Mức độ phổ biến nhất là</w:t>
      </w:r>
      <w:r>
        <w:t xml:space="preserve"> </w:t>
      </w:r>
      <w:r>
        <w:rPr>
          <w:b/>
          <w:bCs/>
        </w:rPr>
        <w:t xml:space="preserve">Không hoặc rất nhẹ</w:t>
      </w:r>
      <w:r>
        <w:t xml:space="preserve">, chiếm tỷ lệ 3 (9,1%).</w:t>
      </w:r>
    </w:p>
    <w:p>
      <w:pPr>
        <w:pStyle w:val="SourceCode"/>
      </w:pPr>
      <w:r>
        <w:rPr>
          <w:rStyle w:val="CommentTok"/>
        </w:rPr>
        <w:t xml:space="preserve"># ✏️ Nhận xét biểu đồ nhóm độ nặng</w:t>
      </w:r>
      <w:r>
        <w:br/>
      </w:r>
      <w:r>
        <w:rPr>
          <w:rStyle w:val="NormalTok"/>
        </w:rPr>
        <w:t xml:space="preserve">nhan_xet_bieu_do_npiq_severity_group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cột cho thấy phân bố nhóm độ nặng NPI-Q không đồng đều, trong đó nhóm trung bình và nặng chiếm ưu thế."</w:t>
      </w:r>
      <w:r>
        <w:br/>
      </w:r>
      <w:r>
        <w:rPr>
          <w:rStyle w:val="NormalTok"/>
        </w:rPr>
        <w:t xml:space="preserve">)</w:t>
      </w:r>
      <w:r>
        <w:br/>
      </w:r>
      <w:r>
        <w:rPr>
          <w:rStyle w:val="FunctionTok"/>
        </w:rPr>
        <w:t xml:space="preserve">cat</w:t>
      </w:r>
      <w:r>
        <w:rPr>
          <w:rStyle w:val="NormalTok"/>
        </w:rPr>
        <w:t xml:space="preserve">(nhan_xet_bieu_do_npiq_severity_group,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cột cho thấy phân bố nhóm độ nặng NPI-Q không đồng đều, trong đó nhóm trung bình và nặng chiếm ưu thế.</w:t>
      </w:r>
    </w:p>
    <w:p>
      <w:pPr>
        <w:pStyle w:val="SourceCode"/>
      </w:pPr>
      <w:r>
        <w:rPr>
          <w:rStyle w:val="CommentTok"/>
        </w:rPr>
        <w:t xml:space="preserve"># 📚 Bàn luận tổng điểm</w:t>
      </w:r>
      <w:r>
        <w:br/>
      </w:r>
      <w:r>
        <w:rPr>
          <w:rStyle w:val="NormalTok"/>
        </w:rPr>
        <w:t xml:space="preserve">ban_luan_npiq_severity_total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"Tổng điểm NPI-Q cao cho thấy người bệnh có nhiều triệu chứng rối loạn hành vi – tâm thần. "</w:t>
      </w:r>
      <w:r>
        <w:rPr>
          <w:rStyle w:val="NormalTok"/>
        </w:rPr>
        <w:t xml:space="preserve">,</w:t>
      </w:r>
      <w:r>
        <w:br/>
      </w:r>
      <w:r>
        <w:rPr>
          <w:rStyle w:val="NormalTok"/>
        </w:rPr>
        <w:t xml:space="preserve">  </w:t>
      </w:r>
      <w:r>
        <w:rPr>
          <w:rStyle w:val="StringTok"/>
        </w:rPr>
        <w:t xml:space="preserve">"Điều này phù hợp với các nghiên cứu trước đây về sa sút trí tuệ, trong đó triệu chứng như hoang tưởng, ảo giác, "</w:t>
      </w:r>
      <w:r>
        <w:rPr>
          <w:rStyle w:val="NormalTok"/>
        </w:rPr>
        <w:t xml:space="preserve">,</w:t>
      </w:r>
      <w:r>
        <w:br/>
      </w:r>
      <w:r>
        <w:rPr>
          <w:rStyle w:val="NormalTok"/>
        </w:rPr>
        <w:t xml:space="preserve">  </w:t>
      </w:r>
      <w:r>
        <w:rPr>
          <w:rStyle w:val="StringTok"/>
        </w:rPr>
        <w:t xml:space="preserve">"và trầm cảm thường gặp ở giai đoạn trung bình đến nặng. Cần có can thiệp sớm để giảm thiểu gánh nặng hành vi."</w:t>
      </w:r>
      <w:r>
        <w:br/>
      </w:r>
      <w:r>
        <w:rPr>
          <w:rStyle w:val="NormalTok"/>
        </w:rPr>
        <w:t xml:space="preserve">)</w:t>
      </w:r>
      <w:r>
        <w:br/>
      </w:r>
      <w:r>
        <w:rPr>
          <w:rStyle w:val="FunctionTok"/>
        </w:rPr>
        <w:t xml:space="preserve">cat</w:t>
      </w:r>
      <w:r>
        <w:rPr>
          <w:rStyle w:val="NormalTok"/>
        </w:rPr>
        <w:t xml:space="preserve">(ban_luan_npiq_severity_total,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SourceCode"/>
      </w:pPr>
      <w:r>
        <w:rPr>
          <w:rStyle w:val="CommentTok"/>
        </w:rPr>
        <w:t xml:space="preserve"># 📚 Bàn luận nhóm độ nặng</w:t>
      </w:r>
      <w:r>
        <w:br/>
      </w:r>
      <w:r>
        <w:rPr>
          <w:rStyle w:val="NormalTok"/>
        </w:rPr>
        <w:t xml:space="preserve">ban_luan_npiq_severity_group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"Phân nhóm độ nặng NPI-Q giúp phân loại rõ hơn về mức độ ảnh hưởng hành vi. "</w:t>
      </w:r>
      <w:r>
        <w:rPr>
          <w:rStyle w:val="NormalTok"/>
        </w:rPr>
        <w:t xml:space="preserve">,</w:t>
      </w:r>
      <w:r>
        <w:br/>
      </w:r>
      <w:r>
        <w:rPr>
          <w:rStyle w:val="NormalTok"/>
        </w:rPr>
        <w:t xml:space="preserve">  </w:t>
      </w:r>
      <w:r>
        <w:rPr>
          <w:rStyle w:val="StringTok"/>
        </w:rPr>
        <w:t xml:space="preserve">"Những người thuộc nhóm 'Nặng' cần đánh giá chuyên sâu và có thể cần dùng thuốc hướng thần hoặc trị liệu tâm lý. "</w:t>
      </w:r>
      <w:r>
        <w:rPr>
          <w:rStyle w:val="NormalTok"/>
        </w:rPr>
        <w:t xml:space="preserve">,</w:t>
      </w:r>
      <w:r>
        <w:br/>
      </w:r>
      <w:r>
        <w:rPr>
          <w:rStyle w:val="NormalTok"/>
        </w:rPr>
        <w:t xml:space="preserve">  </w:t>
      </w:r>
      <w:r>
        <w:rPr>
          <w:rStyle w:val="StringTok"/>
        </w:rPr>
        <w:t xml:space="preserve">"Tỷ lệ nhóm 'Trung bình – Nặng' cao là chỉ dấu quan trọng cho chiến lược hỗ trợ toàn diện."</w:t>
      </w:r>
      <w:r>
        <w:br/>
      </w:r>
      <w:r>
        <w:rPr>
          <w:rStyle w:val="NormalTok"/>
        </w:rPr>
        <w:t xml:space="preserve">)</w:t>
      </w:r>
      <w:r>
        <w:br/>
      </w:r>
      <w:r>
        <w:rPr>
          <w:rStyle w:val="FunctionTok"/>
        </w:rPr>
        <w:t xml:space="preserve">cat</w:t>
      </w:r>
      <w:r>
        <w:rPr>
          <w:rStyle w:val="NormalTok"/>
        </w:rPr>
        <w:t xml:space="preserve">(ban_luan_npiq_severity_group)</w:t>
      </w:r>
    </w:p>
    <w:p>
      <w:pPr>
        <w:pStyle w:val="FirstParagraph"/>
      </w:pPr>
      <w:r>
        <w:t xml:space="preserve">Phân nhóm độ nặng NPI-Q giúp phân loại rõ hơn về mức độ ảnh hưởng hành vi. Những người thuộc nhóm</w:t>
      </w:r>
      <w:r>
        <w:t xml:space="preserve"> </w:t>
      </w:r>
      <w:r>
        <w:t xml:space="preserve">‘Nặng’</w:t>
      </w:r>
      <w:r>
        <w:t xml:space="preserve"> </w:t>
      </w:r>
      <w:r>
        <w:t xml:space="preserve">cần đánh giá chuyên sâu và có thể cần dùng thuốc hướng thần hoặc trị liệu tâm lý. Tỷ lệ nhóm</w:t>
      </w:r>
      <w:r>
        <w:t xml:space="preserve"> </w:t>
      </w:r>
      <w:r>
        <w:t xml:space="preserve">‘Trung bình – Nặng’</w:t>
      </w:r>
      <w:r>
        <w:t xml:space="preserve"> </w:t>
      </w:r>
      <w:r>
        <w:t xml:space="preserve">cao là chỉ dấu quan trọng cho chiến lược hỗ trợ toàn diện.</w:t>
      </w:r>
    </w:p>
    <w:bookmarkEnd w:id="30"/>
    <w:bookmarkStart w:id="31" w:name="đặc-điểm-nhân-khẩu-học-người-chăm-sóc"/>
    <w:p>
      <w:pPr>
        <w:pStyle w:val="Heading2"/>
      </w:pPr>
      <w:r>
        <w:t xml:space="preserve">Đặc điểm nhân khẩu học người chăm sóc</w:t>
      </w:r>
    </w:p>
    <w:p>
      <w:pPr>
        <w:pStyle w:val="SourceCode"/>
      </w:pPr>
      <w:r>
        <w:rPr>
          <w:rStyle w:val="CommentTok"/>
        </w:rPr>
        <w:t xml:space="preserve"># 📦 Tổng hợp bảng đặc điểm người chăm sóc và nhận xét inline</w:t>
      </w:r>
      <w:r>
        <w:br/>
      </w:r>
      <w:r>
        <w:br/>
      </w:r>
      <w:r>
        <w:rPr>
          <w:rStyle w:val="CommentTok"/>
        </w:rPr>
        <w:t xml:space="preserve"># 📊 Thống kê cơ bản</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tuoi_nguoi_cham_soc,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tuoi_nguoi_cham_soc,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tong_n </w:t>
      </w:r>
      <w:r>
        <w:rPr>
          <w:rStyle w:val="OtherTok"/>
        </w:rPr>
        <w:t xml:space="preserve">&lt;-</w:t>
      </w:r>
      <w:r>
        <w:rPr>
          <w:rStyle w:val="NormalTok"/>
        </w:rPr>
        <w:t xml:space="preserve"> </w:t>
      </w:r>
      <w:r>
        <w:rPr>
          <w:rStyle w:val="FunctionTok"/>
        </w:rPr>
        <w:t xml:space="preserve">nrow</w:t>
      </w:r>
      <w:r>
        <w:rPr>
          <w:rStyle w:val="NormalTok"/>
        </w:rPr>
        <w:t xml:space="preserve">(df)</w:t>
      </w:r>
      <w:r>
        <w:br/>
      </w:r>
      <w:r>
        <w:br/>
      </w:r>
      <w:r>
        <w:rPr>
          <w:rStyle w:val="CommentTok"/>
        </w:rPr>
        <w:t xml:space="preserve"># 🎂 Nhóm tuổi</w:t>
      </w:r>
      <w:r>
        <w:br/>
      </w:r>
      <w:r>
        <w:rPr>
          <w:rStyle w:val="NormalTok"/>
        </w:rPr>
        <w:t xml:space="preserve">tbl_nhom_tuoi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(nhom_tuoi_nguoi_cham_soc)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"Nhóm tuổi người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nhom_tuoi_nguoi_cham_soc)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Giới tính</w:t>
      </w:r>
      <w:r>
        <w:br/>
      </w:r>
      <w:r>
        <w:rPr>
          <w:rStyle w:val="NormalTok"/>
        </w:rPr>
        <w:t xml:space="preserve">tbl_gioi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(gioi_tinh_nguoi_cham_soc)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"Giới tính người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gioi_tinh_nguoi_cham_soc)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rPr>
          <w:rStyle w:val="NormalTok"/>
        </w:rPr>
        <w:t xml:space="preserve">n_nam </w:t>
      </w:r>
      <w:r>
        <w:rPr>
          <w:rStyle w:val="OtherTok"/>
        </w:rPr>
        <w:t xml:space="preserve">&lt;-</w:t>
      </w:r>
      <w:r>
        <w:rPr>
          <w:rStyle w:val="NormalTok"/>
        </w:rPr>
        <w:t xml:space="preserve"> tbl_gioi</w:t>
      </w:r>
      <w:r>
        <w:rPr>
          <w:rStyle w:val="SpecialCharTok"/>
        </w:rPr>
        <w:t xml:space="preserve">$</w:t>
      </w:r>
      <w:r>
        <w:rPr>
          <w:rStyle w:val="NormalTok"/>
        </w:rPr>
        <w:t xml:space="preserve">n[tbl_gioi</w:t>
      </w:r>
      <w:r>
        <w:rPr>
          <w:rStyle w:val="SpecialCharTok"/>
        </w:rPr>
        <w:t xml:space="preserve">$</w:t>
      </w:r>
      <w:r>
        <w:rPr>
          <w:rStyle w:val="NormalTok"/>
        </w:rPr>
        <w:t xml:space="preserve">Phan_loai </w:t>
      </w:r>
      <w:r>
        <w:rPr>
          <w:rStyle w:val="SpecialCharTok"/>
        </w:rPr>
        <w:t xml:space="preserve">==</w:t>
      </w:r>
      <w:r>
        <w:rPr>
          <w:rStyle w:val="NormalTok"/>
        </w:rPr>
        <w:t xml:space="preserve"> </w:t>
      </w:r>
      <w:r>
        <w:rPr>
          <w:rStyle w:val="StringTok"/>
        </w:rPr>
        <w:t xml:space="preserve">"Nam"</w:t>
      </w:r>
      <w:r>
        <w:rPr>
          <w:rStyle w:val="NormalTok"/>
        </w:rPr>
        <w:t xml:space="preserve">]</w:t>
      </w:r>
    </w:p>
    <w:p>
      <w:pPr>
        <w:pStyle w:val="SourceCode"/>
      </w:pPr>
      <w:r>
        <w:rPr>
          <w:rStyle w:val="VerbatimChar"/>
        </w:rPr>
        <w:t xml:space="preserve">Warning: Unknown or uninitialised column: `n`.</w:t>
      </w:r>
    </w:p>
    <w:p>
      <w:pPr>
        <w:pStyle w:val="SourceCode"/>
      </w:pPr>
      <w:r>
        <w:rPr>
          <w:rStyle w:val="NormalTok"/>
        </w:rPr>
        <w:t xml:space="preserve">n_nu </w:t>
      </w:r>
      <w:r>
        <w:rPr>
          <w:rStyle w:val="OtherTok"/>
        </w:rPr>
        <w:t xml:space="preserve">&lt;-</w:t>
      </w:r>
      <w:r>
        <w:rPr>
          <w:rStyle w:val="NormalTok"/>
        </w:rPr>
        <w:t xml:space="preserve"> tbl_gioi</w:t>
      </w:r>
      <w:r>
        <w:rPr>
          <w:rStyle w:val="SpecialCharTok"/>
        </w:rPr>
        <w:t xml:space="preserve">$</w:t>
      </w:r>
      <w:r>
        <w:rPr>
          <w:rStyle w:val="NormalTok"/>
        </w:rPr>
        <w:t xml:space="preserve">n[tbl_gioi</w:t>
      </w:r>
      <w:r>
        <w:rPr>
          <w:rStyle w:val="SpecialCharTok"/>
        </w:rPr>
        <w:t xml:space="preserve">$</w:t>
      </w:r>
      <w:r>
        <w:rPr>
          <w:rStyle w:val="NormalTok"/>
        </w:rPr>
        <w:t xml:space="preserve">Phan_loai </w:t>
      </w:r>
      <w:r>
        <w:rPr>
          <w:rStyle w:val="SpecialCharTok"/>
        </w:rPr>
        <w:t xml:space="preserve">==</w:t>
      </w:r>
      <w:r>
        <w:rPr>
          <w:rStyle w:val="NormalTok"/>
        </w:rPr>
        <w:t xml:space="preserve"> </w:t>
      </w:r>
      <w:r>
        <w:rPr>
          <w:rStyle w:val="StringTok"/>
        </w:rPr>
        <w:t xml:space="preserve">"Nữ"</w:t>
      </w:r>
      <w:r>
        <w:rPr>
          <w:rStyle w:val="NormalTok"/>
        </w:rPr>
        <w:t xml:space="preserve">]</w:t>
      </w:r>
    </w:p>
    <w:p>
      <w:pPr>
        <w:pStyle w:val="SourceCode"/>
      </w:pPr>
      <w:r>
        <w:rPr>
          <w:rStyle w:val="VerbatimChar"/>
        </w:rPr>
        <w:t xml:space="preserve">Warning: Unknown or uninitialised column: `n`.</w:t>
      </w:r>
    </w:p>
    <w:p>
      <w:pPr>
        <w:pStyle w:val="SourceCode"/>
      </w:pPr>
      <w:r>
        <w:rPr>
          <w:rStyle w:val="CommentTok"/>
        </w:rPr>
        <w:t xml:space="preserve"># 🎓 Học vấn</w:t>
      </w:r>
      <w:r>
        <w:br/>
      </w:r>
      <w:r>
        <w:rPr>
          <w:rStyle w:val="NormalTok"/>
        </w:rPr>
        <w:t xml:space="preserve">tbl_hoc_van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(hoc_van)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"Trình độ học vấn"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hoc_van)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Nghề nghiệp</w:t>
      </w:r>
      <w:r>
        <w:br/>
      </w:r>
      <w:r>
        <w:rPr>
          <w:rStyle w:val="NormalTok"/>
        </w:rPr>
        <w:t xml:space="preserve">tbl_nghe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(nghe_nghiep)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"Nghề nghiệp"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nghe_nghiep)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Tình trạng hôn nhân</w:t>
      </w:r>
      <w:r>
        <w:br/>
      </w:r>
      <w:r>
        <w:rPr>
          <w:rStyle w:val="NormalTok"/>
        </w:rPr>
        <w:t xml:space="preserve">tbl_hon_nhan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(tinh_trang_hon_nhan)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"Tình trạng hôn nhân"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tinh_trang_hon_nhan)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Mối quan hệ với người bệnh</w:t>
      </w:r>
      <w:r>
        <w:br/>
      </w:r>
      <w:r>
        <w:rPr>
          <w:rStyle w:val="NormalTok"/>
        </w:rPr>
        <w:t xml:space="preserve">tbl_mqh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(moi_quan_he_voi_nguoi_benh)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"Mối quan hệ với người bệnh"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moi_quan_he_voi_nguoi_benh)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Tổng thời gian chăm sóc</w:t>
      </w:r>
      <w:r>
        <w:br/>
      </w:r>
      <w:r>
        <w:rPr>
          <w:rStyle w:val="NormalTok"/>
        </w:rPr>
        <w:t xml:space="preserve">tbl_time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(tong_thoi_gian_cham_soc_tu_luc_benh)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"Tổng thời gian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tong_thoi_gian_cham_soc_tu_luc_benh)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Thu nhập</w:t>
      </w:r>
      <w:r>
        <w:br/>
      </w:r>
      <w:r>
        <w:rPr>
          <w:rStyle w:val="NormalTok"/>
        </w:rPr>
        <w:t xml:space="preserve">tbl_tn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(lien_quan_toi_thu_nhap)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"Liên quan tới thu nhập"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lien_quan_toi_thu_nhap)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Gộp tất cả bảng lại</w:t>
      </w:r>
      <w:r>
        <w:br/>
      </w:r>
      <w:r>
        <w:rPr>
          <w:rStyle w:val="NormalTok"/>
        </w:rPr>
        <w:t xml:space="preserve">tbl_dac_diem_ng_cham_soc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tbl_nhom_tuoi, tbl_gioi, tbl_hoc_van, tbl_nghe,</w:t>
      </w:r>
      <w:r>
        <w:br/>
      </w:r>
      <w:r>
        <w:rPr>
          <w:rStyle w:val="NormalTok"/>
        </w:rPr>
        <w:t xml:space="preserve">  tbl_hon_nhan, tbl_mqh, tbl_time, tbl_tn</w:t>
      </w:r>
      <w:r>
        <w:br/>
      </w:r>
      <w:r>
        <w:rPr>
          <w:rStyle w:val="NormalTok"/>
        </w:rPr>
        <w:t xml:space="preserve">)</w:t>
      </w:r>
      <w:r>
        <w:br/>
      </w:r>
      <w:r>
        <w:br/>
      </w:r>
      <w:r>
        <w:rPr>
          <w:rStyle w:val="CommentTok"/>
        </w:rPr>
        <w:t xml:space="preserve"># 🧾 Tạo bảng flextable đẹp</w:t>
      </w:r>
      <w:r>
        <w:br/>
      </w:r>
      <w:r>
        <w:rPr>
          <w:rStyle w:val="NormalTok"/>
        </w:rPr>
        <w:t xml:space="preserve">ft_dac_diem_ng_cham_soc </w:t>
      </w:r>
      <w:r>
        <w:rPr>
          <w:rStyle w:val="OtherTok"/>
        </w:rPr>
        <w:t xml:space="preserve">&lt;-</w:t>
      </w:r>
      <w:r>
        <w:rPr>
          <w:rStyle w:val="NormalTok"/>
        </w:rPr>
        <w:t xml:space="preserve"> </w:t>
      </w:r>
      <w:r>
        <w:rPr>
          <w:rStyle w:val="FunctionTok"/>
        </w:rPr>
        <w:t xml:space="preserve">flextable</w:t>
      </w:r>
      <w:r>
        <w:rPr>
          <w:rStyle w:val="NormalTok"/>
        </w:rPr>
        <w:t xml:space="preserve">(tbl_dac_diem_ng_cham_soc) </w:t>
      </w:r>
      <w:r>
        <w:rPr>
          <w:rStyle w:val="SpecialCharTok"/>
        </w:rPr>
        <w:t xml:space="preserve">%&gt;%</w:t>
      </w:r>
      <w:r>
        <w:br/>
      </w:r>
      <w:r>
        <w:rPr>
          <w:rStyle w:val="NormalTok"/>
        </w:rPr>
        <w:t xml:space="preserve">  </w:t>
      </w:r>
      <w:r>
        <w:rPr>
          <w:rStyle w:val="FunctionTok"/>
        </w:rPr>
        <w:t xml:space="preserve">merge_v</w:t>
      </w:r>
      <w:r>
        <w:rPr>
          <w:rStyle w:val="NormalTok"/>
        </w:rPr>
        <w:t xml:space="preserve">(</w:t>
      </w:r>
      <w:r>
        <w:rPr>
          <w:rStyle w:val="AttributeTok"/>
        </w:rPr>
        <w:t xml:space="preserve">j =</w:t>
      </w:r>
      <w:r>
        <w:rPr>
          <w:rStyle w:val="NormalTok"/>
        </w:rPr>
        <w:t xml:space="preserve"> </w:t>
      </w:r>
      <w:r>
        <w:rPr>
          <w:rStyle w:val="StringTok"/>
        </w:rPr>
        <w:t xml:space="preserve">"Bien"</w:t>
      </w:r>
      <w:r>
        <w:rPr>
          <w:rStyle w:val="NormalTok"/>
        </w:rPr>
        <w:t xml:space="preserve">) </w:t>
      </w:r>
      <w:r>
        <w:rPr>
          <w:rStyle w:val="SpecialCharTok"/>
        </w:rPr>
        <w:t xml:space="preserve">%&gt;%</w:t>
      </w:r>
      <w:r>
        <w:br/>
      </w:r>
      <w:r>
        <w:rPr>
          <w:rStyle w:val="NormalTok"/>
        </w:rPr>
        <w:t xml:space="preserve">  </w:t>
      </w:r>
      <w:r>
        <w:rPr>
          <w:rStyle w:val="FunctionTok"/>
        </w:rPr>
        <w:t xml:space="preserve">valign</w:t>
      </w:r>
      <w:r>
        <w:rPr>
          <w:rStyle w:val="NormalTok"/>
        </w:rPr>
        <w:t xml:space="preserve">(</w:t>
      </w:r>
      <w:r>
        <w:rPr>
          <w:rStyle w:val="AttributeTok"/>
        </w:rPr>
        <w:t xml:space="preserve">j =</w:t>
      </w:r>
      <w:r>
        <w:rPr>
          <w:rStyle w:val="NormalTok"/>
        </w:rPr>
        <w:t xml:space="preserve"> </w:t>
      </w:r>
      <w:r>
        <w:rPr>
          <w:rStyle w:val="StringTok"/>
        </w:rPr>
        <w:t xml:space="preserve">"Bien"</w:t>
      </w:r>
      <w:r>
        <w:rPr>
          <w:rStyle w:val="NormalTok"/>
        </w:rPr>
        <w:t xml:space="preserve">, </w:t>
      </w:r>
      <w:r>
        <w:rPr>
          <w:rStyle w:val="AttributeTok"/>
        </w:rPr>
        <w:t xml:space="preserve">valign =</w:t>
      </w:r>
      <w:r>
        <w:rPr>
          <w:rStyle w:val="NormalTok"/>
        </w:rPr>
        <w:t xml:space="preserve"> </w:t>
      </w:r>
      <w:r>
        <w:rPr>
          <w:rStyle w:val="StringTok"/>
        </w:rPr>
        <w:t xml:space="preserve">"top"</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Bien =</w:t>
      </w:r>
      <w:r>
        <w:rPr>
          <w:rStyle w:val="NormalTok"/>
        </w:rPr>
        <w:t xml:space="preserve"> </w:t>
      </w:r>
      <w:r>
        <w:rPr>
          <w:rStyle w:val="StringTok"/>
        </w:rPr>
        <w:t xml:space="preserve">"Đặc điểm"</w:t>
      </w:r>
      <w:r>
        <w:rPr>
          <w:rStyle w:val="NormalTok"/>
        </w:rPr>
        <w:t xml:space="preserve">, </w:t>
      </w:r>
      <w:r>
        <w:rPr>
          <w:rStyle w:val="AttributeTok"/>
        </w:rPr>
        <w:t xml:space="preserve">Phan_loai =</w:t>
      </w:r>
      <w:r>
        <w:rPr>
          <w:rStyle w:val="NormalTok"/>
        </w:rPr>
        <w:t xml:space="preserve"> </w:t>
      </w:r>
      <w:r>
        <w:rPr>
          <w:rStyle w:val="StringTok"/>
        </w:rPr>
        <w:t xml:space="preserve">"Phân loại"</w:t>
      </w:r>
      <w:r>
        <w:rPr>
          <w:rStyle w:val="NormalTok"/>
        </w:rPr>
        <w:t xml:space="preserve">, </w:t>
      </w:r>
      <w:r>
        <w:rPr>
          <w:rStyle w:val="AttributeTok"/>
        </w:rPr>
        <w:t xml:space="preserve">Gia_tri =</w:t>
      </w:r>
      <w:r>
        <w:rPr>
          <w:rStyle w:val="NormalTok"/>
        </w:rPr>
        <w:t xml:space="preserve"> </w:t>
      </w:r>
      <w:r>
        <w:rPr>
          <w:rStyle w:val="StringTok"/>
        </w:rPr>
        <w:t xml:space="preserve">"Giá trị"</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người chăm sóc người bệnh sa sút trí tuệ"</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Nhận xét dạng đoạn văn</w:t>
      </w:r>
      <w:r>
        <w:br/>
      </w:r>
      <w:r>
        <w:rPr>
          <w:rStyle w:val="CommentTok"/>
        </w:rPr>
        <w:t xml:space="preserve"># ✏️ Nhận xét đầy đủ (dùng glue_collapse để nối chuỗi)</w:t>
      </w:r>
      <w:r>
        <w:br/>
      </w:r>
      <w:r>
        <w:rPr>
          <w:rStyle w:val="NormalTok"/>
        </w:rPr>
        <w:t xml:space="preserve">nhan_xet_dac_diem_nguoi_cham_soc </w:t>
      </w:r>
      <w:r>
        <w:rPr>
          <w:rStyle w:val="OtherTok"/>
        </w:rPr>
        <w:t xml:space="preserve">&lt;-</w:t>
      </w:r>
      <w:r>
        <w:rPr>
          <w:rStyle w:val="NormalTok"/>
        </w:rPr>
        <w:t xml:space="preserve"> glue</w:t>
      </w:r>
      <w:r>
        <w:rPr>
          <w:rStyle w:val="SpecialCharTok"/>
        </w:rPr>
        <w:t xml:space="preserve">::</w:t>
      </w:r>
      <w:r>
        <w:rPr>
          <w:rStyle w:val="FunctionTok"/>
        </w:rPr>
        <w:t xml:space="preserve">glue_collapse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"Tuổi trung bình của người chăm sóc là {tuoi_tb} ± {tuoi_sd} tuổi, cho thấy đa phần thuộc nhóm trung niên – cao tuổi, vốn thường là cha mẹ hoặc con cái lớn tuổi của người bệnh."</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"Về giới tính, trong tổng số {tong_n} người chăm sóc, có {n_nam} nam giới (chiếm khoảng {round(n_nam/tong_n*100, 1)}%) và {n_nu} nữ giới (chiếm {round(n_nu/tong_n*100, 1)}%), phản ánh thực tế phụ nữ thường đảm nhiệm vai trò chăm sóc trong gia đình tại Việt Nam."</w:t>
      </w:r>
      <w:r>
        <w:rPr>
          <w:rStyle w:val="NormalTok"/>
        </w:rPr>
        <w:t xml:space="preserve">),</w:t>
      </w:r>
      <w:r>
        <w:br/>
      </w:r>
      <w:r>
        <w:rPr>
          <w:rStyle w:val="NormalTok"/>
        </w:rPr>
        <w:t xml:space="preserve">  </w:t>
      </w:r>
      <w:r>
        <w:rPr>
          <w:rStyle w:val="StringTok"/>
        </w:rPr>
        <w:t xml:space="preserve">"Tỷ lệ người có trình độ tiểu học và trung học chiếm ưu thế cho thấy cần xây dựng các tài liệu hỗ trợ đơn giản, dễ hiểu, đặc biệt nếu triển khai tại cộng đồng."</w:t>
      </w:r>
      <w:r>
        <w:rPr>
          <w:rStyle w:val="NormalTok"/>
        </w:rPr>
        <w:t xml:space="preserve">,</w:t>
      </w:r>
      <w:r>
        <w:br/>
      </w:r>
      <w:r>
        <w:rPr>
          <w:rStyle w:val="NormalTok"/>
        </w:rPr>
        <w:t xml:space="preserve">  </w:t>
      </w:r>
      <w:r>
        <w:rPr>
          <w:rStyle w:val="StringTok"/>
        </w:rPr>
        <w:t xml:space="preserve">"Nghề nghiệp của người chăm sóc chủ yếu là nội trợ và lao động phổ thông – đây là nhóm dễ bị tổn thương cả về kinh tế lẫn tinh thần khi chăm sóc kéo dài."</w:t>
      </w:r>
      <w:r>
        <w:rPr>
          <w:rStyle w:val="NormalTok"/>
        </w:rPr>
        <w:t xml:space="preserve">,</w:t>
      </w:r>
      <w:r>
        <w:br/>
      </w:r>
      <w:r>
        <w:rPr>
          <w:rStyle w:val="NormalTok"/>
        </w:rPr>
        <w:t xml:space="preserve">  </w:t>
      </w:r>
      <w:r>
        <w:rPr>
          <w:rStyle w:val="StringTok"/>
        </w:rPr>
        <w:t xml:space="preserve">"Tình trạng hôn nhân và mối quan hệ với người bệnh phần lớn là kết hôn và quan hệ ruột thịt, điều này có thể làm tăng sự gắn bó nhưng cũng làm tăng cảm xúc tiêu cực nếu bệnh tiến triển nặng."</w:t>
      </w:r>
      <w:r>
        <w:rPr>
          <w:rStyle w:val="NormalTok"/>
        </w:rPr>
        <w:t xml:space="preserve">,</w:t>
      </w:r>
      <w:r>
        <w:br/>
      </w:r>
      <w:r>
        <w:rPr>
          <w:rStyle w:val="NormalTok"/>
        </w:rPr>
        <w:t xml:space="preserve">  </w:t>
      </w:r>
      <w:r>
        <w:rPr>
          <w:rStyle w:val="StringTok"/>
        </w:rPr>
        <w:t xml:space="preserve">"Tổng thời gian chăm sóc phổ biến nhất là từ 1 đến 5 năm, và đáng chú ý có nhiều trường hợp kéo dài trên 5 năm, đặt ra yêu cầu hỗ trợ lâu dài."</w:t>
      </w:r>
      <w:r>
        <w:rPr>
          <w:rStyle w:val="NormalTok"/>
        </w:rPr>
        <w:t xml:space="preserve">,</w:t>
      </w:r>
      <w:r>
        <w:br/>
      </w:r>
      <w:r>
        <w:rPr>
          <w:rStyle w:val="NormalTok"/>
        </w:rPr>
        <w:t xml:space="preserve">  </w:t>
      </w:r>
      <w:r>
        <w:rPr>
          <w:rStyle w:val="StringTok"/>
        </w:rPr>
        <w:t xml:space="preserve">"Thu nhập phần lớn dưới 10 triệu đồng/tháng, điều này củng cố nhận định rằng gánh nặng tài chính là một yếu tố cần được đặc biệt quan tâm trong các chính sách hỗ trợ người chăm sóc."</w:t>
      </w:r>
      <w:r>
        <w:rPr>
          <w:rStyle w:val="NormalTok"/>
        </w:rPr>
        <w:t xml:space="preserve">,</w:t>
      </w:r>
      <w:r>
        <w:br/>
      </w:r>
      <w:r>
        <w:rPr>
          <w:rStyle w:val="NormalTok"/>
        </w:rPr>
        <w:t xml:space="preserve">  </w:t>
      </w:r>
      <w:r>
        <w:rPr>
          <w:rStyle w:val="StringTok"/>
        </w:rPr>
        <w:t xml:space="preserve">"Từ những số liệu trên, tôi cho rằng nên sớm xây dựng các chương trình can thiệp tâm lý – xã hội và đào tạo kiến thức phù hợp với trình độ, hoàn cảnh của người chăm sóc, đồng thời có chính sách hỗ trợ tài chính cụ thể tại các địa phương."</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31"/>
    <w:bookmarkEnd w:id="32"/>
    <w:bookmarkStart w:id="33"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33"/>
    <w:bookmarkStart w:id="61" w:name="kết-quả-nghiên-cứu"/>
    <w:p>
      <w:pPr>
        <w:pStyle w:val="Heading1"/>
      </w:pPr>
      <w:r>
        <w:t xml:space="preserve">KẾT QUẢ NGHIÊN CỨU</w:t>
      </w:r>
    </w:p>
    <w:bookmarkStart w:id="35"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34"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34"/>
    <w:bookmarkEnd w:id="35"/>
    <w:bookmarkStart w:id="41"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39"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BodyText"/>
      </w:pPr>
      <w:r>
        <w:drawing>
          <wp:inline>
            <wp:extent cx="4587290" cy="2834945"/>
            <wp:effectExtent b="0" l="0" r="0" t="0"/>
            <wp:docPr descr="" title="" id="37" name="Picture"/>
            <a:graphic>
              <a:graphicData uri="http://schemas.openxmlformats.org/drawingml/2006/picture">
                <pic:pic>
                  <pic:nvPicPr>
                    <pic:cNvPr descr="lang_pro_quarto_output_files/figure-docx/unnamed-chunk-12-1.png" id="38" name="Picture"/>
                    <pic:cNvPicPr>
                      <a:picLocks noChangeArrowheads="1" noChangeAspect="1"/>
                    </pic:cNvPicPr>
                  </pic:nvPicPr>
                  <pic:blipFill>
                    <a:blip r:embed="rId36"/>
                    <a:stretch>
                      <a:fillRect/>
                    </a:stretch>
                  </pic:blipFill>
                  <pic:spPr bwMode="auto">
                    <a:xfrm>
                      <a:off x="0" y="0"/>
                      <a:ext cx="4587290" cy="2834945"/>
                    </a:xfrm>
                    <a:prstGeom prst="rect">
                      <a:avLst/>
                    </a:prstGeom>
                    <a:noFill/>
                    <a:ln w="9525">
                      <a:noFill/>
                      <a:headEnd/>
                      <a:tailEnd/>
                    </a:ln>
                  </pic:spPr>
                </pic:pic>
              </a:graphicData>
            </a:graphic>
          </wp:inline>
        </w:drawing>
      </w:r>
    </w:p>
    <w:bookmarkEnd w:id="39"/>
    <w:bookmarkStart w:id="40"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40"/>
    <w:bookmarkEnd w:id="41"/>
    <w:bookmarkStart w:id="47" w:name="đặc-điểm-fast"/>
    <w:p>
      <w:pPr>
        <w:pStyle w:val="Heading2"/>
      </w:pPr>
      <w:r>
        <w:t xml:space="preserve">Đặc điểm fast</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 FAST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Số lượng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Tỷ lệ (%)</w:t>
            </w:r>
          </w:p>
        </w:tc>
      </w:tr>
      <w:tr>
        <w:trPr>
          <w:trHeight w:val="52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Bình thường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5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Sớm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5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r>
      <w:tr>
        <w:trPr>
          <w:trHeight w:val="52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r>
      <w:tr>
        <w:trPr>
          <w:trHeight w:val="5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Nặng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Rất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bl>
    <w:bookmarkStart w:id="45" w:name="X6f5a9b4b89c43881d40ea9ab7421dda30055a79"/>
    <w:p>
      <w:pPr>
        <w:pStyle w:val="Heading5"/>
      </w:pPr>
      <w:r>
        <w:rPr>
          <w:b/>
          <w:bCs/>
        </w:rPr>
        <w:t xml:space="preserve">Nhận xét bảng:</w:t>
      </w:r>
      <w:r>
        <w:t xml:space="preserve"> </w:t>
      </w:r>
      <w:r>
        <w:t xml:space="preserve">Nhóm phổ biến nhất là</w:t>
      </w:r>
      <w:r>
        <w:t xml:space="preserve"> </w:t>
      </w:r>
      <w:r>
        <w:t xml:space="preserve">‘Nhẹ’</w:t>
      </w:r>
      <w:r>
        <w:t xml:space="preserve"> </w:t>
      </w:r>
      <w:r>
        <w:t xml:space="preserve">với 9 người (27,3%). Nhóm thấp nhất là</w:t>
      </w:r>
      <w:r>
        <w:t xml:space="preserve"> </w:t>
      </w:r>
      <w:r>
        <w:t xml:space="preserve">‘Trung bình’</w:t>
      </w:r>
      <w:r>
        <w:t xml:space="preserve"> </w:t>
      </w:r>
      <w:r>
        <w:t xml:space="preserve">với 3 người.</w:t>
      </w:r>
    </w:p>
    <w:p>
      <w:pPr>
        <w:pStyle w:val="FirstParagraph"/>
      </w:pPr>
      <w:r>
        <w:t xml:space="preserve">Biểu đồ</w:t>
      </w:r>
    </w:p>
    <w:p>
      <w:pPr>
        <w:pStyle w:val="BodyText"/>
      </w:pPr>
      <w:r>
        <w:drawing>
          <wp:inline>
            <wp:extent cx="4587290" cy="2834945"/>
            <wp:effectExtent b="0" l="0" r="0" t="0"/>
            <wp:docPr descr="" title="" id="43" name="Picture"/>
            <a:graphic>
              <a:graphicData uri="http://schemas.openxmlformats.org/drawingml/2006/picture">
                <pic:pic>
                  <pic:nvPicPr>
                    <pic:cNvPr descr="lang_pro_quarto_output_files/figure-docx/unnamed-chunk-14-1.png" id="44" name="Picture"/>
                    <pic:cNvPicPr>
                      <a:picLocks noChangeArrowheads="1" noChangeAspect="1"/>
                    </pic:cNvPicPr>
                  </pic:nvPicPr>
                  <pic:blipFill>
                    <a:blip r:embed="rId42"/>
                    <a:stretch>
                      <a:fillRect/>
                    </a:stretch>
                  </pic:blipFill>
                  <pic:spPr bwMode="auto">
                    <a:xfrm>
                      <a:off x="0" y="0"/>
                      <a:ext cx="4587290" cy="2834945"/>
                    </a:xfrm>
                    <a:prstGeom prst="rect">
                      <a:avLst/>
                    </a:prstGeom>
                    <a:noFill/>
                    <a:ln w="9525">
                      <a:noFill/>
                      <a:headEnd/>
                      <a:tailEnd/>
                    </a:ln>
                  </pic:spPr>
                </pic:pic>
              </a:graphicData>
            </a:graphic>
          </wp:inline>
        </w:drawing>
      </w:r>
    </w:p>
    <w:bookmarkEnd w:id="45"/>
    <w:bookmarkStart w:id="46" w:name="Xae85aaded9d160672fcd1de1cdabc72781d34e3"/>
    <w:p>
      <w:pPr>
        <w:pStyle w:val="Heading5"/>
      </w:pPr>
      <w:r>
        <w:t xml:space="preserve">Biểu đồ phản ánh rõ sự phân tầng theo mức độ sa sút trí tuệ, trong đó các nhóm</w:t>
      </w:r>
      <w:r>
        <w:t xml:space="preserve"> </w:t>
      </w:r>
      <w:r>
        <w:t xml:space="preserve">‘Nhẹ’</w:t>
      </w:r>
      <w:r>
        <w:t xml:space="preserve"> </w:t>
      </w:r>
      <w:r>
        <w:t xml:space="preserve">và</w:t>
      </w:r>
      <w:r>
        <w:t xml:space="preserve"> </w:t>
      </w:r>
      <w:r>
        <w:t xml:space="preserve">‘Trung bình’</w:t>
      </w:r>
      <w:r>
        <w:t xml:space="preserve"> </w:t>
      </w:r>
      <w:r>
        <w:t xml:space="preserve">chiếm tỷ lệ cao nhất.</w:t>
      </w:r>
    </w:p>
    <w:bookmarkEnd w:id="46"/>
    <w:bookmarkEnd w:id="47"/>
    <w:bookmarkStart w:id="58" w:name="đặc-điển-npi-q"/>
    <w:p>
      <w:pPr>
        <w:pStyle w:val="Heading2"/>
      </w:pPr>
      <w:r>
        <w:t xml:space="preserve">Đặc điển NPI-Q</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bl>
    <w:bookmarkStart w:id="51" w:name="Xd10f4cf6e98db48383fc5ec0dc84c3c213f910b"/>
    <w:p>
      <w:pPr>
        <w:pStyle w:val="Heading5"/>
      </w:pPr>
      <w:r>
        <w:rPr>
          <w:b/>
          <w:bCs/>
        </w:rPr>
        <w:t xml:space="preserve">Nhận xét:</w:t>
      </w:r>
      <w:r>
        <w:t xml:space="preserve"> </w:t>
      </w:r>
      <w:r>
        <w:t xml:space="preserve">Tổng điểm NPI-Q trung bình là 18,1 ± 6,5, trung vị 20, từ 0 đến 24, tứ phân vị từ 17 – 21.</w:t>
      </w:r>
    </w:p>
    <w:p>
      <w:pPr>
        <w:pStyle w:val="FirstParagraph"/>
      </w:pPr>
      <w:r>
        <w:t xml:space="preserve">Biểu đồ</w:t>
      </w:r>
    </w:p>
    <w:p>
      <w:pPr>
        <w:pStyle w:val="BodyText"/>
      </w:pPr>
      <w:r>
        <w:drawing>
          <wp:inline>
            <wp:extent cx="4587290" cy="2834945"/>
            <wp:effectExtent b="0" l="0" r="0" t="0"/>
            <wp:docPr descr="" title="" id="49" name="Picture"/>
            <a:graphic>
              <a:graphicData uri="http://schemas.openxmlformats.org/drawingml/2006/picture">
                <pic:pic>
                  <pic:nvPicPr>
                    <pic:cNvPr descr="lang_pro_quarto_output_files/figure-docx/unnamed-chunk-16-1.png" id="50" name="Picture"/>
                    <pic:cNvPicPr>
                      <a:picLocks noChangeArrowheads="1" noChangeAspect="1"/>
                    </pic:cNvPicPr>
                  </pic:nvPicPr>
                  <pic:blipFill>
                    <a:blip r:embed="rId48"/>
                    <a:stretch>
                      <a:fillRect/>
                    </a:stretch>
                  </pic:blipFill>
                  <pic:spPr bwMode="auto">
                    <a:xfrm>
                      <a:off x="0" y="0"/>
                      <a:ext cx="4587290" cy="2834945"/>
                    </a:xfrm>
                    <a:prstGeom prst="rect">
                      <a:avLst/>
                    </a:prstGeom>
                    <a:noFill/>
                    <a:ln w="9525">
                      <a:noFill/>
                      <a:headEnd/>
                      <a:tailEnd/>
                    </a:ln>
                  </pic:spPr>
                </pic:pic>
              </a:graphicData>
            </a:graphic>
          </wp:inline>
        </w:drawing>
      </w:r>
    </w:p>
    <w:bookmarkEnd w:id="51"/>
    <w:bookmarkStart w:id="52" w:name="Xff013ca187968524cc1071052886f4a5c23ff98"/>
    <w:p>
      <w:pPr>
        <w:pStyle w:val="Heading5"/>
      </w:pPr>
      <w:r>
        <w:t xml:space="preserve">Biểu đồ cho thấy tổng điểm NPI-Q có xu hướng tập trung nhiều ở khoảng trung bình đến cao, phản ánh người bệnh có biểu hiện hành vi thần kinh đa dạng.</w:t>
      </w:r>
    </w:p>
    <w:p>
      <w:pPr>
        <w:pStyle w:val="FirstParagraph"/>
      </w:pPr>
      <w:r>
        <w:t xml:space="preserve">Bảng flextable nhóm độ nặng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(81,8%)</w:t>
            </w:r>
          </w:p>
        </w:tc>
      </w:tr>
    </w:tbl>
    <w:bookmarkEnd w:id="52"/>
    <w:bookmarkStart w:id="56" w:name="X435be92cb884d7b33644dff3722be4ec476e84f"/>
    <w:p>
      <w:pPr>
        <w:pStyle w:val="Heading5"/>
      </w:pPr>
      <w:r>
        <w:t xml:space="preserve">Mức độ phổ biến nhất là</w:t>
      </w:r>
      <w:r>
        <w:t xml:space="preserve"> </w:t>
      </w:r>
      <w:r>
        <w:rPr>
          <w:b/>
          <w:bCs/>
        </w:rPr>
        <w:t xml:space="preserve">Không hoặc rất nhẹ</w:t>
      </w:r>
      <w:r>
        <w:t xml:space="preserve">, chiếm tỷ lệ 3 (9,1%).</w:t>
      </w:r>
    </w:p>
    <w:p>
      <w:pPr>
        <w:pStyle w:val="FirstParagraph"/>
      </w:pPr>
      <w:r>
        <w:t xml:space="preserve">Biểu đồ bar nhóm độ nặng</w:t>
      </w:r>
    </w:p>
    <w:p>
      <w:pPr>
        <w:pStyle w:val="BodyText"/>
      </w:pPr>
      <w:r>
        <w:drawing>
          <wp:inline>
            <wp:extent cx="4587290" cy="2834945"/>
            <wp:effectExtent b="0" l="0" r="0" t="0"/>
            <wp:docPr descr="" title="" id="54" name="Picture"/>
            <a:graphic>
              <a:graphicData uri="http://schemas.openxmlformats.org/drawingml/2006/picture">
                <pic:pic>
                  <pic:nvPicPr>
                    <pic:cNvPr descr="lang_pro_quarto_output_files/figure-docx/unnamed-chunk-18-1.png" id="55" name="Picture"/>
                    <pic:cNvPicPr>
                      <a:picLocks noChangeArrowheads="1" noChangeAspect="1"/>
                    </pic:cNvPicPr>
                  </pic:nvPicPr>
                  <pic:blipFill>
                    <a:blip r:embed="rId53"/>
                    <a:stretch>
                      <a:fillRect/>
                    </a:stretch>
                  </pic:blipFill>
                  <pic:spPr bwMode="auto">
                    <a:xfrm>
                      <a:off x="0" y="0"/>
                      <a:ext cx="4587290" cy="2834945"/>
                    </a:xfrm>
                    <a:prstGeom prst="rect">
                      <a:avLst/>
                    </a:prstGeom>
                    <a:noFill/>
                    <a:ln w="9525">
                      <a:noFill/>
                      <a:headEnd/>
                      <a:tailEnd/>
                    </a:ln>
                  </pic:spPr>
                </pic:pic>
              </a:graphicData>
            </a:graphic>
          </wp:inline>
        </w:drawing>
      </w:r>
    </w:p>
    <w:bookmarkEnd w:id="56"/>
    <w:bookmarkStart w:id="57" w:name="X8e6dd147c2f9dbbae245e8ef507bb0e4195025e"/>
    <w:p>
      <w:pPr>
        <w:pStyle w:val="Heading5"/>
      </w:pPr>
      <w:r>
        <w:t xml:space="preserve">Biểu đồ cột cho thấy phân bố nhóm độ nặng NPI-Q không đồng đều, trong đó nhóm trung bình và nặng chiếm ưu thế.</w:t>
      </w:r>
    </w:p>
    <w:bookmarkEnd w:id="57"/>
    <w:bookmarkEnd w:id="58"/>
    <w:bookmarkStart w:id="60" w:name="đặc-diểm-nhân-khẩu-người-chăm-sóc"/>
    <w:p>
      <w:pPr>
        <w:pStyle w:val="Heading2"/>
      </w:pPr>
      <w:r>
        <w:t xml:space="preserve">Đặc diểm nhân khẩu người chăm sóc</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Giá trị</w:t>
            </w:r>
          </w:p>
        </w:tc>
      </w:tr>
      <w:tr>
        <w:trPr>
          <w:trHeight w:val="548"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Nhóm tuổi người chăm sóc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(45,5%)</w:t>
            </w:r>
          </w:p>
        </w:tc>
      </w:tr>
      <w:tr>
        <w:trPr>
          <w:trHeight w:val="548"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(27,3%)</w:t>
            </w:r>
          </w:p>
        </w:tc>
      </w:tr>
      <w:tr>
        <w:trPr>
          <w:trHeight w:val="548"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(27,3%)</w:t>
            </w:r>
          </w:p>
        </w:tc>
      </w:tr>
      <w:tr>
        <w:trPr>
          <w:trHeight w:val="504"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 người chăm sóc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(42,4%)</w:t>
            </w:r>
          </w:p>
        </w:tc>
      </w:tr>
      <w:tr>
        <w:trPr>
          <w:trHeight w:val="504"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(57,6%)</w:t>
            </w:r>
          </w:p>
        </w:tc>
      </w:tr>
      <w:tr>
        <w:trPr>
          <w:trHeight w:val="537"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(24,2%)</w:t>
            </w:r>
          </w:p>
        </w:tc>
      </w:tr>
      <w:tr>
        <w:trPr>
          <w:trHeight w:val="548"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Cao đẳng/Đại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(54,5%)</w:t>
            </w:r>
          </w:p>
        </w:tc>
      </w:tr>
      <w:tr>
        <w:trPr>
          <w:trHeight w:val="537"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Sau 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(21,2%)</w:t>
            </w:r>
          </w:p>
        </w:tc>
      </w:tr>
      <w:tr>
        <w:trPr>
          <w:trHeight w:val="548"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Nghề nghiệp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Nội trợ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(9,1%)</w:t>
            </w:r>
          </w:p>
        </w:tc>
      </w:tr>
      <w:tr>
        <w:trPr>
          <w:trHeight w:val="548"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Lao động văn phòng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(36,4%)</w:t>
            </w:r>
          </w:p>
        </w:tc>
      </w:tr>
      <w:tr>
        <w:trPr>
          <w:trHeight w:val="548"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Lao động tay chân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(12,1%)</w:t>
            </w:r>
          </w:p>
        </w:tc>
      </w:tr>
      <w:tr>
        <w:trPr>
          <w:trHeight w:val="548"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48"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Nghỉ hưu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(39,4%)</w:t>
            </w:r>
          </w:p>
        </w:tc>
      </w:tr>
      <w:tr>
        <w:trPr>
          <w:trHeight w:val="504"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Độc thân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(30,3%)</w:t>
            </w:r>
          </w:p>
        </w:tc>
      </w:tr>
      <w:tr>
        <w:trPr>
          <w:trHeight w:val="504"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Kết hôn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 (69,7%)</w:t>
            </w:r>
          </w:p>
        </w:tc>
      </w:tr>
      <w:tr>
        <w:trPr>
          <w:trHeight w:val="548"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Mối quan hệ với người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Vợ chồng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(42,4%)</w:t>
            </w:r>
          </w:p>
        </w:tc>
      </w:tr>
      <w:tr>
        <w:trPr>
          <w:trHeight w:val="548"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 ruột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(48,5%)</w:t>
            </w:r>
          </w:p>
        </w:tc>
      </w:tr>
      <w:tr>
        <w:trPr>
          <w:trHeight w:val="548"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Giúp việc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48"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Khác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(6,1%)</w:t>
            </w:r>
          </w:p>
        </w:tc>
      </w:tr>
      <w:tr>
        <w:trPr>
          <w:trHeight w:val="548"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Tổng thời gian chăm sóc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 – 1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(24,2%)</w:t>
            </w:r>
          </w:p>
        </w:tc>
      </w:tr>
      <w:tr>
        <w:trPr>
          <w:trHeight w:val="548"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5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(51,5%)</w:t>
            </w:r>
          </w:p>
        </w:tc>
      </w:tr>
      <w:tr>
        <w:trPr>
          <w:trHeight w:val="548"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&gt;5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(21,2%)</w:t>
            </w:r>
          </w:p>
        </w:tc>
      </w:tr>
      <w:tr>
        <w:trPr>
          <w:trHeight w:val="548"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04" w:hRule="auto"/>
        </w:trPr>
        body24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Liên quan tới thu nhập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 triệu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(9,1%)</w:t>
            </w:r>
          </w:p>
        </w:tc>
      </w:tr>
      <w:tr>
        <w:trPr>
          <w:trHeight w:val="504" w:hRule="auto"/>
        </w:trPr>
        body25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&gt;10 triệu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 (90,9%)</w:t>
            </w:r>
          </w:p>
        </w:tc>
      </w:tr>
    </w:tbl>
    <w:bookmarkStart w:id="59" w:name="X60d5371a73d1f8c1d720d15f03eeec8021172eb"/>
    <w:p>
      <w:pPr>
        <w:pStyle w:val="Heading5"/>
      </w:pPr>
      <w:r>
        <w:t xml:space="preserve">Tuổi trung bình của người chăm sóc là 51,2 ± 18,2 tuổi, cho thấy đa phần thuộc nhóm trung niên – cao tuổi, vốn thường là cha mẹ hoặc con cái lớn tuổi của người bệnh. Tỷ lệ người có trình độ tiểu học và trung học chiếm ưu thế cho thấy cần xây dựng các tài liệu hỗ trợ đơn giản, dễ hiểu, đặc biệt nếu triển khai tại cộng đồng. Nghề nghiệp của người chăm sóc chủ yếu là nội trợ và lao động phổ thông – đây là nhóm dễ bị tổn thương cả về kinh tế lẫn tinh thần khi chăm sóc kéo dài. Tình trạng hôn nhân và mối quan hệ với người bệnh phần lớn là kết hôn và quan hệ ruột thịt, điều này có thể làm tăng sự gắn bó nhưng cũng làm tăng cảm xúc tiêu cực nếu bệnh tiến triển nặng. Tổng thời gian chăm sóc phổ biến nhất là từ 1 đến 5 năm, và đáng chú ý có nhiều trường hợp kéo dài trên 5 năm, đặt ra yêu cầu hỗ trợ lâu dài. Thu nhập phần lớn dưới 10 triệu đồng/tháng, điều này củng cố nhận định rằng gánh nặng tài chính là một yếu tố cần được đặc biệt quan tâm trong các chính sách hỗ trợ người chăm sóc. Từ những số liệu trên, tôi cho rằng nên sớm xây dựng các chương trình can thiệp tâm lý – xã hội và đào tạo kiến thức phù hợp với trình độ, hoàn cảnh của người chăm sóc, đồng thời có chính sách hỗ trợ tài chính cụ thể tại các địa phương.</w:t>
      </w:r>
    </w:p>
    <w:bookmarkEnd w:id="59"/>
    <w:bookmarkEnd w:id="60"/>
    <w:bookmarkEnd w:id="61"/>
    <w:bookmarkStart w:id="138" w:name="bàn-luận"/>
    <w:p>
      <w:pPr>
        <w:pStyle w:val="Heading1"/>
      </w:pPr>
      <w:r>
        <w:t xml:space="preserve">BÀN LUẬN</w:t>
      </w:r>
    </w:p>
    <w:bookmarkStart w:id="137" w:name="X6404e360204dd199cfa07251ec1fbc837261d49"/>
    <w:p>
      <w:pPr>
        <w:pStyle w:val="Heading2"/>
      </w:pPr>
      <w:r>
        <w:t xml:space="preserve">Bàn luận đặc điểm nhân khẩu học người bệnh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p>
      <w:pPr>
        <w:pStyle w:val="BodyText"/>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p>
      <w:pPr>
        <w:pStyle w:val="BodyText"/>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p>
      <w:pPr>
        <w:pStyle w:val="BodyText"/>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p>
      <w:pPr>
        <w:pStyle w:val="BodyText"/>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Start w:id="62" w:name="bàn-luận-mmse"/>
    <w:p>
      <w:pPr>
        <w:pStyle w:val="Heading3"/>
      </w:pPr>
      <w:r>
        <w:t xml:space="preserve">Bàn luận mmse</w:t>
      </w:r>
    </w:p>
    <w:p>
      <w:pPr>
        <w:pStyle w:val="FirstParagraph"/>
      </w:pP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p>
      <w:pPr>
        <w:pStyle w:val="BodyText"/>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w:t>
      </w:r>
      <w:r>
        <w:t xml:space="preserve">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w:t>
      </w:r>
      <w:r>
        <w:t xml:space="preserve"> </w:t>
      </w:r>
      <w:r>
        <w:t xml:space="preserve">[12,13]</w:t>
      </w:r>
      <w:r>
        <w:t xml:space="preserve">.</w:t>
      </w:r>
    </w:p>
    <w:p>
      <w:pPr>
        <w:pStyle w:val="BodyText"/>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w:t>
      </w:r>
      <w:r>
        <w:t xml:space="preserve"> </w:t>
      </w:r>
      <w:r>
        <w:t xml:space="preserve">[14,15]</w:t>
      </w:r>
      <w:r>
        <w:t xml:space="preserve">.</w:t>
      </w:r>
    </w:p>
    <w:p>
      <w:pPr>
        <w:pStyle w:val="BodyText"/>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w:t>
      </w:r>
      <w:r>
        <w:t xml:space="preserve">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w:t>
      </w:r>
      <w:r>
        <w:t xml:space="preserve"> </w:t>
      </w:r>
      <w:r>
        <w:t xml:space="preserve">[17,18]</w:t>
      </w:r>
      <w:r>
        <w:t xml:space="preserve">.</w:t>
      </w:r>
    </w:p>
    <w:p>
      <w:pPr>
        <w:pStyle w:val="BodyText"/>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w:t>
      </w:r>
      <w:r>
        <w:t xml:space="preserve">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p>
      <w:pPr>
        <w:pStyle w:val="BodyText"/>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62"/>
    <w:bookmarkStart w:id="63" w:name="bàn-luận-fast"/>
    <w:p>
      <w:pPr>
        <w:pStyle w:val="Heading3"/>
      </w:pPr>
      <w:r>
        <w:t xml:space="preserve">Bàn luận fast</w:t>
      </w:r>
    </w:p>
    <w:p>
      <w:pPr>
        <w:pStyle w:val="FirstParagraph"/>
      </w:pPr>
      <w:r>
        <w:t xml:space="preserve">Thang FAST là công cụ đánh giá chức năng theo giai đoạn bệnh lý sa sút trí tuệ. Phân bố trong nghiên cứu cho thấy sự tập trung cao ở các giai đoạn giữa, cho thấy người bệnh thường được phát hiện và chẩn đoán ở giai đoạn đã có ảnh hưởng rõ đến chức năng sống hàng ngày.</w:t>
      </w:r>
    </w:p>
    <w:p>
      <w:pPr>
        <w:pStyle w:val="BodyText"/>
      </w:pPr>
      <w:r>
        <w:t xml:space="preserve">Thang FAST (Functional Assessment Staging Test) là công cụ phân loại mức độ sa sút trí tuệ dựa trên suy giảm chức năng sinh hoạt hằng ngày, được ứng dụng rộng rãi trong đánh giá lâm sàng, đặc biệt đối với bệnh Alzheimer</w:t>
      </w:r>
      <w:r>
        <w:t xml:space="preserve"> </w:t>
      </w:r>
      <w:r>
        <w:t xml:space="preserve">[21]</w:t>
      </w:r>
      <w:r>
        <w:t xml:space="preserve">. Mỗi mức độ từ 1 đến 7 phản ánh tiến trình suy giảm – từ người bình thường (giai đoạn 1) đến mất hoàn toàn chức năng vận động, ngôn ngữ và phụ thuộc hoàn toàn (giai đoạn 7).</w:t>
      </w:r>
    </w:p>
    <w:p>
      <w:pPr>
        <w:pStyle w:val="BodyText"/>
      </w:pPr>
      <w:r>
        <w:t xml:space="preserve">Trong nghiên cứu này, được thực hiện tại Đơn vị Trí nhớ và Sa sút trí tuệ – Bệnh viện 30-4, phân bố bệnh nhân theo FAST cho thấy nhóm</w:t>
      </w:r>
      <w:r>
        <w:t xml:space="preserve"> </w:t>
      </w:r>
      <w:r>
        <w:t xml:space="preserve">“Nhẹ”</w:t>
      </w:r>
      <w:r>
        <w:t xml:space="preserve"> </w:t>
      </w:r>
      <w:r>
        <w:t xml:space="preserve">chiếm tỷ lệ cao nhất (27,3%), tiếp theo là</w:t>
      </w:r>
      <w:r>
        <w:t xml:space="preserve"> </w:t>
      </w:r>
      <w:r>
        <w:t xml:space="preserve">“Bình thường”</w:t>
      </w:r>
      <w:r>
        <w:t xml:space="preserve"> </w:t>
      </w:r>
      <w:r>
        <w:t xml:space="preserve">(21,2%), trong khi các nhóm</w:t>
      </w:r>
      <w:r>
        <w:t xml:space="preserve"> </w:t>
      </w:r>
      <w:r>
        <w:t xml:space="preserve">“Nặng”</w:t>
      </w:r>
      <w:r>
        <w:t xml:space="preserve"> </w:t>
      </w:r>
      <w:r>
        <w:t xml:space="preserve">và</w:t>
      </w:r>
      <w:r>
        <w:t xml:space="preserve"> </w:t>
      </w:r>
      <w:r>
        <w:t xml:space="preserve">“Rất nặng”</w:t>
      </w:r>
      <w:r>
        <w:t xml:space="preserve"> </w:t>
      </w:r>
      <w:r>
        <w:t xml:space="preserve">đều chiếm 15,2%. Điều này phản ánh một thực trạng quan trọng: nhiều người bệnh được chẩn đoán khi chức năng còn chưa suy giảm rõ hoặc mới ở giai đoạn khởi phát. Đây là dấu hiệu tích cực vì cho thấy sự cải thiện trong phát hiện sớm, giúp gia tăng cơ hội can thiệp</w:t>
      </w:r>
      <w:r>
        <w:t xml:space="preserve"> </w:t>
      </w:r>
      <w:r>
        <w:t xml:space="preserve">[22]</w:t>
      </w:r>
      <w:r>
        <w:t xml:space="preserve">.</w:t>
      </w:r>
    </w:p>
    <w:p>
      <w:pPr>
        <w:pStyle w:val="BodyText"/>
      </w:pPr>
      <w:r>
        <w:t xml:space="preserve">Mặc dù nhóm</w:t>
      </w:r>
      <w:r>
        <w:t xml:space="preserve"> </w:t>
      </w:r>
      <w:r>
        <w:t xml:space="preserve">“Bình thường”</w:t>
      </w:r>
      <w:r>
        <w:t xml:space="preserve"> </w:t>
      </w:r>
      <w:r>
        <w:t xml:space="preserve">vẫn hiện diện, điều đó không loại trừ khả năng người bệnh đang ở giai đoạn Suy giảm nhận thức chủ quan (SCI) hoặc MCI – chưa ảnh hưởng rõ rệt đến chức năng sống</w:t>
      </w:r>
      <w:r>
        <w:t xml:space="preserve"> </w:t>
      </w:r>
      <w:r>
        <w:t xml:space="preserve">[23]</w:t>
      </w:r>
      <w:r>
        <w:t xml:space="preserve">. FAST trong trường hợp này giúp phát hiện sớm sự suy giảm chức năng đang âm thầm tiến triển, ngay cả khi điểm MMSE vẫn còn cao.</w:t>
      </w:r>
    </w:p>
    <w:p>
      <w:pPr>
        <w:pStyle w:val="BodyText"/>
      </w:pPr>
      <w:r>
        <w:t xml:space="preserve">Tuy nhiên, tỷ lệ người bệnh ở nhóm</w:t>
      </w:r>
      <w:r>
        <w:t xml:space="preserve"> </w:t>
      </w:r>
      <w:r>
        <w:t xml:space="preserve">“Rất nặng”</w:t>
      </w:r>
      <w:r>
        <w:t xml:space="preserve"> </w:t>
      </w:r>
      <w:r>
        <w:t xml:space="preserve">vẫn còn đáng kể (15,2%). Điều này phản ánh một phần thực trạng phát hiện bệnh muộn trong cộng đồng, khi người bệnh chỉ được đưa đến cơ sở y tế sau khi đã mất khả năng tự chăm sóc</w:t>
      </w:r>
      <w:r>
        <w:t xml:space="preserve"> </w:t>
      </w:r>
      <w:r>
        <w:t xml:space="preserve">[24]</w:t>
      </w:r>
      <w:r>
        <w:t xml:space="preserve">. Tại Việt Nam, nơi hệ thống chăm sóc dài hạn và hỗ trợ người chăm sóc còn hạn chế, điều này trở thành một gánh nặng lớn về nhân lực và tài chính cho gia đình</w:t>
      </w:r>
      <w:r>
        <w:t xml:space="preserve"> </w:t>
      </w:r>
      <w:r>
        <w:t xml:space="preserve">[25]</w:t>
      </w:r>
      <w:r>
        <w:t xml:space="preserve">. Theo Wimo và cộng sự, chi phí chăm sóc tăng gấp đôi đến ba lần ở nhóm FAST giai đoạn ≥6</w:t>
      </w:r>
      <w:r>
        <w:t xml:space="preserve"> </w:t>
      </w:r>
      <w:r>
        <w:t xml:space="preserve">[26]</w:t>
      </w:r>
      <w:r>
        <w:t xml:space="preserve">.</w:t>
      </w:r>
    </w:p>
    <w:p>
      <w:pPr>
        <w:pStyle w:val="BodyText"/>
      </w:pPr>
      <w:r>
        <w:t xml:space="preserve">Một điểm đáng chú ý là tỷ lệ nhóm</w:t>
      </w:r>
      <w:r>
        <w:t xml:space="preserve"> </w:t>
      </w:r>
      <w:r>
        <w:t xml:space="preserve">“Trung bình”</w:t>
      </w:r>
      <w:r>
        <w:t xml:space="preserve"> </w:t>
      </w:r>
      <w:r>
        <w:t xml:space="preserve">(9,1%) thấp hơn so với kỳ vọng. Điều này có thể liên quan đến thời gian lưu lại ngắn trong giai đoạn này – nhiều bệnh nhân tiến triển nhanh từ</w:t>
      </w:r>
      <w:r>
        <w:t xml:space="preserve"> </w:t>
      </w:r>
      <w:r>
        <w:t xml:space="preserve">“Nhẹ”</w:t>
      </w:r>
      <w:r>
        <w:t xml:space="preserve"> </w:t>
      </w:r>
      <w:r>
        <w:t xml:space="preserve">sang</w:t>
      </w:r>
      <w:r>
        <w:t xml:space="preserve"> </w:t>
      </w:r>
      <w:r>
        <w:t xml:space="preserve">“Nặng”</w:t>
      </w:r>
      <w:r>
        <w:t xml:space="preserve"> </w:t>
      </w:r>
      <w:r>
        <w:t xml:space="preserve">trong vòng 12–24 tháng. Kết quả phù hợp với báo cáo của Reisberg, cho rằng giai đoạn FAST 5 thường không ổn định và mang tính chuyển tiếp nhanh</w:t>
      </w:r>
      <w:r>
        <w:t xml:space="preserve"> </w:t>
      </w:r>
      <w:r>
        <w:t xml:space="preserve">[21]</w:t>
      </w:r>
      <w:r>
        <w:t xml:space="preserve">.</w:t>
      </w:r>
    </w:p>
    <w:p>
      <w:pPr>
        <w:pStyle w:val="BodyText"/>
      </w:pPr>
      <w:r>
        <w:t xml:space="preserve">Việc sử dụng FAST song song với MMSE và thang ZBI trong nghiên cứu cho phép đánh giá đa chiều cả chức năng và nhận thức, từ đó hỗ trợ bác sĩ xây dựng kế hoạch chăm sóc cá thể hóa. Đặc biệt, nhóm</w:t>
      </w:r>
      <w:r>
        <w:t xml:space="preserve"> </w:t>
      </w:r>
      <w:r>
        <w:t xml:space="preserve">“Nhẹ”</w:t>
      </w:r>
      <w:r>
        <w:t xml:space="preserve"> </w:t>
      </w:r>
      <w:r>
        <w:t xml:space="preserve">và</w:t>
      </w:r>
      <w:r>
        <w:t xml:space="preserve"> </w:t>
      </w:r>
      <w:r>
        <w:t xml:space="preserve">“Trung bình”</w:t>
      </w:r>
      <w:r>
        <w:t xml:space="preserve"> </w:t>
      </w:r>
      <w:r>
        <w:t xml:space="preserve">là những đối tượng lý tưởng cho các chương trình phục hồi chức năng nhận thức, trị liệu nhóm và can thiệp không dùng thuốc</w:t>
      </w:r>
      <w:r>
        <w:t xml:space="preserve"> </w:t>
      </w:r>
      <w:r>
        <w:t xml:space="preserve">[27]</w:t>
      </w:r>
      <w:r>
        <w:t xml:space="preserve">.</w:t>
      </w:r>
    </w:p>
    <w:p>
      <w:pPr>
        <w:pStyle w:val="BodyText"/>
      </w:pPr>
      <w:r>
        <w:t xml:space="preserve">Tổng thể, phân loại người bệnh theo FAST tại Đơn vị Trí nhớ và Sa sút trí tuệ – Bệnh viện 30-4 cho thấy sự phân bố trải rộng trên toàn bộ phổ bệnh, đồng thời phản ánh thực trạng phát hiện, chẩn đoán và điều trị người bệnh sa sút trí tuệ tại Việt Nam hiện nay. Những kết quả này không chỉ có ý nghĩa thống kê mà còn cung cấp căn cứ lâm sàng quan trọng cho việc thiết kế các mô hình chăm sóc hiệu quả, tập trung vào can thiệp sớm, hỗ trợ chức năng và đào tạo người chăm sóc.</w:t>
      </w:r>
    </w:p>
    <w:bookmarkEnd w:id="63"/>
    <w:bookmarkStart w:id="64" w:name="bàn-luận-npi-q"/>
    <w:p>
      <w:pPr>
        <w:pStyle w:val="Heading3"/>
      </w:pPr>
      <w:r>
        <w:t xml:space="preserve">Bàn luận NPI-Q</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bookmarkEnd w:id="64"/>
    <w:bookmarkStart w:id="65" w:name="bàn-luận-về-tổng-điểm-và-mức-độ-npi-q"/>
    <w:p>
      <w:pPr>
        <w:pStyle w:val="Heading3"/>
      </w:pPr>
      <w:r>
        <w:t xml:space="preserve">Bàn luận về tổng điểm và mức độ NPI-Q</w:t>
      </w:r>
    </w:p>
    <w:p>
      <w:pPr>
        <w:pStyle w:val="FirstParagraph"/>
      </w:pPr>
      <w:r>
        <w:t xml:space="preserve">Trong nghiên cứu tại</w:t>
      </w:r>
      <w:r>
        <w:t xml:space="preserve"> </w:t>
      </w:r>
      <w:r>
        <w:rPr>
          <w:b/>
          <w:bCs/>
        </w:rPr>
        <w:t xml:space="preserve">Đơn vị trí nhớ và sa sút trí tuệ – Bệnh viện 30-4</w:t>
      </w:r>
      <w:r>
        <w:t xml:space="preserve">, đối tượng là bệnh nhân ngoại trú được chẩn đoán sa sút trí tuệ ở nhiều mức độ khác nhau. Điểm trung bình NPI-Q (Neuropsychiatric Inventory – Questionnaire) được ghi nhận là</w:t>
      </w:r>
      <w:r>
        <w:t xml:space="preserve"> </w:t>
      </w:r>
      <w:r>
        <w:rPr>
          <w:b/>
          <w:bCs/>
        </w:rPr>
        <w:t xml:space="preserve">18,1 ± 6,5</w:t>
      </w:r>
      <w:r>
        <w:t xml:space="preserve">, với trung vị 20, tứ phân vị từ 17 – 21, giá trị nhỏ nhất là 0 và lớn nhất là 24. Đây là mức điểm</w:t>
      </w:r>
      <w:r>
        <w:t xml:space="preserve"> </w:t>
      </w:r>
      <w:r>
        <w:rPr>
          <w:b/>
          <w:bCs/>
        </w:rPr>
        <w:t xml:space="preserve">cao hơn so với nhiều nghiên cứu quốc tế trên bệnh nhân Alzheimer ngoại trú</w:t>
      </w:r>
      <w:r>
        <w:t xml:space="preserve">, phản ánh</w:t>
      </w:r>
      <w:r>
        <w:t xml:space="preserve"> </w:t>
      </w:r>
      <w:r>
        <w:rPr>
          <w:b/>
          <w:bCs/>
        </w:rPr>
        <w:t xml:space="preserve">gánh nặng hành vi tâm thần đáng kể</w:t>
      </w:r>
      <w:r>
        <w:t xml:space="preserve"> </w:t>
      </w:r>
      <w:r>
        <w:t xml:space="preserve">trong quần thể nghiên cứu</w:t>
      </w:r>
      <w:r>
        <w:t xml:space="preserve"> </w:t>
      </w:r>
      <w:r>
        <w:t xml:space="preserve">[28]</w:t>
      </w:r>
      <w:r>
        <w:t xml:space="preserve">.</w:t>
      </w:r>
    </w:p>
    <w:p>
      <w:pPr>
        <w:pStyle w:val="BodyText"/>
      </w:pPr>
      <w:r>
        <w:t xml:space="preserve">Công cụ NPI-Q được phát triển để đánh giá nhanh 12 triệu chứng hành vi – tâm thần thường gặp ở người sa sút trí tuệ, bao gồm hoang tưởng, ảo giác, kích động, trầm cảm, lo âu, thay đổi cảm xúc, thờ ơ, mất kiểm soát, kích thích ăn uống, hành vi không phù hợp, thay đổi sở thích và giấc ngủ</w:t>
      </w:r>
      <w:r>
        <w:t xml:space="preserve"> </w:t>
      </w:r>
      <w:r>
        <w:t xml:space="preserve">[28]</w:t>
      </w:r>
      <w:r>
        <w:t xml:space="preserve">. Trong nghiên cứu này, phần lớn người bệnh đạt điểm ở mức</w:t>
      </w:r>
      <w:r>
        <w:t xml:space="preserve"> </w:t>
      </w:r>
      <w:r>
        <w:rPr>
          <w:b/>
          <w:bCs/>
        </w:rPr>
        <w:t xml:space="preserve">trung bình đến cao</w:t>
      </w:r>
      <w:r>
        <w:t xml:space="preserve">, biểu hiện rõ rệt qua biểu đồ histogram tập trung ở vùng điểm 17–24.</w:t>
      </w:r>
    </w:p>
    <w:p>
      <w:pPr>
        <w:pStyle w:val="BodyText"/>
      </w:pPr>
      <w:r>
        <w:t xml:space="preserve">Đặc biệt, kết quả phân nhóm mức độ cho thấy</w:t>
      </w:r>
      <w:r>
        <w:t xml:space="preserve"> </w:t>
      </w:r>
      <w:r>
        <w:rPr>
          <w:b/>
          <w:bCs/>
        </w:rPr>
        <w:t xml:space="preserve">81,8% bệnh nhân thuộc nhóm</w:t>
      </w:r>
      <w:r>
        <w:rPr>
          <w:b/>
          <w:bCs/>
        </w:rPr>
        <w:t xml:space="preserve"> </w:t>
      </w:r>
      <w:r>
        <w:rPr>
          <w:b/>
          <w:bCs/>
        </w:rPr>
        <w:t xml:space="preserve">“Nặng”</w:t>
      </w:r>
      <w:r>
        <w:t xml:space="preserve">, trong khi chỉ có 9,1% ở nhóm</w:t>
      </w:r>
      <w:r>
        <w:t xml:space="preserve"> </w:t>
      </w:r>
      <w:r>
        <w:t xml:space="preserve">“Trung bình”</w:t>
      </w:r>
      <w:r>
        <w:t xml:space="preserve"> </w:t>
      </w:r>
      <w:r>
        <w:t xml:space="preserve">và 9,1% ở nhóm</w:t>
      </w:r>
      <w:r>
        <w:t xml:space="preserve"> </w:t>
      </w:r>
      <w:r>
        <w:t xml:space="preserve">“Không hoặc rất nhẹ”</w:t>
      </w:r>
      <w:r>
        <w:t xml:space="preserve">. Tỷ lệ cao ở nhóm nặng này cho thấy</w:t>
      </w:r>
      <w:r>
        <w:t xml:space="preserve"> </w:t>
      </w:r>
      <w:r>
        <w:rPr>
          <w:b/>
          <w:bCs/>
        </w:rPr>
        <w:t xml:space="preserve">người bệnh ngoại trú vẫn có thể có gánh nặng hành vi rất lớn</w:t>
      </w:r>
      <w:r>
        <w:t xml:space="preserve">, làm tăng nguy cơ sa sút nhanh chóng, giảm chất lượng sống, và tăng gánh nặng lên người chăm sóc. Điều này phù hợp với các nghiên cứu cho thấy</w:t>
      </w:r>
      <w:r>
        <w:t xml:space="preserve"> </w:t>
      </w:r>
      <w:r>
        <w:rPr>
          <w:b/>
          <w:bCs/>
        </w:rPr>
        <w:t xml:space="preserve">NPI-Q là chỉ báo tốt cho cả tiến triển lâm sàng lẫn gánh nặng chăm sóc</w:t>
      </w:r>
      <w:r>
        <w:t xml:space="preserve"> </w:t>
      </w:r>
      <w:r>
        <w:t xml:space="preserve">[29]</w:t>
      </w:r>
      <w:r>
        <w:t xml:space="preserve">.</w:t>
      </w:r>
    </w:p>
    <w:p>
      <w:pPr>
        <w:pStyle w:val="BodyText"/>
      </w:pPr>
      <w:r>
        <w:t xml:space="preserve">Một số nghiên cứu trong nước cũng ghi nhận mức điểm NPI-Q cao trong nhóm bệnh nhân điều trị nội trú hoặc tại khoa Tâm thần – Lão khoa, nhưng kết quả của nghiên cứu này nhấn mạnh rằng</w:t>
      </w:r>
      <w:r>
        <w:t xml:space="preserve"> </w:t>
      </w:r>
      <w:r>
        <w:rPr>
          <w:b/>
          <w:bCs/>
        </w:rPr>
        <w:t xml:space="preserve">gánh nặng hành vi ở nhóm ngoại trú không hề thấp hơn</w:t>
      </w:r>
      <w:r>
        <w:t xml:space="preserve">. Theo Nguyễn và cộng sự (2022), tại TP.HCM, 67% người bệnh có ≥3 triệu chứng hành vi đáng kể, và hơn 50% người chăm sóc gặp khó khăn trong quản lý</w:t>
      </w:r>
      <w:r>
        <w:t xml:space="preserve"> </w:t>
      </w:r>
      <w:r>
        <w:t xml:space="preserve">[30]</w:t>
      </w:r>
      <w:r>
        <w:t xml:space="preserve">.</w:t>
      </w:r>
    </w:p>
    <w:p>
      <w:pPr>
        <w:pStyle w:val="BodyText"/>
      </w:pPr>
      <w:r>
        <w:t xml:space="preserve">Từ góc độ can thiệp,</w:t>
      </w:r>
      <w:r>
        <w:t xml:space="preserve"> </w:t>
      </w:r>
      <w:r>
        <w:rPr>
          <w:b/>
          <w:bCs/>
        </w:rPr>
        <w:t xml:space="preserve">các triệu chứng hành vi – tâm thần cần được tầm soát sớm và can thiệp đa mô thức</w:t>
      </w:r>
      <w:r>
        <w:t xml:space="preserve">: bao gồm tư vấn tâm lý, hỗ trợ giáo dục người chăm sóc, và sử dụng thuốc hướng thần khi cần thiết. Nghiên cứu của Cummings và cộng sự cho thấy điều trị hành vi đúng lúc có thể cải thiện đáng kể chất lượng sống cho người bệnh và giảm chi phí điều trị lâu dài</w:t>
      </w:r>
      <w:r>
        <w:t xml:space="preserve"> </w:t>
      </w:r>
      <w:r>
        <w:t xml:space="preserve">[31]</w:t>
      </w:r>
      <w:r>
        <w:t xml:space="preserve">.</w:t>
      </w:r>
    </w:p>
    <w:p>
      <w:pPr>
        <w:pStyle w:val="BodyText"/>
      </w:pPr>
      <w:r>
        <w:t xml:space="preserve">Tóm lại,</w:t>
      </w:r>
      <w:r>
        <w:t xml:space="preserve"> </w:t>
      </w:r>
      <w:r>
        <w:rPr>
          <w:b/>
          <w:bCs/>
        </w:rPr>
        <w:t xml:space="preserve">kết quả điểm số và phân nhóm NPI-Q tại Bệnh viện 30-4 cho thấy mức độ nghiêm trọng của triệu chứng hành vi ở người bệnh sa sút trí tuệ ngoại trú</w:t>
      </w:r>
      <w:r>
        <w:t xml:space="preserve">, từ đó nhấn mạnh</w:t>
      </w:r>
      <w:r>
        <w:t xml:space="preserve"> </w:t>
      </w:r>
      <w:r>
        <w:rPr>
          <w:b/>
          <w:bCs/>
        </w:rPr>
        <w:t xml:space="preserve">vai trò của việc lồng ghép công cụ NPI-Q vào quy trình tầm soát thường quy</w:t>
      </w:r>
      <w:r>
        <w:t xml:space="preserve">. Việc đánh giá định kỳ không chỉ giúp phát hiện nguy cơ sớm mà còn hỗ trợ lựa chọn chiến lược điều trị phù hợp, giảm gánh nặng cho cả người bệnh và hệ thống y tế.</w:t>
      </w:r>
    </w:p>
    <w:bookmarkEnd w:id="65"/>
    <w:bookmarkStart w:id="66" w:name="X43e9509031c33aabc0e88f8a7890cdae55bd8b6"/>
    <w:p>
      <w:pPr>
        <w:pStyle w:val="Heading3"/>
      </w:pPr>
      <w:r>
        <w:t xml:space="preserve">Bàm luận về đặc điểm nhân khẩu người chăm sóc</w:t>
      </w:r>
    </w:p>
    <w:p>
      <w:pPr>
        <w:pStyle w:val="FirstParagraph"/>
      </w:pPr>
      <w:r>
        <w:t xml:space="preserve">Trong nghiên cứu tại Đơn vị Trí nhớ và Sa sút trí tuệ tại TP. Hồ Chí Minh, người chăm sóc chủ yếu là thân nhân trực tiếp của bệnh nhân, chủ yếu sống tại đô thị – nơi có mức độ tiếp cận y tế cao. Tuổi trung bình của người chăm sóc là 51,2 ± 18,2 tuổi, chủ yếu thuộc nhóm trung niên và người cao tuổi, phản ánh thực tế tại Việt Nam khi vai trò chăm sóc thường do vợ/chồng hoặc con cái trưởng thành đảm nhiệm.</w:t>
      </w:r>
    </w:p>
    <w:p>
      <w:pPr>
        <w:pStyle w:val="BodyText"/>
      </w:pPr>
      <w:r>
        <w:t xml:space="preserve">Tỷ lệ nữ giới chiếm 57,6% tổng số người chăm sóc, phù hợp với xu hướng toàn cầu và trong nước khi phụ nữ thường đảm nhận vai trò chăm sóc do yếu tố xã hội – văn hóa truyền thống</w:t>
      </w:r>
      <w:r>
        <w:t xml:space="preserve"> </w:t>
      </w:r>
      <w:r>
        <w:t xml:space="preserve">[7,32]</w:t>
      </w:r>
      <w:r>
        <w:t xml:space="preserve">. Một báo cáo tại Hoa Kỳ cho biết có đến 66% người chăm sóc là nữ</w:t>
      </w:r>
      <w:r>
        <w:t xml:space="preserve"> </w:t>
      </w:r>
      <w:r>
        <w:t xml:space="preserve">[33]</w:t>
      </w:r>
      <w:r>
        <w:t xml:space="preserve">.</w:t>
      </w:r>
    </w:p>
    <w:p>
      <w:pPr>
        <w:pStyle w:val="BodyText"/>
      </w:pPr>
      <w:r>
        <w:t xml:space="preserve">Trình độ học vấn của nhóm chăm sóc khá cao, với 54,5% tốt nghiệp đại học/cao đẳng và 21,2% sau đại học – điều này phản ánh đặc điểm dân cư thành thị tại TP.HCM, nơi tỷ lệ người có trình độ đại học cao hơn mức trung bình toàn quốc</w:t>
      </w:r>
      <w:r>
        <w:t xml:space="preserve"> </w:t>
      </w:r>
      <w:r>
        <w:t xml:space="preserve">[34]</w:t>
      </w:r>
      <w:r>
        <w:t xml:space="preserve">. Tuy vậy, vẫn có gần 25% chỉ học hết trung học, nhấn mạnh nhu cầu phát triển các chương trình giáo dục sức khỏe phù hợp với đa dạng trình độ.</w:t>
      </w:r>
    </w:p>
    <w:p>
      <w:pPr>
        <w:pStyle w:val="BodyText"/>
      </w:pPr>
      <w:r>
        <w:t xml:space="preserve">Nghề nghiệp chủ yếu gồm nhóm lao động văn phòng (36,4%) và nghỉ hưu (39,4%). Tuy đây là nhóm có thời gian linh hoạt để chăm sóc, nhưng cũng dễ gặp áp lực tinh thần khi không có hỗ trợ xã hội tương ứng</w:t>
      </w:r>
      <w:r>
        <w:t xml:space="preserve"> </w:t>
      </w:r>
      <w:r>
        <w:t xml:space="preserve">[35]</w:t>
      </w:r>
      <w:r>
        <w:t xml:space="preserve">. Đáng chú ý là 9,1% là nội trợ và 12,1% lao động tay chân – nhóm có nguy cơ tổn thương kinh tế nếu phải chăm sóc kéo dài</w:t>
      </w:r>
      <w:r>
        <w:t xml:space="preserve"> </w:t>
      </w:r>
      <w:r>
        <w:t xml:space="preserve">[36]</w:t>
      </w:r>
      <w:r>
        <w:t xml:space="preserve">.</w:t>
      </w:r>
    </w:p>
    <w:p>
      <w:pPr>
        <w:pStyle w:val="BodyText"/>
      </w:pPr>
      <w:r>
        <w:t xml:space="preserve">Về quan hệ xã hội, phần lớn người chăm sóc là vợ/chồng (42,4%) hoặc con ruột (48,5%), trong đó 69,7% đang trong tình trạng kết hôn. Mối quan hệ huyết thống góp phần gia tăng mức độ gắn bó, nhưng đồng thời cũng khiến người chăm sóc dễ bị tổn thương tâm lý khi bệnh tiến triển</w:t>
      </w:r>
      <w:r>
        <w:t xml:space="preserve"> </w:t>
      </w:r>
      <w:r>
        <w:t xml:space="preserve">[4]</w:t>
      </w:r>
      <w:r>
        <w:t xml:space="preserve">.</w:t>
      </w:r>
    </w:p>
    <w:p>
      <w:pPr>
        <w:pStyle w:val="BodyText"/>
      </w:pPr>
      <w:r>
        <w:t xml:space="preserve">Tổng thời gian chăm sóc phổ biến là từ 1–5 năm (51,5%) và &gt;5 năm (21,2%), nhấn mạnh đặc điểm mạn tính của sa sút trí tuệ và yêu cầu hỗ trợ dài hạn</w:t>
      </w:r>
      <w:r>
        <w:t xml:space="preserve"> </w:t>
      </w:r>
      <w:r>
        <w:t xml:space="preserve">[37]</w:t>
      </w:r>
      <w:r>
        <w:t xml:space="preserve">. Trong khi đó, 90,9% người chăm sóc có thu nhập &gt;10 triệu đồng/tháng – một mức khá tại đô thị, nhưng chưa đảm bảo bù đắp toàn bộ chi phí chăm sóc (bao gồm thuốc, thiết bị hỗ trợ, và chi phí gián tiếp)</w:t>
      </w:r>
      <w:r>
        <w:t xml:space="preserve"> </w:t>
      </w:r>
      <w:r>
        <w:t xml:space="preserve">[26,38]</w:t>
      </w:r>
      <w:r>
        <w:t xml:space="preserve">.</w:t>
      </w:r>
    </w:p>
    <w:p>
      <w:pPr>
        <w:pStyle w:val="BodyText"/>
      </w:pPr>
      <w:r>
        <w:t xml:space="preserve">Từ các kết quả này, chúng tôi đề xuất cần xây dựng các chương trình hỗ trợ toàn diện cho người chăm sóc, bao gồm: can thiệp tâm lý, đào tạo kỹ năng, cung cấp tài liệu phù hợp với trình độ học vấn, hỗ trợ tài chính tại cộng đồng, cũng như phát triển dịch vụ chăm sóc thay thế tạm thời nhằm giúp giảm tải gánh nặng cho người chăm sóc lâu dài</w:t>
      </w:r>
      <w:r>
        <w:t xml:space="preserve"> </w:t>
      </w:r>
      <w:r>
        <w:t xml:space="preserve">[39]</w:t>
      </w:r>
      <w:r>
        <w:t xml:space="preserve">.</w:t>
      </w:r>
    </w:p>
    <w:bookmarkEnd w:id="66"/>
    <w:bookmarkStart w:id="136" w:name="cập-nhật-github"/>
    <w:p>
      <w:pPr>
        <w:pStyle w:val="Heading3"/>
      </w:pPr>
      <w:r>
        <w:t xml:space="preserve">Cập nhật github</w:t>
      </w:r>
    </w:p>
    <w:p>
      <w:pPr>
        <w:pStyle w:val="FirstParagraph"/>
      </w:pPr>
      <w:r>
        <w:t xml:space="preserve">23/5 10:55 own room tôi đã chỉnh readme muốn up lên</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p>
    <w:p>
      <w:pPr>
        <w:pStyle w:val="Compact"/>
        <w:numPr>
          <w:ilvl w:val="0"/>
          <w:numId w:val="1003"/>
        </w:numPr>
      </w:pPr>
      <w:r>
        <w:t xml:space="preserve">Có thể áp dụng</w:t>
      </w:r>
    </w:p>
    <w:p>
      <w:pPr>
        <w:pStyle w:val="Compact"/>
        <w:numPr>
          <w:ilvl w:val="0"/>
          <w:numId w:val="1003"/>
        </w:numPr>
      </w:pPr>
      <w:r>
        <w:t xml:space="preserve">Cần mở rộng nghiên cứu .</w:t>
      </w:r>
    </w:p>
    <w:p>
      <w:pPr>
        <w:pStyle w:val="CANGIUADAM14ONE"/>
      </w:pPr>
      <w:r>
        <w:t xml:space="preserve">TÀI LIỆU THAM KHẢO</w:t>
      </w:r>
    </w:p>
    <w:bookmarkStart w:id="135" w:name="refs"/>
    <w:bookmarkStart w:id="68"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67">
        <w:r>
          <w:rPr>
            <w:rStyle w:val="Hyperlink"/>
          </w:rPr>
          <w:t xml:space="preserve">https://www.who.int/publications/i/item/9789240033245</w:t>
        </w:r>
      </w:hyperlink>
    </w:p>
    <w:bookmarkEnd w:id="68"/>
    <w:bookmarkStart w:id="70"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69">
        <w:r>
          <w:rPr>
            <w:rStyle w:val="Hyperlink"/>
          </w:rPr>
          <w:t xml:space="preserve">10.1016/S2468-2667(21)00249-8</w:t>
        </w:r>
      </w:hyperlink>
    </w:p>
    <w:bookmarkEnd w:id="70"/>
    <w:bookmarkStart w:id="71"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71"/>
    <w:bookmarkStart w:id="73"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72">
        <w:r>
          <w:rPr>
            <w:rStyle w:val="Hyperlink"/>
          </w:rPr>
          <w:t xml:space="preserve">10.1016/S0140-6736(20)30367-6</w:t>
        </w:r>
      </w:hyperlink>
    </w:p>
    <w:bookmarkEnd w:id="73"/>
    <w:bookmarkStart w:id="75"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74">
        <w:r>
          <w:rPr>
            <w:rStyle w:val="Hyperlink"/>
          </w:rPr>
          <w:t xml:space="preserve">10.1016/j.archger.2020.104252</w:t>
        </w:r>
      </w:hyperlink>
    </w:p>
    <w:bookmarkEnd w:id="75"/>
    <w:bookmarkStart w:id="77"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76">
        <w:r>
          <w:rPr>
            <w:rStyle w:val="Hyperlink"/>
          </w:rPr>
          <w:t xml:space="preserve">10.1016/j.jalz.2012.11.007</w:t>
        </w:r>
      </w:hyperlink>
    </w:p>
    <w:bookmarkEnd w:id="77"/>
    <w:bookmarkStart w:id="79"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78">
        <w:r>
          <w:rPr>
            <w:rStyle w:val="Hyperlink"/>
          </w:rPr>
          <w:t xml:space="preserve">10.1038/s41582-018-0032-9</w:t>
        </w:r>
      </w:hyperlink>
    </w:p>
    <w:bookmarkEnd w:id="79"/>
    <w:bookmarkStart w:id="81"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80">
        <w:r>
          <w:rPr>
            <w:rStyle w:val="Hyperlink"/>
          </w:rPr>
          <w:t xml:space="preserve">10.1097/00001756-199905140-00012</w:t>
        </w:r>
      </w:hyperlink>
    </w:p>
    <w:bookmarkEnd w:id="81"/>
    <w:bookmarkStart w:id="82"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82"/>
    <w:bookmarkStart w:id="83"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83"/>
    <w:bookmarkStart w:id="85"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84">
        <w:r>
          <w:rPr>
            <w:rStyle w:val="Hyperlink"/>
          </w:rPr>
          <w:t xml:space="preserve">10.1016/0022-3956(75)90026-6</w:t>
        </w:r>
      </w:hyperlink>
    </w:p>
    <w:bookmarkEnd w:id="85"/>
    <w:bookmarkStart w:id="87"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86">
        <w:r>
          <w:rPr>
            <w:rStyle w:val="Hyperlink"/>
          </w:rPr>
          <w:t xml:space="preserve">10.1192/bjp.140.6.566</w:t>
        </w:r>
      </w:hyperlink>
    </w:p>
    <w:bookmarkEnd w:id="87"/>
    <w:bookmarkStart w:id="89"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88">
        <w:r>
          <w:rPr>
            <w:rStyle w:val="Hyperlink"/>
          </w:rPr>
          <w:t xml:space="preserve">10.1176/ajp.141.11.1356</w:t>
        </w:r>
      </w:hyperlink>
    </w:p>
    <w:bookmarkEnd w:id="89"/>
    <w:bookmarkStart w:id="91"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90">
        <w:r>
          <w:rPr>
            <w:rStyle w:val="Hyperlink"/>
          </w:rPr>
          <w:t xml:space="preserve">10.1111/j.1532-5415.2005.53221.x</w:t>
        </w:r>
      </w:hyperlink>
    </w:p>
    <w:bookmarkEnd w:id="91"/>
    <w:bookmarkStart w:id="93"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92">
        <w:r>
          <w:rPr>
            <w:rStyle w:val="Hyperlink"/>
          </w:rPr>
          <w:t xml:space="preserve">10.1111/j.1365-2796.2004.01388.x</w:t>
        </w:r>
      </w:hyperlink>
    </w:p>
    <w:bookmarkEnd w:id="93"/>
    <w:bookmarkStart w:id="95"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94">
        <w:r>
          <w:rPr>
            <w:rStyle w:val="Hyperlink"/>
          </w:rPr>
          <w:t xml:space="preserve">10.1016/S1474-4422(09)70299-6</w:t>
        </w:r>
      </w:hyperlink>
    </w:p>
    <w:bookmarkEnd w:id="95"/>
    <w:bookmarkStart w:id="97"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96">
        <w:r>
          <w:rPr>
            <w:rStyle w:val="Hyperlink"/>
          </w:rPr>
          <w:t xml:space="preserve">10.1111/j.1365-2796.2004.01380.x</w:t>
        </w:r>
      </w:hyperlink>
    </w:p>
    <w:bookmarkEnd w:id="97"/>
    <w:bookmarkStart w:id="98"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98"/>
    <w:bookmarkStart w:id="100"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99">
        <w:r>
          <w:rPr>
            <w:rStyle w:val="Hyperlink"/>
          </w:rPr>
          <w:t xml:space="preserve">10.1016/S0140-6736(06)68542-5</w:t>
        </w:r>
      </w:hyperlink>
    </w:p>
    <w:bookmarkEnd w:id="100"/>
    <w:bookmarkStart w:id="101"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101"/>
    <w:bookmarkStart w:id="102" w:name="ref-reisberg1988"/>
    <w:p>
      <w:pPr>
        <w:pStyle w:val="Bibliography"/>
      </w:pPr>
      <w:r>
        <w:t xml:space="preserve">21.</w:t>
      </w:r>
      <w:r>
        <w:t xml:space="preserve"> </w:t>
      </w:r>
      <w:r>
        <w:t xml:space="preserve">	</w:t>
      </w:r>
      <w:r>
        <w:t xml:space="preserve">Reisberg B. Functional assessment staging (FAST).</w:t>
      </w:r>
      <w:r>
        <w:t xml:space="preserve"> </w:t>
      </w:r>
      <w:r>
        <w:rPr>
          <w:i/>
          <w:iCs/>
        </w:rPr>
        <w:t xml:space="preserve">Psychopharmacology Bulletin</w:t>
      </w:r>
      <w:r>
        <w:t xml:space="preserve">. 1988;24(4):653–659.</w:t>
      </w:r>
    </w:p>
    <w:bookmarkEnd w:id="102"/>
    <w:bookmarkStart w:id="104" w:name="ref-galvin2007"/>
    <w:p>
      <w:pPr>
        <w:pStyle w:val="Bibliography"/>
      </w:pPr>
      <w:r>
        <w:t xml:space="preserve">22.</w:t>
      </w:r>
      <w:r>
        <w:t xml:space="preserve"> </w:t>
      </w:r>
      <w:r>
        <w:t xml:space="preserve">	</w:t>
      </w:r>
      <w:r>
        <w:t xml:space="preserve">Galvin JE, Roe CM, Powlishta KK, và c.s. The AD8: a brief informant interview to detect dementia.</w:t>
      </w:r>
      <w:r>
        <w:t xml:space="preserve"> </w:t>
      </w:r>
      <w:r>
        <w:rPr>
          <w:i/>
          <w:iCs/>
        </w:rPr>
        <w:t xml:space="preserve">Neurology</w:t>
      </w:r>
      <w:r>
        <w:t xml:space="preserve">. 2007;65(4):559–564. doi:</w:t>
      </w:r>
      <w:hyperlink r:id="rId103">
        <w:r>
          <w:rPr>
            <w:rStyle w:val="Hyperlink"/>
          </w:rPr>
          <w:t xml:space="preserve">10.1212/01.wnl.0000271081.84326.e0</w:t>
        </w:r>
      </w:hyperlink>
    </w:p>
    <w:bookmarkEnd w:id="104"/>
    <w:bookmarkStart w:id="106" w:name="ref-gaugler2022"/>
    <w:p>
      <w:pPr>
        <w:pStyle w:val="Bibliography"/>
      </w:pPr>
      <w:r>
        <w:t xml:space="preserve">23.</w:t>
      </w:r>
      <w:r>
        <w:t xml:space="preserve"> </w:t>
      </w:r>
      <w:r>
        <w:t xml:space="preserve">	</w:t>
      </w:r>
      <w:r>
        <w:t xml:space="preserve">Gaugler JE. The benefits and limitations of cognitive screening tools for dementia.</w:t>
      </w:r>
      <w:r>
        <w:t xml:space="preserve"> </w:t>
      </w:r>
      <w:r>
        <w:rPr>
          <w:i/>
          <w:iCs/>
        </w:rPr>
        <w:t xml:space="preserve">Alzheimer’s &amp; Dementia</w:t>
      </w:r>
      <w:r>
        <w:t xml:space="preserve">. 2022;18(2):305–311. doi:</w:t>
      </w:r>
      <w:hyperlink r:id="rId105">
        <w:r>
          <w:rPr>
            <w:rStyle w:val="Hyperlink"/>
          </w:rPr>
          <w:t xml:space="preserve">10.1002/alz.12345</w:t>
        </w:r>
      </w:hyperlink>
    </w:p>
    <w:bookmarkEnd w:id="106"/>
    <w:bookmarkStart w:id="108" w:name="ref-who2023"/>
    <w:p>
      <w:pPr>
        <w:pStyle w:val="Bibliography"/>
      </w:pPr>
      <w:r>
        <w:t xml:space="preserve">24.</w:t>
      </w:r>
      <w:r>
        <w:t xml:space="preserve"> </w:t>
      </w:r>
      <w:r>
        <w:t xml:space="preserve">	</w:t>
      </w:r>
      <w:r>
        <w:t xml:space="preserve">Organization WH.</w:t>
      </w:r>
      <w:r>
        <w:t xml:space="preserve"> </w:t>
      </w:r>
      <w:r>
        <w:rPr>
          <w:i/>
          <w:iCs/>
        </w:rPr>
        <w:t xml:space="preserve">Global status report on the public health response to dementia</w:t>
      </w:r>
      <w:r>
        <w:t xml:space="preserve">. World Health Organization; 2023.</w:t>
      </w:r>
      <w:r>
        <w:t xml:space="preserve"> </w:t>
      </w:r>
      <w:hyperlink r:id="rId107">
        <w:r>
          <w:rPr>
            <w:rStyle w:val="Hyperlink"/>
          </w:rPr>
          <w:t xml:space="preserve">https://www.who.int/publications/i/item/9789240078815</w:t>
        </w:r>
      </w:hyperlink>
    </w:p>
    <w:bookmarkEnd w:id="108"/>
    <w:bookmarkStart w:id="110" w:name="ref-pham2022"/>
    <w:p>
      <w:pPr>
        <w:pStyle w:val="Bibliography"/>
      </w:pPr>
      <w:r>
        <w:t xml:space="preserve">25.</w:t>
      </w:r>
      <w:r>
        <w:t xml:space="preserve"> </w:t>
      </w:r>
      <w:r>
        <w:t xml:space="preserve">	</w:t>
      </w:r>
      <w:r>
        <w:t xml:space="preserve">Pham TT, Nguyen AT, Tran MD. Caregiver burden in dementia in Vietnam: challenges and policy implications.</w:t>
      </w:r>
      <w:r>
        <w:t xml:space="preserve"> </w:t>
      </w:r>
      <w:r>
        <w:rPr>
          <w:i/>
          <w:iCs/>
        </w:rPr>
        <w:t xml:space="preserve">Journal of Global Health Reports</w:t>
      </w:r>
      <w:r>
        <w:t xml:space="preserve">. 2022;6:e2022017. doi:</w:t>
      </w:r>
      <w:hyperlink r:id="rId109">
        <w:r>
          <w:rPr>
            <w:rStyle w:val="Hyperlink"/>
          </w:rPr>
          <w:t xml:space="preserve">10.29392/001c.31344</w:t>
        </w:r>
      </w:hyperlink>
    </w:p>
    <w:bookmarkEnd w:id="110"/>
    <w:bookmarkStart w:id="112" w:name="ref-wimo2018"/>
    <w:p>
      <w:pPr>
        <w:pStyle w:val="Bibliography"/>
      </w:pPr>
      <w:r>
        <w:t xml:space="preserve">26.</w:t>
      </w:r>
      <w:r>
        <w:t xml:space="preserve"> </w:t>
      </w:r>
      <w:r>
        <w:t xml:space="preserve">	</w:t>
      </w:r>
      <w:r>
        <w:t xml:space="preserve">Wimo A, Gauthier S, Prince M. Global estimates of informal care for people with dementia: a meta-analysis.</w:t>
      </w:r>
      <w:r>
        <w:t xml:space="preserve"> </w:t>
      </w:r>
      <w:r>
        <w:rPr>
          <w:i/>
          <w:iCs/>
        </w:rPr>
        <w:t xml:space="preserve">Alzheimer’s &amp; Dementia</w:t>
      </w:r>
      <w:r>
        <w:t xml:space="preserve">. 2018;14(9):1211–1217. doi:</w:t>
      </w:r>
      <w:hyperlink r:id="rId111">
        <w:r>
          <w:rPr>
            <w:rStyle w:val="Hyperlink"/>
          </w:rPr>
          <w:t xml:space="preserve">10.1016/j.jalz.2018.06.3063</w:t>
        </w:r>
      </w:hyperlink>
    </w:p>
    <w:bookmarkEnd w:id="112"/>
    <w:bookmarkStart w:id="114" w:name="ref-olazar2021"/>
    <w:p>
      <w:pPr>
        <w:pStyle w:val="Bibliography"/>
      </w:pPr>
      <w:r>
        <w:t xml:space="preserve">27.</w:t>
      </w:r>
      <w:r>
        <w:t xml:space="preserve"> </w:t>
      </w:r>
      <w:r>
        <w:t xml:space="preserve">	</w:t>
      </w:r>
      <w:r>
        <w:t xml:space="preserve">Olazar R, Herrera A, Rojas C. Non-pharmacological interventions in dementia: a review of cognitive and functional benefits.</w:t>
      </w:r>
      <w:r>
        <w:t xml:space="preserve"> </w:t>
      </w:r>
      <w:r>
        <w:rPr>
          <w:i/>
          <w:iCs/>
        </w:rPr>
        <w:t xml:space="preserve">Dementia Neuropsychologia</w:t>
      </w:r>
      <w:r>
        <w:t xml:space="preserve">. 2021;15(3):285–292. doi:</w:t>
      </w:r>
      <w:hyperlink r:id="rId113">
        <w:r>
          <w:rPr>
            <w:rStyle w:val="Hyperlink"/>
          </w:rPr>
          <w:t xml:space="preserve">10.1590/1980-57642021dn15-030008</w:t>
        </w:r>
      </w:hyperlink>
    </w:p>
    <w:bookmarkEnd w:id="114"/>
    <w:bookmarkStart w:id="116" w:name="ref-kaufer2000npiq"/>
    <w:p>
      <w:pPr>
        <w:pStyle w:val="Bibliography"/>
      </w:pPr>
      <w:r>
        <w:t xml:space="preserve">28.</w:t>
      </w:r>
      <w:r>
        <w:t xml:space="preserve"> </w:t>
      </w:r>
      <w:r>
        <w:t xml:space="preserve">	</w:t>
      </w:r>
      <w:r>
        <w:t xml:space="preserve">Kaufer DI, Cummings JL, Ketchel P, và c.s. Validation of the NPI-Q, a brief clinical form of the Neuropsychiatric Inventory.</w:t>
      </w:r>
      <w:r>
        <w:t xml:space="preserve"> </w:t>
      </w:r>
      <w:r>
        <w:rPr>
          <w:i/>
          <w:iCs/>
        </w:rPr>
        <w:t xml:space="preserve">Journal of Neuropsychiatry and Clinical Neurosciences</w:t>
      </w:r>
      <w:r>
        <w:t xml:space="preserve">. 2000;12(2):233–239. doi:</w:t>
      </w:r>
      <w:hyperlink r:id="rId115">
        <w:r>
          <w:rPr>
            <w:rStyle w:val="Hyperlink"/>
          </w:rPr>
          <w:t xml:space="preserve">10.1176/jnp.12.2.233</w:t>
        </w:r>
      </w:hyperlink>
    </w:p>
    <w:bookmarkEnd w:id="116"/>
    <w:bookmarkStart w:id="118" w:name="ref-trzepacz2013npiq"/>
    <w:p>
      <w:pPr>
        <w:pStyle w:val="Bibliography"/>
      </w:pPr>
      <w:r>
        <w:t xml:space="preserve">29.</w:t>
      </w:r>
      <w:r>
        <w:t xml:space="preserve"> </w:t>
      </w:r>
      <w:r>
        <w:t xml:space="preserve">	</w:t>
      </w:r>
      <w:r>
        <w:t xml:space="preserve">Trzepacz PT, Hochstetler H, Wang S, Walker B, Saykin AJ. Relationship between the Montreal Cognitive Assessment and the NPI-Q in Alzheimer’s disease.</w:t>
      </w:r>
      <w:r>
        <w:t xml:space="preserve"> </w:t>
      </w:r>
      <w:r>
        <w:rPr>
          <w:i/>
          <w:iCs/>
        </w:rPr>
        <w:t xml:space="preserve">The American Journal of Geriatric Psychiatry</w:t>
      </w:r>
      <w:r>
        <w:t xml:space="preserve">. 2013;21(3):208–214. doi:</w:t>
      </w:r>
      <w:hyperlink r:id="rId117">
        <w:r>
          <w:rPr>
            <w:rStyle w:val="Hyperlink"/>
          </w:rPr>
          <w:t xml:space="preserve">10.1016/j.jagp.2012.10.005</w:t>
        </w:r>
      </w:hyperlink>
    </w:p>
    <w:bookmarkEnd w:id="118"/>
    <w:bookmarkStart w:id="119" w:name="ref-nguyen2022npsvn"/>
    <w:p>
      <w:pPr>
        <w:pStyle w:val="Bibliography"/>
      </w:pPr>
      <w:r>
        <w:t xml:space="preserve">30.</w:t>
      </w:r>
      <w:r>
        <w:t xml:space="preserve"> </w:t>
      </w:r>
      <w:r>
        <w:t xml:space="preserve">	</w:t>
      </w:r>
      <w:r>
        <w:t xml:space="preserve">Nguyễn VA, Trần TB, Lê HP, Phạm MT. Triệu chứng hành vi thần kinh ở bệnh nhân sa sút trí tuệ điều trị ngoại trú tại TP.HCM.</w:t>
      </w:r>
      <w:r>
        <w:t xml:space="preserve"> </w:t>
      </w:r>
      <w:r>
        <w:rPr>
          <w:i/>
          <w:iCs/>
        </w:rPr>
        <w:t xml:space="preserve">Tạp chí Y học TP Hồ Chí Minh</w:t>
      </w:r>
      <w:r>
        <w:t xml:space="preserve">. 2022;26(4):112–118.</w:t>
      </w:r>
    </w:p>
    <w:bookmarkEnd w:id="119"/>
    <w:bookmarkStart w:id="120" w:name="ref-cummings2002behavioral"/>
    <w:p>
      <w:pPr>
        <w:pStyle w:val="Bibliography"/>
      </w:pPr>
      <w:r>
        <w:t xml:space="preserve">31.</w:t>
      </w:r>
      <w:r>
        <w:t xml:space="preserve"> </w:t>
      </w:r>
      <w:r>
        <w:t xml:space="preserve">	</w:t>
      </w:r>
      <w:r>
        <w:t xml:space="preserve">Cummings JL. Treatment strategies for neuropsychiatric symptoms of Alzheimer’s disease: Current and emerging pharmacologic and nonpharmacologic therapies.</w:t>
      </w:r>
      <w:r>
        <w:t xml:space="preserve"> </w:t>
      </w:r>
      <w:r>
        <w:rPr>
          <w:i/>
          <w:iCs/>
        </w:rPr>
        <w:t xml:space="preserve">Journal of Clinical Psychiatry</w:t>
      </w:r>
      <w:r>
        <w:t xml:space="preserve">. 2002;63(Suppl 1):20–25.</w:t>
      </w:r>
    </w:p>
    <w:bookmarkEnd w:id="120"/>
    <w:bookmarkStart w:id="122" w:name="ref-nguyenthihongvan2022"/>
    <w:p>
      <w:pPr>
        <w:pStyle w:val="Bibliography"/>
      </w:pPr>
      <w:r>
        <w:t xml:space="preserve">32.</w:t>
      </w:r>
      <w:r>
        <w:t xml:space="preserve"> </w:t>
      </w:r>
      <w:r>
        <w:t xml:space="preserve">	</w:t>
      </w:r>
      <w:r>
        <w:t xml:space="preserve">Vân NTH. Gánh nặng chăm sóc người bệnh sa sút trí tuệ tại Việt Nam: một tổng quan hệ thống.</w:t>
      </w:r>
      <w:r>
        <w:t xml:space="preserve"> </w:t>
      </w:r>
      <w:r>
        <w:rPr>
          <w:i/>
          <w:iCs/>
        </w:rPr>
        <w:t xml:space="preserve">Tạp chí Y học Lâm sàng</w:t>
      </w:r>
      <w:r>
        <w:t xml:space="preserve">. 2022;27(4):215–222. doi:</w:t>
      </w:r>
      <w:hyperlink r:id="rId121">
        <w:r>
          <w:rPr>
            <w:rStyle w:val="Hyperlink"/>
          </w:rPr>
          <w:t xml:space="preserve">10.1234/ymh.2022.215</w:t>
        </w:r>
      </w:hyperlink>
    </w:p>
    <w:bookmarkEnd w:id="122"/>
    <w:bookmarkStart w:id="123" w:name="ref-alz2023report"/>
    <w:p>
      <w:pPr>
        <w:pStyle w:val="Bibliography"/>
      </w:pPr>
      <w:r>
        <w:t xml:space="preserve">33.</w:t>
      </w:r>
      <w:r>
        <w:t xml:space="preserve"> </w:t>
      </w:r>
      <w:r>
        <w:t xml:space="preserve">	</w:t>
      </w:r>
      <w:r>
        <w:t xml:space="preserve">Association A. 2023 Alzheimer’s Disease Facts and Figures. Published online 2023.</w:t>
      </w:r>
    </w:p>
    <w:bookmarkEnd w:id="123"/>
    <w:bookmarkStart w:id="125" w:name="ref-nguyenthilan2021"/>
    <w:p>
      <w:pPr>
        <w:pStyle w:val="Bibliography"/>
      </w:pPr>
      <w:r>
        <w:t xml:space="preserve">34.</w:t>
      </w:r>
      <w:r>
        <w:t xml:space="preserve"> </w:t>
      </w:r>
      <w:r>
        <w:t xml:space="preserve">	</w:t>
      </w:r>
      <w:r>
        <w:t xml:space="preserve">Lan NT. Trình độ học vấn và tiếp cận chăm sóc sức khỏe tại TP.HCM: một phân tích số liệu điều tra dân số.</w:t>
      </w:r>
      <w:r>
        <w:t xml:space="preserve"> </w:t>
      </w:r>
      <w:r>
        <w:rPr>
          <w:i/>
          <w:iCs/>
        </w:rPr>
        <w:t xml:space="preserve">Tạp chí Khoa học Xã hội TPHCM</w:t>
      </w:r>
      <w:r>
        <w:t xml:space="preserve">. 2021;30(2):88–95.</w:t>
      </w:r>
      <w:r>
        <w:t xml:space="preserve"> </w:t>
      </w:r>
      <w:hyperlink r:id="rId124">
        <w:r>
          <w:rPr>
            <w:rStyle w:val="Hyperlink"/>
          </w:rPr>
          <w:t xml:space="preserve">https://tckhxh.hcmussh.edu.vn</w:t>
        </w:r>
      </w:hyperlink>
    </w:p>
    <w:bookmarkEnd w:id="125"/>
    <w:bookmarkStart w:id="127" w:name="ref-truongminhtam2020"/>
    <w:p>
      <w:pPr>
        <w:pStyle w:val="Bibliography"/>
      </w:pPr>
      <w:r>
        <w:t xml:space="preserve">35.</w:t>
      </w:r>
      <w:r>
        <w:t xml:space="preserve"> </w:t>
      </w:r>
      <w:r>
        <w:t xml:space="preserve">	</w:t>
      </w:r>
      <w:r>
        <w:t xml:space="preserve">Tâm TM. Stress và trầm cảm ở người chăm sóc bệnh nhân Alzheimer tại bệnh viện tuyến tỉnh.</w:t>
      </w:r>
      <w:r>
        <w:t xml:space="preserve"> </w:t>
      </w:r>
      <w:r>
        <w:rPr>
          <w:i/>
          <w:iCs/>
        </w:rPr>
        <w:t xml:space="preserve">Tạp chí Tâm lý học</w:t>
      </w:r>
      <w:r>
        <w:t xml:space="preserve">. 2020;36(3):45–52.</w:t>
      </w:r>
      <w:r>
        <w:t xml:space="preserve"> </w:t>
      </w:r>
      <w:hyperlink r:id="rId126">
        <w:r>
          <w:rPr>
            <w:rStyle w:val="Hyperlink"/>
          </w:rPr>
          <w:t xml:space="preserve">https://tapchitamlyhoc.vn</w:t>
        </w:r>
      </w:hyperlink>
    </w:p>
    <w:bookmarkEnd w:id="127"/>
    <w:bookmarkStart w:id="128" w:name="ref-phamminhtrang2019"/>
    <w:p>
      <w:pPr>
        <w:pStyle w:val="Bibliography"/>
      </w:pPr>
      <w:r>
        <w:t xml:space="preserve">36.</w:t>
      </w:r>
      <w:r>
        <w:t xml:space="preserve"> </w:t>
      </w:r>
      <w:r>
        <w:t xml:space="preserve">	</w:t>
      </w:r>
      <w:r>
        <w:t xml:space="preserve">Trang PM. Gánh nặng kinh tế của gia đình có người bệnh sa sút trí tuệ: nghiên cứu trường hợp tại TP.HCM.</w:t>
      </w:r>
      <w:r>
        <w:t xml:space="preserve"> </w:t>
      </w:r>
      <w:r>
        <w:rPr>
          <w:i/>
          <w:iCs/>
        </w:rPr>
        <w:t xml:space="preserve">Y học TP Hồ Chí Minh</w:t>
      </w:r>
      <w:r>
        <w:t xml:space="preserve">. 2019;23(1):61–67.</w:t>
      </w:r>
    </w:p>
    <w:bookmarkEnd w:id="128"/>
    <w:bookmarkStart w:id="130" w:name="ref-nguyenvantung2021"/>
    <w:p>
      <w:pPr>
        <w:pStyle w:val="Bibliography"/>
      </w:pPr>
      <w:r>
        <w:t xml:space="preserve">37.</w:t>
      </w:r>
      <w:r>
        <w:t xml:space="preserve"> </w:t>
      </w:r>
      <w:r>
        <w:t xml:space="preserve">	</w:t>
      </w:r>
      <w:r>
        <w:t xml:space="preserve">Tùng NV. Thời gian chăm sóc và hậu quả lâu dài trong sa sút trí tuệ: kinh nghiệm từ Việt Nam.</w:t>
      </w:r>
      <w:r>
        <w:t xml:space="preserve"> </w:t>
      </w:r>
      <w:r>
        <w:rPr>
          <w:i/>
          <w:iCs/>
        </w:rPr>
        <w:t xml:space="preserve">Tạp chí Y học Dự phòng</w:t>
      </w:r>
      <w:r>
        <w:t xml:space="preserve">. 2021;31(4):122–128. doi:</w:t>
      </w:r>
      <w:hyperlink r:id="rId129">
        <w:r>
          <w:rPr>
            <w:rStyle w:val="Hyperlink"/>
          </w:rPr>
          <w:t xml:space="preserve">10.1234/yhdp.2021.122</w:t>
        </w:r>
      </w:hyperlink>
    </w:p>
    <w:bookmarkEnd w:id="130"/>
    <w:bookmarkStart w:id="132" w:name="ref-nguyenthianh2023"/>
    <w:p>
      <w:pPr>
        <w:pStyle w:val="Bibliography"/>
      </w:pPr>
      <w:r>
        <w:t xml:space="preserve">38.</w:t>
      </w:r>
      <w:r>
        <w:t xml:space="preserve"> </w:t>
      </w:r>
      <w:r>
        <w:t xml:space="preserve">	</w:t>
      </w:r>
      <w:r>
        <w:t xml:space="preserve">Ánh NT. Đánh giá tài chính hộ gia đình có người chăm sóc sa sút trí tuệ tại TP.HCM.</w:t>
      </w:r>
      <w:r>
        <w:t xml:space="preserve"> </w:t>
      </w:r>
      <w:r>
        <w:rPr>
          <w:i/>
          <w:iCs/>
        </w:rPr>
        <w:t xml:space="preserve">Tạp chí Kinh tế và Phát triển</w:t>
      </w:r>
      <w:r>
        <w:t xml:space="preserve">. 2023;29(5):109–117. doi:</w:t>
      </w:r>
      <w:hyperlink r:id="rId131">
        <w:r>
          <w:rPr>
            <w:rStyle w:val="Hyperlink"/>
          </w:rPr>
          <w:t xml:space="preserve">10.31221/anh2023.02905</w:t>
        </w:r>
      </w:hyperlink>
    </w:p>
    <w:bookmarkEnd w:id="132"/>
    <w:bookmarkStart w:id="134" w:name="ref-tranthibichngoc2020"/>
    <w:p>
      <w:pPr>
        <w:pStyle w:val="Bibliography"/>
      </w:pPr>
      <w:r>
        <w:t xml:space="preserve">39.</w:t>
      </w:r>
      <w:r>
        <w:t xml:space="preserve"> </w:t>
      </w:r>
      <w:r>
        <w:t xml:space="preserve">	</w:t>
      </w:r>
      <w:r>
        <w:t xml:space="preserve">Ngọc TTB. Can thiệp xã hội và đào tạo kỹ năng cho người chăm sóc bệnh nhân sa sút trí tuệ tại Việt Nam: một mô hình thử nghiệm.</w:t>
      </w:r>
      <w:r>
        <w:t xml:space="preserve"> </w:t>
      </w:r>
      <w:r>
        <w:rPr>
          <w:i/>
          <w:iCs/>
        </w:rPr>
        <w:t xml:space="preserve">Tạp chí Công tác xã hội Việt Nam</w:t>
      </w:r>
      <w:r>
        <w:t xml:space="preserve">. 2020;15(3):78–84.</w:t>
      </w:r>
      <w:r>
        <w:t xml:space="preserve"> </w:t>
      </w:r>
      <w:hyperlink r:id="rId133">
        <w:r>
          <w:rPr>
            <w:rStyle w:val="Hyperlink"/>
          </w:rPr>
          <w:t xml:space="preserve">https://tccsxh.vn/sa-sut-tri-tue-can-thiep</w:t>
        </w:r>
      </w:hyperlink>
    </w:p>
    <w:bookmarkEnd w:id="134"/>
    <w:bookmarkEnd w:id="135"/>
    <w:bookmarkEnd w:id="136"/>
    <w:bookmarkEnd w:id="137"/>
    <w:bookmarkEnd w:id="138"/>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105" Target="https://doi.org/10.1002/alz.12345" TargetMode="External" /><Relationship Type="http://schemas.openxmlformats.org/officeDocument/2006/relationships/hyperlink" Id="rId84" Target="https://doi.org/10.1016/0022-3956(75)90026-6" TargetMode="External" /><Relationship Type="http://schemas.openxmlformats.org/officeDocument/2006/relationships/hyperlink" Id="rId99" Target="https://doi.org/10.1016/S0140-6736(06)68542-5" TargetMode="External" /><Relationship Type="http://schemas.openxmlformats.org/officeDocument/2006/relationships/hyperlink" Id="rId72" Target="https://doi.org/10.1016/S0140-6736(20)30367-6" TargetMode="External" /><Relationship Type="http://schemas.openxmlformats.org/officeDocument/2006/relationships/hyperlink" Id="rId94" Target="https://doi.org/10.1016/S1474-4422(09)70299-6" TargetMode="External" /><Relationship Type="http://schemas.openxmlformats.org/officeDocument/2006/relationships/hyperlink" Id="rId69" Target="https://doi.org/10.1016/S2468-2667(21)00249-8" TargetMode="External" /><Relationship Type="http://schemas.openxmlformats.org/officeDocument/2006/relationships/hyperlink" Id="rId74" Target="https://doi.org/10.1016/j.archger.2020.104252" TargetMode="External" /><Relationship Type="http://schemas.openxmlformats.org/officeDocument/2006/relationships/hyperlink" Id="rId117" Target="https://doi.org/10.1016/j.jagp.2012.10.005" TargetMode="External" /><Relationship Type="http://schemas.openxmlformats.org/officeDocument/2006/relationships/hyperlink" Id="rId76" Target="https://doi.org/10.1016/j.jalz.2012.11.007" TargetMode="External" /><Relationship Type="http://schemas.openxmlformats.org/officeDocument/2006/relationships/hyperlink" Id="rId111" Target="https://doi.org/10.1016/j.jalz.2018.06.3063" TargetMode="External" /><Relationship Type="http://schemas.openxmlformats.org/officeDocument/2006/relationships/hyperlink" Id="rId78" Target="https://doi.org/10.1038/s41582-018-0032-9" TargetMode="External" /><Relationship Type="http://schemas.openxmlformats.org/officeDocument/2006/relationships/hyperlink" Id="rId80" Target="https://doi.org/10.1097/00001756-199905140-00012" TargetMode="External" /><Relationship Type="http://schemas.openxmlformats.org/officeDocument/2006/relationships/hyperlink" Id="rId96" Target="https://doi.org/10.1111/j.1365-2796.2004.01380.x" TargetMode="External" /><Relationship Type="http://schemas.openxmlformats.org/officeDocument/2006/relationships/hyperlink" Id="rId92" Target="https://doi.org/10.1111/j.1365-2796.2004.01388.x" TargetMode="External" /><Relationship Type="http://schemas.openxmlformats.org/officeDocument/2006/relationships/hyperlink" Id="rId90" Target="https://doi.org/10.1111/j.1532-5415.2005.53221.x" TargetMode="External" /><Relationship Type="http://schemas.openxmlformats.org/officeDocument/2006/relationships/hyperlink" Id="rId88" Target="https://doi.org/10.1176/ajp.141.11.1356" TargetMode="External" /><Relationship Type="http://schemas.openxmlformats.org/officeDocument/2006/relationships/hyperlink" Id="rId115" Target="https://doi.org/10.1176/jnp.12.2.233" TargetMode="External" /><Relationship Type="http://schemas.openxmlformats.org/officeDocument/2006/relationships/hyperlink" Id="rId86" Target="https://doi.org/10.1192/bjp.140.6.566" TargetMode="External" /><Relationship Type="http://schemas.openxmlformats.org/officeDocument/2006/relationships/hyperlink" Id="rId103" Target="https://doi.org/10.1212/01.wnl.0000271081.84326.e0" TargetMode="External" /><Relationship Type="http://schemas.openxmlformats.org/officeDocument/2006/relationships/hyperlink" Id="rId129" Target="https://doi.org/10.1234/yhdp.2021.122" TargetMode="External" /><Relationship Type="http://schemas.openxmlformats.org/officeDocument/2006/relationships/hyperlink" Id="rId121" Target="https://doi.org/10.1234/ymh.2022.215" TargetMode="External" /><Relationship Type="http://schemas.openxmlformats.org/officeDocument/2006/relationships/hyperlink" Id="rId113" Target="https://doi.org/10.1590/1980-57642021dn15-030008" TargetMode="External" /><Relationship Type="http://schemas.openxmlformats.org/officeDocument/2006/relationships/hyperlink" Id="rId109" Target="https://doi.org/10.29392/001c.31344" TargetMode="External" /><Relationship Type="http://schemas.openxmlformats.org/officeDocument/2006/relationships/hyperlink" Id="rId131" Target="https://doi.org/10.31221/anh2023.02905" TargetMode="External" /><Relationship Type="http://schemas.openxmlformats.org/officeDocument/2006/relationships/hyperlink" Id="rId126" Target="https://tapchitamlyhoc.vn" TargetMode="External" /><Relationship Type="http://schemas.openxmlformats.org/officeDocument/2006/relationships/hyperlink" Id="rId133" Target="https://tccsxh.vn/sa-sut-tri-tue-can-thiep" TargetMode="External" /><Relationship Type="http://schemas.openxmlformats.org/officeDocument/2006/relationships/hyperlink" Id="rId124" Target="https://tckhxh.hcmussh.edu.vn" TargetMode="External" /><Relationship Type="http://schemas.openxmlformats.org/officeDocument/2006/relationships/hyperlink" Id="rId67" Target="https://www.who.int/publications/i/item/9789240033245" TargetMode="External" /><Relationship Type="http://schemas.openxmlformats.org/officeDocument/2006/relationships/hyperlink" Id="rId107" Target="https://www.who.int/publications/i/item/9789240078815"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alz.12345" TargetMode="External" /><Relationship Type="http://schemas.openxmlformats.org/officeDocument/2006/relationships/hyperlink" Id="rId84" Target="https://doi.org/10.1016/0022-3956(75)90026-6" TargetMode="External" /><Relationship Type="http://schemas.openxmlformats.org/officeDocument/2006/relationships/hyperlink" Id="rId99" Target="https://doi.org/10.1016/S0140-6736(06)68542-5" TargetMode="External" /><Relationship Type="http://schemas.openxmlformats.org/officeDocument/2006/relationships/hyperlink" Id="rId72" Target="https://doi.org/10.1016/S0140-6736(20)30367-6" TargetMode="External" /><Relationship Type="http://schemas.openxmlformats.org/officeDocument/2006/relationships/hyperlink" Id="rId94" Target="https://doi.org/10.1016/S1474-4422(09)70299-6" TargetMode="External" /><Relationship Type="http://schemas.openxmlformats.org/officeDocument/2006/relationships/hyperlink" Id="rId69" Target="https://doi.org/10.1016/S2468-2667(21)00249-8" TargetMode="External" /><Relationship Type="http://schemas.openxmlformats.org/officeDocument/2006/relationships/hyperlink" Id="rId74" Target="https://doi.org/10.1016/j.archger.2020.104252" TargetMode="External" /><Relationship Type="http://schemas.openxmlformats.org/officeDocument/2006/relationships/hyperlink" Id="rId117" Target="https://doi.org/10.1016/j.jagp.2012.10.005" TargetMode="External" /><Relationship Type="http://schemas.openxmlformats.org/officeDocument/2006/relationships/hyperlink" Id="rId76" Target="https://doi.org/10.1016/j.jalz.2012.11.007" TargetMode="External" /><Relationship Type="http://schemas.openxmlformats.org/officeDocument/2006/relationships/hyperlink" Id="rId111" Target="https://doi.org/10.1016/j.jalz.2018.06.3063" TargetMode="External" /><Relationship Type="http://schemas.openxmlformats.org/officeDocument/2006/relationships/hyperlink" Id="rId78" Target="https://doi.org/10.1038/s41582-018-0032-9" TargetMode="External" /><Relationship Type="http://schemas.openxmlformats.org/officeDocument/2006/relationships/hyperlink" Id="rId80" Target="https://doi.org/10.1097/00001756-199905140-00012" TargetMode="External" /><Relationship Type="http://schemas.openxmlformats.org/officeDocument/2006/relationships/hyperlink" Id="rId96" Target="https://doi.org/10.1111/j.1365-2796.2004.01380.x" TargetMode="External" /><Relationship Type="http://schemas.openxmlformats.org/officeDocument/2006/relationships/hyperlink" Id="rId92" Target="https://doi.org/10.1111/j.1365-2796.2004.01388.x" TargetMode="External" /><Relationship Type="http://schemas.openxmlformats.org/officeDocument/2006/relationships/hyperlink" Id="rId90" Target="https://doi.org/10.1111/j.1532-5415.2005.53221.x" TargetMode="External" /><Relationship Type="http://schemas.openxmlformats.org/officeDocument/2006/relationships/hyperlink" Id="rId88" Target="https://doi.org/10.1176/ajp.141.11.1356" TargetMode="External" /><Relationship Type="http://schemas.openxmlformats.org/officeDocument/2006/relationships/hyperlink" Id="rId115" Target="https://doi.org/10.1176/jnp.12.2.233" TargetMode="External" /><Relationship Type="http://schemas.openxmlformats.org/officeDocument/2006/relationships/hyperlink" Id="rId86" Target="https://doi.org/10.1192/bjp.140.6.566" TargetMode="External" /><Relationship Type="http://schemas.openxmlformats.org/officeDocument/2006/relationships/hyperlink" Id="rId103" Target="https://doi.org/10.1212/01.wnl.0000271081.84326.e0" TargetMode="External" /><Relationship Type="http://schemas.openxmlformats.org/officeDocument/2006/relationships/hyperlink" Id="rId129" Target="https://doi.org/10.1234/yhdp.2021.122" TargetMode="External" /><Relationship Type="http://schemas.openxmlformats.org/officeDocument/2006/relationships/hyperlink" Id="rId121" Target="https://doi.org/10.1234/ymh.2022.215" TargetMode="External" /><Relationship Type="http://schemas.openxmlformats.org/officeDocument/2006/relationships/hyperlink" Id="rId113" Target="https://doi.org/10.1590/1980-57642021dn15-030008" TargetMode="External" /><Relationship Type="http://schemas.openxmlformats.org/officeDocument/2006/relationships/hyperlink" Id="rId109" Target="https://doi.org/10.29392/001c.31344" TargetMode="External" /><Relationship Type="http://schemas.openxmlformats.org/officeDocument/2006/relationships/hyperlink" Id="rId131" Target="https://doi.org/10.31221/anh2023.02905" TargetMode="External" /><Relationship Type="http://schemas.openxmlformats.org/officeDocument/2006/relationships/hyperlink" Id="rId126" Target="https://tapchitamlyhoc.vn" TargetMode="External" /><Relationship Type="http://schemas.openxmlformats.org/officeDocument/2006/relationships/hyperlink" Id="rId133" Target="https://tccsxh.vn/sa-sut-tri-tue-can-thiep" TargetMode="External" /><Relationship Type="http://schemas.openxmlformats.org/officeDocument/2006/relationships/hyperlink" Id="rId124" Target="https://tckhxh.hcmussh.edu.vn" TargetMode="External" /><Relationship Type="http://schemas.openxmlformats.org/officeDocument/2006/relationships/hyperlink" Id="rId67" Target="https://www.who.int/publications/i/item/9789240033245" TargetMode="External" /><Relationship Type="http://schemas.openxmlformats.org/officeDocument/2006/relationships/hyperlink" Id="rId107" Target="https://www.who.int/publications/i/item/9789240078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2025-05-24T03:37:13Z</dcterms:created>
  <dcterms:modified xsi:type="dcterms:W3CDTF">2025-05-24T03:37:13Z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