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595959"/>
          <w:sz w:val="28"/>
          <w:szCs w:val="28"/>
        </w:rPr>
        <w:t xml:space="preserve">REAL ESTATE LEAD BOT</w:t>
      </w:r>
    </w:p>
    <w:p>
      <w:pPr>
        <w:spacing w:after="200" w:before="300"/>
        <w:jc w:val="center"/>
      </w:pPr>
      <w:r>
        <w:rPr>
          <w:b/>
          <w:bCs/>
          <w:color w:val="1F3864"/>
          <w:sz w:val="52"/>
          <w:szCs w:val="52"/>
        </w:rPr>
        <w:t xml:space="preserve">Project Charter &amp; Vision</w:t>
      </w:r>
    </w:p>
    <w:p>
      <w:pPr>
        <w:spacing w:after="600"/>
        <w:jc w:val="center"/>
      </w:pPr>
      <w:r>
        <w:rPr>
          <w:i/>
          <w:iCs/>
          <w:color w:val="2E74B5"/>
          <w:sz w:val="26"/>
          <w:szCs w:val="26"/>
        </w:rPr>
        <w:t xml:space="preserve">Real Estate Lead Bot</w:t>
      </w:r>
    </w:p>
    <w:p>
      <w:pPr>
        <w:jc w:val="center"/>
      </w:pPr>
      <w:r>
        <w:rPr>
          <w:color w:val="595959"/>
          <w:sz w:val="20"/>
          <w:szCs w:val="20"/>
        </w:rPr>
        <w:t xml:space="preserve">Document Code: RELB-DOC-01</w:t>
      </w:r>
    </w:p>
    <w:p>
      <w:pPr>
        <w:jc w:val="center"/>
      </w:pPr>
      <w:r>
        <w:rPr>
          <w:color w:val="595959"/>
          <w:sz w:val="20"/>
          <w:szCs w:val="20"/>
        </w:rPr>
        <w:t xml:space="preserve">Version 1.0</w:t>
      </w:r>
    </w:p>
    <w:p>
      <w:pPr>
        <w:spacing w:after="2000"/>
        <w:jc w:val="center"/>
      </w:pPr>
      <w:r>
        <w:rPr>
          <w:color w:val="595959"/>
          <w:sz w:val="20"/>
          <w:szCs w:val="20"/>
        </w:rPr>
        <w:t xml:space="preserve">Status: Draft for Development</w:t>
      </w:r>
    </w:p>
    <w:p>
      <w:r>
        <w:br w:type="page"/>
      </w:r>
    </w:p>
    <w:p>
      <w:pPr>
        <w:pStyle w:val="Heading1"/>
        <w:spacing w:after="160" w:before="360"/>
      </w:pPr>
      <w:r>
        <w:rPr>
          <w:b/>
          <w:bCs/>
          <w:color w:val="1F3864"/>
        </w:rPr>
        <w:t xml:space="preserve">1. Business Problem</w:t>
      </w:r>
    </w:p>
    <w:p>
      <w:pPr>
        <w:spacing w:after="140"/>
      </w:pPr>
      <w:r>
        <w:t xml:space="preserve">Real estate agencies and independent agents lose a significant share of inbound leads because responses to website chats, WhatsApp messages, and portal enquiries are slow, inconsistent, and dependent on staff availability. Prospective buyers and renters expect near-instant, accurate answers about listings, pricing, availability, and viewing schedules. Manual triage of leads also makes it difficult to separate serious buyers from casual browsers, wasting agent time and delaying follow-up on high-intent leads.</w:t>
      </w:r>
    </w:p>
    <w:p>
      <w:pPr>
        <w:spacing w:after="140"/>
      </w:pPr>
      <w:r>
        <w:t xml:space="preserve">The Real Estate Lead Bot addresses this by providing an always-available, AI-driven conversational assistant that captures, qualifies, and routes leads automatically, while giving agents and sales managers real-time visibility into the pipeline.</w:t>
      </w:r>
    </w:p>
    <w:p>
      <w:pPr>
        <w:pStyle w:val="Heading1"/>
        <w:spacing w:after="160" w:before="360"/>
      </w:pPr>
      <w:r>
        <w:rPr>
          <w:b/>
          <w:bCs/>
          <w:color w:val="1F3864"/>
        </w:rPr>
        <w:t xml:space="preserve">2. Project Objectives</w:t>
      </w:r>
    </w:p>
    <w:p>
      <w:pPr>
        <w:spacing w:after="60"/>
        <w:ind w:left="720" w:hanging="360"/>
      </w:pPr>
      <w:r>
        <w:t xml:space="preserve">•  </w:t>
      </w:r>
      <w:r>
        <w:t xml:space="preserve">Reduce average first-response time to new leads from hours to under one minute.</w:t>
      </w:r>
    </w:p>
    <w:p>
      <w:pPr>
        <w:spacing w:after="60"/>
        <w:ind w:left="720" w:hanging="360"/>
      </w:pPr>
      <w:r>
        <w:t xml:space="preserve">•  </w:t>
      </w:r>
      <w:r>
        <w:t xml:space="preserve">Automatically qualify and score leads based on intent, budget, timeline, and location preference.</w:t>
      </w:r>
    </w:p>
    <w:p>
      <w:pPr>
        <w:spacing w:after="60"/>
        <w:ind w:left="720" w:hanging="360"/>
      </w:pPr>
      <w:r>
        <w:t xml:space="preserve">•  </w:t>
      </w:r>
      <w:r>
        <w:t xml:space="preserve">Increase the percentage of leads that reach a scheduled viewing or agent call.</w:t>
      </w:r>
    </w:p>
    <w:p>
      <w:pPr>
        <w:spacing w:after="60"/>
        <w:ind w:left="720" w:hanging="360"/>
      </w:pPr>
      <w:r>
        <w:t xml:space="preserve">•  </w:t>
      </w:r>
      <w:r>
        <w:t xml:space="preserve">Provide agents with a unified view of every conversation, lead score, and next action.</w:t>
      </w:r>
    </w:p>
    <w:p>
      <w:pPr>
        <w:spacing w:after="60"/>
        <w:ind w:left="720" w:hanging="360"/>
      </w:pPr>
      <w:r>
        <w:t xml:space="preserve">•  </w:t>
      </w:r>
      <w:r>
        <w:t xml:space="preserve">Reduce manual data entry by syncing captured lead data directly into the CRM.</w:t>
      </w:r>
    </w:p>
    <w:p>
      <w:pPr>
        <w:spacing w:after="60"/>
        <w:ind w:left="720" w:hanging="360"/>
      </w:pPr>
      <w:r>
        <w:t xml:space="preserve">•  </w:t>
      </w:r>
      <w:r>
        <w:t xml:space="preserve">Establish a scalable AI architecture that can extend to new channels and markets without a rebuild.</w:t>
      </w:r>
    </w:p>
    <w:p>
      <w:pPr>
        <w:pStyle w:val="Heading1"/>
        <w:spacing w:after="160" w:before="360"/>
      </w:pPr>
      <w:r>
        <w:rPr>
          <w:b/>
          <w:bCs/>
          <w:color w:val="1F3864"/>
        </w:rPr>
        <w:t xml:space="preserve">3. Vision and Mission</w:t>
      </w:r>
    </w:p>
    <w:p>
      <w:pPr>
        <w:pStyle w:val="Heading2"/>
        <w:spacing w:after="120" w:before="260"/>
      </w:pPr>
      <w:r>
        <w:rPr>
          <w:b/>
          <w:bCs/>
          <w:color w:val="2E74B5"/>
        </w:rPr>
        <w:t xml:space="preserve">3.1 Vision</w:t>
      </w:r>
    </w:p>
    <w:p>
      <w:pPr>
        <w:spacing w:after="140"/>
      </w:pPr>
      <w:r>
        <w:t xml:space="preserve">To make every property enquiry feel like it was answered immediately by the agency's best agent — accurate, helpful, and always available, on whichever channel the customer prefers.</w:t>
      </w:r>
    </w:p>
    <w:p>
      <w:pPr>
        <w:pStyle w:val="Heading2"/>
        <w:spacing w:after="120" w:before="260"/>
      </w:pPr>
      <w:r>
        <w:rPr>
          <w:b/>
          <w:bCs/>
          <w:color w:val="2E74B5"/>
        </w:rPr>
        <w:t xml:space="preserve">3.2 Mission</w:t>
      </w:r>
    </w:p>
    <w:p>
      <w:pPr>
        <w:spacing w:after="140"/>
      </w:pPr>
      <w:r>
        <w:t xml:space="preserve">Deliver an AI-powered lead engagement system that captures enquiries from web chat, WhatsApp, and property portals, understands buyer intent, recommends matching properties, schedules viewings, and hands off to human agents at the right moment — with full transparency and auditability for the sales team.</w:t>
      </w:r>
    </w:p>
    <w:p>
      <w:pPr>
        <w:pStyle w:val="Heading1"/>
        <w:spacing w:after="160" w:before="360"/>
      </w:pPr>
      <w:r>
        <w:rPr>
          <w:b/>
          <w:bCs/>
          <w:color w:val="1F3864"/>
        </w:rPr>
        <w:t xml:space="preserve">4. Stakeholders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1F3864" w:val="clear"/>
            <w:tcMar>
              <w:top w:type="dxa" w:w="80"/>
              <w:left w:type="dxa" w:w="100"/>
              <w:bottom w:type="dxa" w:w="80"/>
              <w:right w:type="dxa" w:w="100"/>
            </w:tcMar>
          </w:tcPr>
          <w:p>
            <w:r>
              <w:rPr>
                <w:b/>
                <w:bCs/>
                <w:color w:val="FFFFFF"/>
              </w:rPr>
              <w:t xml:space="preserve">Stakeholder</w:t>
            </w:r>
          </w:p>
        </w:tc>
        <w:tc>
          <w:tcPr>
            <w:tcW w:type="dxa" w:w="2600"/>
            <w:shd w:fill="1F3864" w:val="clear"/>
            <w:tcMar>
              <w:top w:type="dxa" w:w="80"/>
              <w:left w:type="dxa" w:w="100"/>
              <w:bottom w:type="dxa" w:w="80"/>
              <w:right w:type="dxa" w:w="100"/>
            </w:tcMar>
          </w:tcPr>
          <w:p>
            <w:r>
              <w:rPr>
                <w:b/>
                <w:bCs/>
                <w:color w:val="FFFFFF"/>
              </w:rPr>
              <w:t xml:space="preserve">Role</w:t>
            </w:r>
          </w:p>
        </w:tc>
        <w:tc>
          <w:tcPr>
            <w:tcW w:type="dxa" w:w="4200"/>
            <w:shd w:fill="1F3864" w:val="clear"/>
            <w:tcMar>
              <w:top w:type="dxa" w:w="80"/>
              <w:left w:type="dxa" w:w="100"/>
              <w:bottom w:type="dxa" w:w="80"/>
              <w:right w:type="dxa" w:w="100"/>
            </w:tcMar>
          </w:tcPr>
          <w:p>
            <w:r>
              <w:rPr>
                <w:b/>
                <w:bCs/>
                <w:color w:val="FFFFFF"/>
              </w:rPr>
              <w:t xml:space="preserve">Primary Interest</w:t>
            </w:r>
          </w:p>
        </w:tc>
      </w:tr>
      <w:tr>
        <w:tc>
          <w:tcPr>
            <w:tcW w:type="dxa" w:w="2600"/>
            <w:tcMar>
              <w:top w:type="dxa" w:w="80"/>
              <w:left w:type="dxa" w:w="100"/>
              <w:bottom w:type="dxa" w:w="80"/>
              <w:right w:type="dxa" w:w="100"/>
            </w:tcMar>
          </w:tcPr>
          <w:p>
            <w:r>
              <w:rPr>
                <w:b w:val="false"/>
                <w:bCs w:val="false"/>
              </w:rPr>
              <w:t xml:space="preserve">Sales Manager</w:t>
            </w:r>
          </w:p>
        </w:tc>
        <w:tc>
          <w:tcPr>
            <w:tcW w:type="dxa" w:w="2600"/>
            <w:tcMar>
              <w:top w:type="dxa" w:w="80"/>
              <w:left w:type="dxa" w:w="100"/>
              <w:bottom w:type="dxa" w:w="80"/>
              <w:right w:type="dxa" w:w="100"/>
            </w:tcMar>
          </w:tcPr>
          <w:p>
            <w:r>
              <w:rPr>
                <w:b w:val="false"/>
                <w:bCs w:val="false"/>
              </w:rPr>
              <w:t xml:space="preserve">Business Owner / Sponsor</w:t>
            </w:r>
          </w:p>
        </w:tc>
        <w:tc>
          <w:tcPr>
            <w:tcW w:type="dxa" w:w="4200"/>
            <w:tcMar>
              <w:top w:type="dxa" w:w="80"/>
              <w:left w:type="dxa" w:w="100"/>
              <w:bottom w:type="dxa" w:w="80"/>
              <w:right w:type="dxa" w:w="100"/>
            </w:tcMar>
          </w:tcPr>
          <w:p>
            <w:r>
              <w:rPr>
                <w:b w:val="false"/>
                <w:bCs w:val="false"/>
              </w:rPr>
              <w:t xml:space="preserve">Pipeline visibility, conversion rate, ROI</w:t>
            </w:r>
          </w:p>
        </w:tc>
      </w:tr>
      <w:tr>
        <w:tc>
          <w:tcPr>
            <w:tcW w:type="dxa" w:w="2600"/>
            <w:shd w:fill="DCE6F1" w:val="clear"/>
            <w:tcMar>
              <w:top w:type="dxa" w:w="80"/>
              <w:left w:type="dxa" w:w="100"/>
              <w:bottom w:type="dxa" w:w="80"/>
              <w:right w:type="dxa" w:w="100"/>
            </w:tcMar>
          </w:tcPr>
          <w:p>
            <w:r>
              <w:rPr>
                <w:b w:val="false"/>
                <w:bCs w:val="false"/>
              </w:rPr>
              <w:t xml:space="preserve">Sales Agents</w:t>
            </w:r>
          </w:p>
        </w:tc>
        <w:tc>
          <w:tcPr>
            <w:tcW w:type="dxa" w:w="2600"/>
            <w:shd w:fill="DCE6F1" w:val="clear"/>
            <w:tcMar>
              <w:top w:type="dxa" w:w="80"/>
              <w:left w:type="dxa" w:w="100"/>
              <w:bottom w:type="dxa" w:w="80"/>
              <w:right w:type="dxa" w:w="100"/>
            </w:tcMar>
          </w:tcPr>
          <w:p>
            <w:r>
              <w:rPr>
                <w:b w:val="false"/>
                <w:bCs w:val="false"/>
              </w:rPr>
              <w:t xml:space="preserve">End User</w:t>
            </w:r>
          </w:p>
        </w:tc>
        <w:tc>
          <w:tcPr>
            <w:tcW w:type="dxa" w:w="4200"/>
            <w:shd w:fill="DCE6F1" w:val="clear"/>
            <w:tcMar>
              <w:top w:type="dxa" w:w="80"/>
              <w:left w:type="dxa" w:w="100"/>
              <w:bottom w:type="dxa" w:w="80"/>
              <w:right w:type="dxa" w:w="100"/>
            </w:tcMar>
          </w:tcPr>
          <w:p>
            <w:r>
              <w:rPr>
                <w:b w:val="false"/>
                <w:bCs w:val="false"/>
              </w:rPr>
              <w:t xml:space="preserve">Qualified leads, less manual data entry</w:t>
            </w:r>
          </w:p>
        </w:tc>
      </w:tr>
      <w:tr>
        <w:tc>
          <w:tcPr>
            <w:tcW w:type="dxa" w:w="2600"/>
            <w:tcMar>
              <w:top w:type="dxa" w:w="80"/>
              <w:left w:type="dxa" w:w="100"/>
              <w:bottom w:type="dxa" w:w="80"/>
              <w:right w:type="dxa" w:w="100"/>
            </w:tcMar>
          </w:tcPr>
          <w:p>
            <w:r>
              <w:rPr>
                <w:b w:val="false"/>
                <w:bCs w:val="false"/>
              </w:rPr>
              <w:t xml:space="preserve">Marketing Team</w:t>
            </w:r>
          </w:p>
        </w:tc>
        <w:tc>
          <w:tcPr>
            <w:tcW w:type="dxa" w:w="2600"/>
            <w:tcMar>
              <w:top w:type="dxa" w:w="80"/>
              <w:left w:type="dxa" w:w="100"/>
              <w:bottom w:type="dxa" w:w="80"/>
              <w:right w:type="dxa" w:w="100"/>
            </w:tcMar>
          </w:tcPr>
          <w:p>
            <w:r>
              <w:rPr>
                <w:b w:val="false"/>
                <w:bCs w:val="false"/>
              </w:rPr>
              <w:t xml:space="preserve">Channel Owner</w:t>
            </w:r>
          </w:p>
        </w:tc>
        <w:tc>
          <w:tcPr>
            <w:tcW w:type="dxa" w:w="4200"/>
            <w:tcMar>
              <w:top w:type="dxa" w:w="80"/>
              <w:left w:type="dxa" w:w="100"/>
              <w:bottom w:type="dxa" w:w="80"/>
              <w:right w:type="dxa" w:w="100"/>
            </w:tcMar>
          </w:tcPr>
          <w:p>
            <w:r>
              <w:rPr>
                <w:b w:val="false"/>
                <w:bCs w:val="false"/>
              </w:rPr>
              <w:t xml:space="preserve">Lead source performance, campaign attribution</w:t>
            </w:r>
          </w:p>
        </w:tc>
      </w:tr>
      <w:tr>
        <w:tc>
          <w:tcPr>
            <w:tcW w:type="dxa" w:w="2600"/>
            <w:shd w:fill="DCE6F1" w:val="clear"/>
            <w:tcMar>
              <w:top w:type="dxa" w:w="80"/>
              <w:left w:type="dxa" w:w="100"/>
              <w:bottom w:type="dxa" w:w="80"/>
              <w:right w:type="dxa" w:w="100"/>
            </w:tcMar>
          </w:tcPr>
          <w:p>
            <w:r>
              <w:rPr>
                <w:b w:val="false"/>
                <w:bCs w:val="false"/>
              </w:rPr>
              <w:t xml:space="preserve">Prospective Buyers/Renters</w:t>
            </w:r>
          </w:p>
        </w:tc>
        <w:tc>
          <w:tcPr>
            <w:tcW w:type="dxa" w:w="2600"/>
            <w:shd w:fill="DCE6F1" w:val="clear"/>
            <w:tcMar>
              <w:top w:type="dxa" w:w="80"/>
              <w:left w:type="dxa" w:w="100"/>
              <w:bottom w:type="dxa" w:w="80"/>
              <w:right w:type="dxa" w:w="100"/>
            </w:tcMar>
          </w:tcPr>
          <w:p>
            <w:r>
              <w:rPr>
                <w:b w:val="false"/>
                <w:bCs w:val="false"/>
              </w:rPr>
              <w:t xml:space="preserve">External User</w:t>
            </w:r>
          </w:p>
        </w:tc>
        <w:tc>
          <w:tcPr>
            <w:tcW w:type="dxa" w:w="4200"/>
            <w:shd w:fill="DCE6F1" w:val="clear"/>
            <w:tcMar>
              <w:top w:type="dxa" w:w="80"/>
              <w:left w:type="dxa" w:w="100"/>
              <w:bottom w:type="dxa" w:w="80"/>
              <w:right w:type="dxa" w:w="100"/>
            </w:tcMar>
          </w:tcPr>
          <w:p>
            <w:r>
              <w:rPr>
                <w:b w:val="false"/>
                <w:bCs w:val="false"/>
              </w:rPr>
              <w:t xml:space="preserve">Fast, accurate, low-friction answers</w:t>
            </w:r>
          </w:p>
        </w:tc>
      </w:tr>
      <w:tr>
        <w:tc>
          <w:tcPr>
            <w:tcW w:type="dxa" w:w="2600"/>
            <w:tcMar>
              <w:top w:type="dxa" w:w="80"/>
              <w:left w:type="dxa" w:w="100"/>
              <w:bottom w:type="dxa" w:w="80"/>
              <w:right w:type="dxa" w:w="100"/>
            </w:tcMar>
          </w:tcPr>
          <w:p>
            <w:r>
              <w:rPr>
                <w:b w:val="false"/>
                <w:bCs w:val="false"/>
              </w:rPr>
              <w:t xml:space="preserve">Engineering Team</w:t>
            </w:r>
          </w:p>
        </w:tc>
        <w:tc>
          <w:tcPr>
            <w:tcW w:type="dxa" w:w="2600"/>
            <w:tcMar>
              <w:top w:type="dxa" w:w="80"/>
              <w:left w:type="dxa" w:w="100"/>
              <w:bottom w:type="dxa" w:w="80"/>
              <w:right w:type="dxa" w:w="100"/>
            </w:tcMar>
          </w:tcPr>
          <w:p>
            <w:r>
              <w:rPr>
                <w:b w:val="false"/>
                <w:bCs w:val="false"/>
              </w:rPr>
              <w:t xml:space="preserve">Delivery Team</w:t>
            </w:r>
          </w:p>
        </w:tc>
        <w:tc>
          <w:tcPr>
            <w:tcW w:type="dxa" w:w="4200"/>
            <w:tcMar>
              <w:top w:type="dxa" w:w="80"/>
              <w:left w:type="dxa" w:w="100"/>
              <w:bottom w:type="dxa" w:w="80"/>
              <w:right w:type="dxa" w:w="100"/>
            </w:tcMar>
          </w:tcPr>
          <w:p>
            <w:r>
              <w:rPr>
                <w:b w:val="false"/>
                <w:bCs w:val="false"/>
              </w:rPr>
              <w:t xml:space="preserve">Clear requirements, technical feasibility</w:t>
            </w:r>
          </w:p>
        </w:tc>
      </w:tr>
      <w:tr>
        <w:tc>
          <w:tcPr>
            <w:tcW w:type="dxa" w:w="2600"/>
            <w:shd w:fill="DCE6F1" w:val="clear"/>
            <w:tcMar>
              <w:top w:type="dxa" w:w="80"/>
              <w:left w:type="dxa" w:w="100"/>
              <w:bottom w:type="dxa" w:w="80"/>
              <w:right w:type="dxa" w:w="100"/>
            </w:tcMar>
          </w:tcPr>
          <w:p>
            <w:r>
              <w:rPr>
                <w:b w:val="false"/>
                <w:bCs w:val="false"/>
              </w:rPr>
              <w:t xml:space="preserve">Compliance / Legal</w:t>
            </w:r>
          </w:p>
        </w:tc>
        <w:tc>
          <w:tcPr>
            <w:tcW w:type="dxa" w:w="2600"/>
            <w:shd w:fill="DCE6F1" w:val="clear"/>
            <w:tcMar>
              <w:top w:type="dxa" w:w="80"/>
              <w:left w:type="dxa" w:w="100"/>
              <w:bottom w:type="dxa" w:w="80"/>
              <w:right w:type="dxa" w:w="100"/>
            </w:tcMar>
          </w:tcPr>
          <w:p>
            <w:r>
              <w:rPr>
                <w:b w:val="false"/>
                <w:bCs w:val="false"/>
              </w:rPr>
              <w:t xml:space="preserve">Governance</w:t>
            </w:r>
          </w:p>
        </w:tc>
        <w:tc>
          <w:tcPr>
            <w:tcW w:type="dxa" w:w="4200"/>
            <w:shd w:fill="DCE6F1" w:val="clear"/>
            <w:tcMar>
              <w:top w:type="dxa" w:w="80"/>
              <w:left w:type="dxa" w:w="100"/>
              <w:bottom w:type="dxa" w:w="80"/>
              <w:right w:type="dxa" w:w="100"/>
            </w:tcMar>
          </w:tcPr>
          <w:p>
            <w:r>
              <w:rPr>
                <w:b w:val="false"/>
                <w:bCs w:val="false"/>
              </w:rPr>
              <w:t xml:space="preserve">Data privacy, consent, regulatory compliance</w:t>
            </w:r>
          </w:p>
        </w:tc>
      </w:tr>
      <w:tr>
        <w:tc>
          <w:tcPr>
            <w:tcW w:type="dxa" w:w="2600"/>
            <w:tcMar>
              <w:top w:type="dxa" w:w="80"/>
              <w:left w:type="dxa" w:w="100"/>
              <w:bottom w:type="dxa" w:w="80"/>
              <w:right w:type="dxa" w:w="100"/>
            </w:tcMar>
          </w:tcPr>
          <w:p>
            <w:r>
              <w:rPr>
                <w:b w:val="false"/>
                <w:bCs w:val="false"/>
              </w:rPr>
              <w:t xml:space="preserve">IT / Infrastructure</w:t>
            </w:r>
          </w:p>
        </w:tc>
        <w:tc>
          <w:tcPr>
            <w:tcW w:type="dxa" w:w="2600"/>
            <w:tcMar>
              <w:top w:type="dxa" w:w="80"/>
              <w:left w:type="dxa" w:w="100"/>
              <w:bottom w:type="dxa" w:w="80"/>
              <w:right w:type="dxa" w:w="100"/>
            </w:tcMar>
          </w:tcPr>
          <w:p>
            <w:r>
              <w:rPr>
                <w:b w:val="false"/>
                <w:bCs w:val="false"/>
              </w:rPr>
              <w:t xml:space="preserve">Operations</w:t>
            </w:r>
          </w:p>
        </w:tc>
        <w:tc>
          <w:tcPr>
            <w:tcW w:type="dxa" w:w="4200"/>
            <w:tcMar>
              <w:top w:type="dxa" w:w="80"/>
              <w:left w:type="dxa" w:w="100"/>
              <w:bottom w:type="dxa" w:w="80"/>
              <w:right w:type="dxa" w:w="100"/>
            </w:tcMar>
          </w:tcPr>
          <w:p>
            <w:r>
              <w:rPr>
                <w:b w:val="false"/>
                <w:bCs w:val="false"/>
              </w:rPr>
              <w:t xml:space="preserve">Uptime, security, integration stability</w:t>
            </w:r>
          </w:p>
        </w:tc>
      </w:tr>
    </w:tbl>
    <w:p>
      <w:pPr>
        <w:pStyle w:val="Heading1"/>
        <w:spacing w:after="160" w:before="360"/>
      </w:pPr>
      <w:r>
        <w:rPr>
          <w:b/>
          <w:bCs/>
          <w:color w:val="1F3864"/>
        </w:rPr>
        <w:t xml:space="preserve">5. Business Goals</w:t>
      </w:r>
    </w:p>
    <w:p>
      <w:pPr>
        <w:spacing w:after="60"/>
        <w:ind w:left="720" w:hanging="360"/>
      </w:pPr>
      <w:r>
        <w:t xml:space="preserve">•  </w:t>
      </w:r>
      <w:r>
        <w:t xml:space="preserve">Increase qualified-lead-to-viewing conversion rate by a measurable margin within two quarters of launch.</w:t>
      </w:r>
    </w:p>
    <w:p>
      <w:pPr>
        <w:spacing w:after="60"/>
        <w:ind w:left="720" w:hanging="360"/>
      </w:pPr>
      <w:r>
        <w:t xml:space="preserve">•  </w:t>
      </w:r>
      <w:r>
        <w:t xml:space="preserve">Cut average agent time spent on initial lead triage.</w:t>
      </w:r>
    </w:p>
    <w:p>
      <w:pPr>
        <w:spacing w:after="60"/>
        <w:ind w:left="720" w:hanging="360"/>
      </w:pPr>
      <w:r>
        <w:t xml:space="preserve">•  </w:t>
      </w:r>
      <w:r>
        <w:t xml:space="preserve">Improve lead data completeness (contact details, budget, location, timeline) captured at first contact.</w:t>
      </w:r>
    </w:p>
    <w:p>
      <w:pPr>
        <w:spacing w:after="60"/>
        <w:ind w:left="720" w:hanging="360"/>
      </w:pPr>
      <w:r>
        <w:t xml:space="preserve">•  </w:t>
      </w:r>
      <w:r>
        <w:t xml:space="preserve">Support growth in lead volume without a proportional increase in support headcount.</w:t>
      </w:r>
    </w:p>
    <w:p>
      <w:pPr>
        <w:pStyle w:val="Heading1"/>
        <w:spacing w:after="160" w:before="360"/>
      </w:pPr>
      <w:r>
        <w:rPr>
          <w:b/>
          <w:bCs/>
          <w:color w:val="1F3864"/>
        </w:rPr>
        <w:t xml:space="preserve">6. Success Metrics (KPIs)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200"/>
      </w:tblGrid>
      <w:tr>
        <w:trPr>
          <w:tblHeader/>
        </w:trPr>
        <w:tc>
          <w:tcPr>
            <w:tcW w:type="dxa" w:w="2600"/>
            <w:shd w:fill="1F3864" w:val="clear"/>
            <w:tcMar>
              <w:top w:type="dxa" w:w="80"/>
              <w:left w:type="dxa" w:w="100"/>
              <w:bottom w:type="dxa" w:w="80"/>
              <w:right w:type="dxa" w:w="100"/>
            </w:tcMar>
          </w:tcPr>
          <w:p>
            <w:r>
              <w:rPr>
                <w:b/>
                <w:bCs/>
                <w:color w:val="FFFFFF"/>
              </w:rPr>
              <w:t xml:space="preserve">KPI</w:t>
            </w:r>
          </w:p>
        </w:tc>
        <w:tc>
          <w:tcPr>
            <w:tcW w:type="dxa" w:w="4600"/>
            <w:shd w:fill="1F3864" w:val="clear"/>
            <w:tcMar>
              <w:top w:type="dxa" w:w="80"/>
              <w:left w:type="dxa" w:w="100"/>
              <w:bottom w:type="dxa" w:w="80"/>
              <w:right w:type="dxa" w:w="100"/>
            </w:tcMar>
          </w:tcPr>
          <w:p>
            <w:r>
              <w:rPr>
                <w:b/>
                <w:bCs/>
                <w:color w:val="FFFFFF"/>
              </w:rPr>
              <w:t xml:space="preserve">Definition</w:t>
            </w:r>
          </w:p>
        </w:tc>
        <w:tc>
          <w:tcPr>
            <w:tcW w:type="dxa" w:w="2200"/>
            <w:shd w:fill="1F3864" w:val="clear"/>
            <w:tcMar>
              <w:top w:type="dxa" w:w="80"/>
              <w:left w:type="dxa" w:w="100"/>
              <w:bottom w:type="dxa" w:w="80"/>
              <w:right w:type="dxa" w:w="100"/>
            </w:tcMar>
          </w:tcPr>
          <w:p>
            <w:r>
              <w:rPr>
                <w:b/>
                <w:bCs/>
                <w:color w:val="FFFFFF"/>
              </w:rPr>
              <w:t xml:space="preserve">Target</w:t>
            </w:r>
          </w:p>
        </w:tc>
      </w:tr>
      <w:tr>
        <w:tc>
          <w:tcPr>
            <w:tcW w:type="dxa" w:w="2600"/>
            <w:tcMar>
              <w:top w:type="dxa" w:w="80"/>
              <w:left w:type="dxa" w:w="100"/>
              <w:bottom w:type="dxa" w:w="80"/>
              <w:right w:type="dxa" w:w="100"/>
            </w:tcMar>
          </w:tcPr>
          <w:p>
            <w:r>
              <w:rPr>
                <w:b w:val="false"/>
                <w:bCs w:val="false"/>
              </w:rPr>
              <w:t xml:space="preserve">First Response Time</w:t>
            </w:r>
          </w:p>
        </w:tc>
        <w:tc>
          <w:tcPr>
            <w:tcW w:type="dxa" w:w="4600"/>
            <w:tcMar>
              <w:top w:type="dxa" w:w="80"/>
              <w:left w:type="dxa" w:w="100"/>
              <w:bottom w:type="dxa" w:w="80"/>
              <w:right w:type="dxa" w:w="100"/>
            </w:tcMar>
          </w:tcPr>
          <w:p>
            <w:r>
              <w:rPr>
                <w:b w:val="false"/>
                <w:bCs w:val="false"/>
              </w:rPr>
              <w:t xml:space="preserve">Time from lead message to bot's first reply</w:t>
            </w:r>
          </w:p>
        </w:tc>
        <w:tc>
          <w:tcPr>
            <w:tcW w:type="dxa" w:w="2200"/>
            <w:tcMar>
              <w:top w:type="dxa" w:w="80"/>
              <w:left w:type="dxa" w:w="100"/>
              <w:bottom w:type="dxa" w:w="80"/>
              <w:right w:type="dxa" w:w="100"/>
            </w:tcMar>
          </w:tcPr>
          <w:p>
            <w:r>
              <w:rPr>
                <w:b w:val="false"/>
                <w:bCs w:val="false"/>
              </w:rPr>
              <w:t xml:space="preserve">&lt; 60 seconds</w:t>
            </w:r>
          </w:p>
        </w:tc>
      </w:tr>
      <w:tr>
        <w:tc>
          <w:tcPr>
            <w:tcW w:type="dxa" w:w="2600"/>
            <w:shd w:fill="DCE6F1" w:val="clear"/>
            <w:tcMar>
              <w:top w:type="dxa" w:w="80"/>
              <w:left w:type="dxa" w:w="100"/>
              <w:bottom w:type="dxa" w:w="80"/>
              <w:right w:type="dxa" w:w="100"/>
            </w:tcMar>
          </w:tcPr>
          <w:p>
            <w:r>
              <w:rPr>
                <w:b w:val="false"/>
                <w:bCs w:val="false"/>
              </w:rPr>
              <w:t xml:space="preserve">Qualification Rate</w:t>
            </w:r>
          </w:p>
        </w:tc>
        <w:tc>
          <w:tcPr>
            <w:tcW w:type="dxa" w:w="4600"/>
            <w:shd w:fill="DCE6F1" w:val="clear"/>
            <w:tcMar>
              <w:top w:type="dxa" w:w="80"/>
              <w:left w:type="dxa" w:w="100"/>
              <w:bottom w:type="dxa" w:w="80"/>
              <w:right w:type="dxa" w:w="100"/>
            </w:tcMar>
          </w:tcPr>
          <w:p>
            <w:r>
              <w:rPr>
                <w:b w:val="false"/>
                <w:bCs w:val="false"/>
              </w:rPr>
              <w:t xml:space="preserve">% of leads that reach a completed qualification flow</w:t>
            </w:r>
          </w:p>
        </w:tc>
        <w:tc>
          <w:tcPr>
            <w:tcW w:type="dxa" w:w="2200"/>
            <w:shd w:fill="DCE6F1" w:val="clear"/>
            <w:tcMar>
              <w:top w:type="dxa" w:w="80"/>
              <w:left w:type="dxa" w:w="100"/>
              <w:bottom w:type="dxa" w:w="80"/>
              <w:right w:type="dxa" w:w="100"/>
            </w:tcMar>
          </w:tcPr>
          <w:p>
            <w:r>
              <w:rPr>
                <w:b w:val="false"/>
                <w:bCs w:val="false"/>
              </w:rPr>
              <w:t xml:space="preserve">&gt; 70%</w:t>
            </w:r>
          </w:p>
        </w:tc>
      </w:tr>
      <w:tr>
        <w:tc>
          <w:tcPr>
            <w:tcW w:type="dxa" w:w="2600"/>
            <w:tcMar>
              <w:top w:type="dxa" w:w="80"/>
              <w:left w:type="dxa" w:w="100"/>
              <w:bottom w:type="dxa" w:w="80"/>
              <w:right w:type="dxa" w:w="100"/>
            </w:tcMar>
          </w:tcPr>
          <w:p>
            <w:r>
              <w:rPr>
                <w:b w:val="false"/>
                <w:bCs w:val="false"/>
              </w:rPr>
              <w:t xml:space="preserve">Viewing Conversion</w:t>
            </w:r>
          </w:p>
        </w:tc>
        <w:tc>
          <w:tcPr>
            <w:tcW w:type="dxa" w:w="4600"/>
            <w:tcMar>
              <w:top w:type="dxa" w:w="80"/>
              <w:left w:type="dxa" w:w="100"/>
              <w:bottom w:type="dxa" w:w="80"/>
              <w:right w:type="dxa" w:w="100"/>
            </w:tcMar>
          </w:tcPr>
          <w:p>
            <w:r>
              <w:rPr>
                <w:b w:val="false"/>
                <w:bCs w:val="false"/>
              </w:rPr>
              <w:t xml:space="preserve">% of qualified leads that book a viewing</w:t>
            </w:r>
          </w:p>
        </w:tc>
        <w:tc>
          <w:tcPr>
            <w:tcW w:type="dxa" w:w="2200"/>
            <w:tcMar>
              <w:top w:type="dxa" w:w="80"/>
              <w:left w:type="dxa" w:w="100"/>
              <w:bottom w:type="dxa" w:w="80"/>
              <w:right w:type="dxa" w:w="100"/>
            </w:tcMar>
          </w:tcPr>
          <w:p>
            <w:r>
              <w:rPr>
                <w:b w:val="false"/>
                <w:bCs w:val="false"/>
              </w:rPr>
              <w:t xml:space="preserve">&gt; 30%</w:t>
            </w:r>
          </w:p>
        </w:tc>
      </w:tr>
      <w:tr>
        <w:tc>
          <w:tcPr>
            <w:tcW w:type="dxa" w:w="2600"/>
            <w:shd w:fill="DCE6F1" w:val="clear"/>
            <w:tcMar>
              <w:top w:type="dxa" w:w="80"/>
              <w:left w:type="dxa" w:w="100"/>
              <w:bottom w:type="dxa" w:w="80"/>
              <w:right w:type="dxa" w:w="100"/>
            </w:tcMar>
          </w:tcPr>
          <w:p>
            <w:r>
              <w:rPr>
                <w:b w:val="false"/>
                <w:bCs w:val="false"/>
              </w:rPr>
              <w:t xml:space="preserve">Handoff Accuracy</w:t>
            </w:r>
          </w:p>
        </w:tc>
        <w:tc>
          <w:tcPr>
            <w:tcW w:type="dxa" w:w="4600"/>
            <w:shd w:fill="DCE6F1" w:val="clear"/>
            <w:tcMar>
              <w:top w:type="dxa" w:w="80"/>
              <w:left w:type="dxa" w:w="100"/>
              <w:bottom w:type="dxa" w:w="80"/>
              <w:right w:type="dxa" w:w="100"/>
            </w:tcMar>
          </w:tcPr>
          <w:p>
            <w:r>
              <w:rPr>
                <w:b w:val="false"/>
                <w:bCs w:val="false"/>
              </w:rPr>
              <w:t xml:space="preserve">% of human handoffs correctly routed to the right agent</w:t>
            </w:r>
          </w:p>
        </w:tc>
        <w:tc>
          <w:tcPr>
            <w:tcW w:type="dxa" w:w="2200"/>
            <w:shd w:fill="DCE6F1" w:val="clear"/>
            <w:tcMar>
              <w:top w:type="dxa" w:w="80"/>
              <w:left w:type="dxa" w:w="100"/>
              <w:bottom w:type="dxa" w:w="80"/>
              <w:right w:type="dxa" w:w="100"/>
            </w:tcMar>
          </w:tcPr>
          <w:p>
            <w:r>
              <w:rPr>
                <w:b w:val="false"/>
                <w:bCs w:val="false"/>
              </w:rPr>
              <w:t xml:space="preserve">&gt; 90%</w:t>
            </w:r>
          </w:p>
        </w:tc>
      </w:tr>
      <w:tr>
        <w:tc>
          <w:tcPr>
            <w:tcW w:type="dxa" w:w="2600"/>
            <w:tcMar>
              <w:top w:type="dxa" w:w="80"/>
              <w:left w:type="dxa" w:w="100"/>
              <w:bottom w:type="dxa" w:w="80"/>
              <w:right w:type="dxa" w:w="100"/>
            </w:tcMar>
          </w:tcPr>
          <w:p>
            <w:r>
              <w:rPr>
                <w:b w:val="false"/>
                <w:bCs w:val="false"/>
              </w:rPr>
              <w:t xml:space="preserve">CSAT / Bot Rating</w:t>
            </w:r>
          </w:p>
        </w:tc>
        <w:tc>
          <w:tcPr>
            <w:tcW w:type="dxa" w:w="4600"/>
            <w:tcMar>
              <w:top w:type="dxa" w:w="80"/>
              <w:left w:type="dxa" w:w="100"/>
              <w:bottom w:type="dxa" w:w="80"/>
              <w:right w:type="dxa" w:w="100"/>
            </w:tcMar>
          </w:tcPr>
          <w:p>
            <w:r>
              <w:rPr>
                <w:b w:val="false"/>
                <w:bCs w:val="false"/>
              </w:rPr>
              <w:t xml:space="preserve">Post-conversation satisfaction score</w:t>
            </w:r>
          </w:p>
        </w:tc>
        <w:tc>
          <w:tcPr>
            <w:tcW w:type="dxa" w:w="2200"/>
            <w:tcMar>
              <w:top w:type="dxa" w:w="80"/>
              <w:left w:type="dxa" w:w="100"/>
              <w:bottom w:type="dxa" w:w="80"/>
              <w:right w:type="dxa" w:w="100"/>
            </w:tcMar>
          </w:tcPr>
          <w:p>
            <w:r>
              <w:rPr>
                <w:b w:val="false"/>
                <w:bCs w:val="false"/>
              </w:rPr>
              <w:t xml:space="preserve">&gt; 4.2 / 5</w:t>
            </w:r>
          </w:p>
        </w:tc>
      </w:tr>
      <w:tr>
        <w:tc>
          <w:tcPr>
            <w:tcW w:type="dxa" w:w="2600"/>
            <w:shd w:fill="DCE6F1" w:val="clear"/>
            <w:tcMar>
              <w:top w:type="dxa" w:w="80"/>
              <w:left w:type="dxa" w:w="100"/>
              <w:bottom w:type="dxa" w:w="80"/>
              <w:right w:type="dxa" w:w="100"/>
            </w:tcMar>
          </w:tcPr>
          <w:p>
            <w:r>
              <w:rPr>
                <w:b w:val="false"/>
                <w:bCs w:val="false"/>
              </w:rPr>
              <w:t xml:space="preserve">Data Completeness</w:t>
            </w:r>
          </w:p>
        </w:tc>
        <w:tc>
          <w:tcPr>
            <w:tcW w:type="dxa" w:w="4600"/>
            <w:shd w:fill="DCE6F1" w:val="clear"/>
            <w:tcMar>
              <w:top w:type="dxa" w:w="80"/>
              <w:left w:type="dxa" w:w="100"/>
              <w:bottom w:type="dxa" w:w="80"/>
              <w:right w:type="dxa" w:w="100"/>
            </w:tcMar>
          </w:tcPr>
          <w:p>
            <w:r>
              <w:rPr>
                <w:b w:val="false"/>
                <w:bCs w:val="false"/>
              </w:rPr>
              <w:t xml:space="preserve">% of leads with all required fields captured</w:t>
            </w:r>
          </w:p>
        </w:tc>
        <w:tc>
          <w:tcPr>
            <w:tcW w:type="dxa" w:w="2200"/>
            <w:shd w:fill="DCE6F1" w:val="clear"/>
            <w:tcMar>
              <w:top w:type="dxa" w:w="80"/>
              <w:left w:type="dxa" w:w="100"/>
              <w:bottom w:type="dxa" w:w="80"/>
              <w:right w:type="dxa" w:w="100"/>
            </w:tcMar>
          </w:tcPr>
          <w:p>
            <w:r>
              <w:rPr>
                <w:b w:val="false"/>
                <w:bCs w:val="false"/>
              </w:rPr>
              <w:t xml:space="preserve">&gt; 85%</w:t>
            </w:r>
          </w:p>
        </w:tc>
      </w:tr>
    </w:tbl>
    <w:p>
      <w:pPr>
        <w:pStyle w:val="Heading1"/>
        <w:spacing w:after="160" w:before="360"/>
      </w:pPr>
      <w:r>
        <w:rPr>
          <w:b/>
          <w:bCs/>
          <w:color w:val="1F3864"/>
        </w:rPr>
        <w:t xml:space="preserve">7. Scope and Boundaries</w:t>
      </w:r>
    </w:p>
    <w:p>
      <w:pPr>
        <w:pStyle w:val="Heading2"/>
        <w:spacing w:after="120" w:before="260"/>
      </w:pPr>
      <w:r>
        <w:rPr>
          <w:b/>
          <w:bCs/>
          <w:color w:val="2E74B5"/>
        </w:rPr>
        <w:t xml:space="preserve">7.1 In Scope</w:t>
      </w:r>
    </w:p>
    <w:p>
      <w:pPr>
        <w:spacing w:after="60"/>
        <w:ind w:left="720" w:hanging="360"/>
      </w:pPr>
      <w:r>
        <w:t xml:space="preserve">•  </w:t>
      </w:r>
      <w:r>
        <w:t xml:space="preserve">Conversational lead capture via website chat widget and WhatsApp Business API.</w:t>
      </w:r>
    </w:p>
    <w:p>
      <w:pPr>
        <w:spacing w:after="60"/>
        <w:ind w:left="720" w:hanging="360"/>
      </w:pPr>
      <w:r>
        <w:t xml:space="preserve">•  </w:t>
      </w:r>
      <w:r>
        <w:t xml:space="preserve">Intent detection, entity extraction, and lead qualification dialogue flows.</w:t>
      </w:r>
    </w:p>
    <w:p>
      <w:pPr>
        <w:spacing w:after="60"/>
        <w:ind w:left="720" w:hanging="360"/>
      </w:pPr>
      <w:r>
        <w:t xml:space="preserve">•  </w:t>
      </w:r>
      <w:r>
        <w:t xml:space="preserve">Property search, matching, and recommendation based on structured listing data.</w:t>
      </w:r>
    </w:p>
    <w:p>
      <w:pPr>
        <w:spacing w:after="60"/>
        <w:ind w:left="720" w:hanging="360"/>
      </w:pPr>
      <w:r>
        <w:t xml:space="preserve">•  </w:t>
      </w:r>
      <w:r>
        <w:t xml:space="preserve">Viewing scheduling integrated with agent calendars.</w:t>
      </w:r>
    </w:p>
    <w:p>
      <w:pPr>
        <w:spacing w:after="60"/>
        <w:ind w:left="720" w:hanging="360"/>
      </w:pPr>
      <w:r>
        <w:t xml:space="preserve">•  </w:t>
      </w:r>
      <w:r>
        <w:t xml:space="preserve">Lead scoring and automatic routing/handoff to human agents.</w:t>
      </w:r>
    </w:p>
    <w:p>
      <w:pPr>
        <w:spacing w:after="60"/>
        <w:ind w:left="720" w:hanging="360"/>
      </w:pPr>
      <w:r>
        <w:t xml:space="preserve">•  </w:t>
      </w:r>
      <w:r>
        <w:t xml:space="preserve">CRM synchronization of leads, conversation summaries, and scheduled activities.</w:t>
      </w:r>
    </w:p>
    <w:p>
      <w:pPr>
        <w:spacing w:after="60"/>
        <w:ind w:left="720" w:hanging="360"/>
      </w:pPr>
      <w:r>
        <w:t xml:space="preserve">•  </w:t>
      </w:r>
      <w:r>
        <w:t xml:space="preserve">Admin dashboard for conversation monitoring, lead pipeline, and configuration.</w:t>
      </w:r>
    </w:p>
    <w:p>
      <w:pPr>
        <w:spacing w:after="60"/>
        <w:ind w:left="720" w:hanging="360"/>
      </w:pPr>
      <w:r>
        <w:t xml:space="preserve">•  </w:t>
      </w:r>
      <w:r>
        <w:t xml:space="preserve">Analytics and reporting on funnel performance and channel attribution.</w:t>
      </w:r>
    </w:p>
    <w:p>
      <w:pPr>
        <w:pStyle w:val="Heading2"/>
        <w:spacing w:after="120" w:before="260"/>
      </w:pPr>
      <w:r>
        <w:rPr>
          <w:b/>
          <w:bCs/>
          <w:color w:val="2E74B5"/>
        </w:rPr>
        <w:t xml:space="preserve">7.2 Out of Scope (Phase 1)</w:t>
      </w:r>
    </w:p>
    <w:p>
      <w:pPr>
        <w:spacing w:after="60"/>
        <w:ind w:left="720" w:hanging="360"/>
      </w:pPr>
      <w:r>
        <w:t xml:space="preserve">•  </w:t>
      </w:r>
      <w:r>
        <w:t xml:space="preserve">Legal contract generation or e-signature workflows for property transactions.</w:t>
      </w:r>
    </w:p>
    <w:p>
      <w:pPr>
        <w:spacing w:after="60"/>
        <w:ind w:left="720" w:hanging="360"/>
      </w:pPr>
      <w:r>
        <w:t xml:space="preserve">•  </w:t>
      </w:r>
      <w:r>
        <w:t xml:space="preserve">Payment processing, mortgage, or financing calculators.</w:t>
      </w:r>
    </w:p>
    <w:p>
      <w:pPr>
        <w:spacing w:after="60"/>
        <w:ind w:left="720" w:hanging="360"/>
      </w:pPr>
      <w:r>
        <w:t xml:space="preserve">•  </w:t>
      </w:r>
      <w:r>
        <w:t xml:space="preserve">Property listing creation/management tooling (assumed to exist in an external system).</w:t>
      </w:r>
    </w:p>
    <w:p>
      <w:pPr>
        <w:spacing w:after="60"/>
        <w:ind w:left="720" w:hanging="360"/>
      </w:pPr>
      <w:r>
        <w:t xml:space="preserve">•  </w:t>
      </w:r>
      <w:r>
        <w:t xml:space="preserve">Multi-language support beyond the primary launch language (planned for a later phase).</w:t>
      </w:r>
    </w:p>
    <w:p>
      <w:pPr>
        <w:spacing w:after="60"/>
        <w:ind w:left="720" w:hanging="360"/>
      </w:pPr>
      <w:r>
        <w:t xml:space="preserve">•  </w:t>
      </w:r>
      <w:r>
        <w:t xml:space="preserve">Voice-call automation (chat/text channels only in Phase 1).</w:t>
      </w:r>
    </w:p>
    <w:p>
      <w:pPr>
        <w:pStyle w:val="Heading1"/>
        <w:spacing w:after="160" w:before="360"/>
      </w:pPr>
      <w:r>
        <w:rPr>
          <w:b/>
          <w:bCs/>
          <w:color w:val="1F3864"/>
        </w:rPr>
        <w:t xml:space="preserve">8. Assumptions and Constraints</w:t>
      </w:r>
    </w:p>
    <w:p>
      <w:pPr>
        <w:pStyle w:val="Heading2"/>
        <w:spacing w:after="120" w:before="260"/>
      </w:pPr>
      <w:r>
        <w:rPr>
          <w:b/>
          <w:bCs/>
          <w:color w:val="2E74B5"/>
        </w:rPr>
        <w:t xml:space="preserve">8.1 Assumptions</w:t>
      </w:r>
    </w:p>
    <w:p>
      <w:pPr>
        <w:spacing w:after="60"/>
        <w:ind w:left="720" w:hanging="360"/>
      </w:pPr>
      <w:r>
        <w:t xml:space="preserve">•  </w:t>
      </w:r>
      <w:r>
        <w:t xml:space="preserve">Property listing data is available via an API or exportable feed from an existing system of record.</w:t>
      </w:r>
    </w:p>
    <w:p>
      <w:pPr>
        <w:spacing w:after="60"/>
        <w:ind w:left="720" w:hanging="360"/>
      </w:pPr>
      <w:r>
        <w:t xml:space="preserve">•  </w:t>
      </w:r>
      <w:r>
        <w:t xml:space="preserve">The agency has an existing CRM that exposes an integration API.</w:t>
      </w:r>
    </w:p>
    <w:p>
      <w:pPr>
        <w:spacing w:after="60"/>
        <w:ind w:left="720" w:hanging="360"/>
      </w:pPr>
      <w:r>
        <w:t xml:space="preserve">•  </w:t>
      </w:r>
      <w:r>
        <w:t xml:space="preserve">WhatsApp Business API access will be provisioned through an approved Business Solution Provider.</w:t>
      </w:r>
    </w:p>
    <w:p>
      <w:pPr>
        <w:spacing w:after="60"/>
        <w:ind w:left="720" w:hanging="360"/>
      </w:pPr>
      <w:r>
        <w:t xml:space="preserve">•  </w:t>
      </w:r>
      <w:r>
        <w:t xml:space="preserve">Agents will use the dashboard as their primary handoff and lead-review interface.</w:t>
      </w:r>
    </w:p>
    <w:p>
      <w:pPr>
        <w:pStyle w:val="Heading2"/>
        <w:spacing w:after="120" w:before="260"/>
      </w:pPr>
      <w:r>
        <w:rPr>
          <w:b/>
          <w:bCs/>
          <w:color w:val="2E74B5"/>
        </w:rPr>
        <w:t xml:space="preserve">8.2 Constraints</w:t>
      </w:r>
    </w:p>
    <w:p>
      <w:pPr>
        <w:spacing w:after="60"/>
        <w:ind w:left="720" w:hanging="360"/>
      </w:pPr>
      <w:r>
        <w:t xml:space="preserve">•  </w:t>
      </w:r>
      <w:r>
        <w:t xml:space="preserve">Must comply with applicable data protection regulation for the markets served.</w:t>
      </w:r>
    </w:p>
    <w:p>
      <w:pPr>
        <w:spacing w:after="60"/>
        <w:ind w:left="720" w:hanging="360"/>
      </w:pPr>
      <w:r>
        <w:t xml:space="preserve">•  </w:t>
      </w:r>
      <w:r>
        <w:t xml:space="preserve">AI responses must not fabricate property details — all listing facts must be grounded in verified data.</w:t>
      </w:r>
    </w:p>
    <w:p>
      <w:pPr>
        <w:spacing w:after="60"/>
        <w:ind w:left="720" w:hanging="360"/>
      </w:pPr>
      <w:r>
        <w:t xml:space="preserve">•  </w:t>
      </w:r>
      <w:r>
        <w:t xml:space="preserve">Initial budget and timeline require a phased delivery starting with an MVP (see Document 10: Roadmap).</w:t>
      </w:r>
    </w:p>
    <w:p>
      <w:pPr>
        <w:pStyle w:val="Heading1"/>
        <w:spacing w:after="160" w:before="360"/>
      </w:pPr>
      <w:r>
        <w:rPr>
          <w:b/>
          <w:bCs/>
          <w:color w:val="1F3864"/>
        </w:rPr>
        <w:t xml:space="preserve">9. High-Level Risks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shd w:fill="1F3864" w:val="clear"/>
            <w:tcMar>
              <w:top w:type="dxa" w:w="80"/>
              <w:left w:type="dxa" w:w="100"/>
              <w:bottom w:type="dxa" w:w="80"/>
              <w:right w:type="dxa" w:w="100"/>
            </w:tcMar>
          </w:tcPr>
          <w:p>
            <w:r>
              <w:rPr>
                <w:b/>
                <w:bCs/>
                <w:color w:val="FFFFFF"/>
              </w:rPr>
              <w:t xml:space="preserve">Risk</w:t>
            </w:r>
          </w:p>
        </w:tc>
        <w:tc>
          <w:tcPr>
            <w:tcW w:type="dxa" w:w="1600"/>
            <w:shd w:fill="1F3864" w:val="clear"/>
            <w:tcMar>
              <w:top w:type="dxa" w:w="80"/>
              <w:left w:type="dxa" w:w="100"/>
              <w:bottom w:type="dxa" w:w="80"/>
              <w:right w:type="dxa" w:w="100"/>
            </w:tcMar>
          </w:tcPr>
          <w:p>
            <w:r>
              <w:rPr>
                <w:b/>
                <w:bCs/>
                <w:color w:val="FFFFFF"/>
              </w:rPr>
              <w:t xml:space="preserve">Impact</w:t>
            </w:r>
          </w:p>
        </w:tc>
        <w:tc>
          <w:tcPr>
            <w:tcW w:type="dxa" w:w="4600"/>
            <w:shd w:fill="1F3864" w:val="clear"/>
            <w:tcMar>
              <w:top w:type="dxa" w:w="80"/>
              <w:left w:type="dxa" w:w="100"/>
              <w:bottom w:type="dxa" w:w="80"/>
              <w:right w:type="dxa" w:w="100"/>
            </w:tcMar>
          </w:tcPr>
          <w:p>
            <w:r>
              <w:rPr>
                <w:b/>
                <w:bCs/>
                <w:color w:val="FFFFFF"/>
              </w:rPr>
              <w:t xml:space="preserve">Mitigation</w:t>
            </w:r>
          </w:p>
        </w:tc>
      </w:tr>
      <w:tr>
        <w:tc>
          <w:tcPr>
            <w:tcW w:type="dxa" w:w="3200"/>
            <w:tcMar>
              <w:top w:type="dxa" w:w="80"/>
              <w:left w:type="dxa" w:w="100"/>
              <w:bottom w:type="dxa" w:w="80"/>
              <w:right w:type="dxa" w:w="100"/>
            </w:tcMar>
          </w:tcPr>
          <w:p>
            <w:r>
              <w:rPr>
                <w:b w:val="false"/>
                <w:bCs w:val="false"/>
              </w:rPr>
              <w:t xml:space="preserve">AI hallucinates property details</w:t>
            </w:r>
          </w:p>
        </w:tc>
        <w:tc>
          <w:tcPr>
            <w:tcW w:type="dxa" w:w="1600"/>
            <w:tcMar>
              <w:top w:type="dxa" w:w="80"/>
              <w:left w:type="dxa" w:w="100"/>
              <w:bottom w:type="dxa" w:w="80"/>
              <w:right w:type="dxa" w:w="100"/>
            </w:tcMar>
          </w:tcPr>
          <w:p>
            <w:r>
              <w:rPr>
                <w:b w:val="false"/>
                <w:bCs w:val="false"/>
              </w:rPr>
              <w:t xml:space="preserve">High</w:t>
            </w:r>
          </w:p>
        </w:tc>
        <w:tc>
          <w:tcPr>
            <w:tcW w:type="dxa" w:w="4600"/>
            <w:tcMar>
              <w:top w:type="dxa" w:w="80"/>
              <w:left w:type="dxa" w:w="100"/>
              <w:bottom w:type="dxa" w:w="80"/>
              <w:right w:type="dxa" w:w="100"/>
            </w:tcMar>
          </w:tcPr>
          <w:p>
            <w:r>
              <w:rPr>
                <w:b w:val="false"/>
                <w:bCs w:val="false"/>
              </w:rPr>
              <w:t xml:space="preserve">Ground all responses in retrieved listing data; add guardrails and evaluation (see Doc 05)</w:t>
            </w:r>
          </w:p>
        </w:tc>
      </w:tr>
      <w:tr>
        <w:tc>
          <w:tcPr>
            <w:tcW w:type="dxa" w:w="3200"/>
            <w:shd w:fill="DCE6F1" w:val="clear"/>
            <w:tcMar>
              <w:top w:type="dxa" w:w="80"/>
              <w:left w:type="dxa" w:w="100"/>
              <w:bottom w:type="dxa" w:w="80"/>
              <w:right w:type="dxa" w:w="100"/>
            </w:tcMar>
          </w:tcPr>
          <w:p>
            <w:r>
              <w:rPr>
                <w:b w:val="false"/>
                <w:bCs w:val="false"/>
              </w:rPr>
              <w:t xml:space="preserve">Low lead-data quality from source channels</w:t>
            </w:r>
          </w:p>
        </w:tc>
        <w:tc>
          <w:tcPr>
            <w:tcW w:type="dxa" w:w="1600"/>
            <w:shd w:fill="DCE6F1" w:val="clear"/>
            <w:tcMar>
              <w:top w:type="dxa" w:w="80"/>
              <w:left w:type="dxa" w:w="100"/>
              <w:bottom w:type="dxa" w:w="80"/>
              <w:right w:type="dxa" w:w="100"/>
            </w:tcMar>
          </w:tcPr>
          <w:p>
            <w:r>
              <w:rPr>
                <w:b w:val="false"/>
                <w:bCs w:val="false"/>
              </w:rPr>
              <w:t xml:space="preserve">Medium</w:t>
            </w:r>
          </w:p>
        </w:tc>
        <w:tc>
          <w:tcPr>
            <w:tcW w:type="dxa" w:w="4600"/>
            <w:shd w:fill="DCE6F1" w:val="clear"/>
            <w:tcMar>
              <w:top w:type="dxa" w:w="80"/>
              <w:left w:type="dxa" w:w="100"/>
              <w:bottom w:type="dxa" w:w="80"/>
              <w:right w:type="dxa" w:w="100"/>
            </w:tcMar>
          </w:tcPr>
          <w:p>
            <w:r>
              <w:rPr>
                <w:b w:val="false"/>
                <w:bCs w:val="false"/>
              </w:rPr>
              <w:t xml:space="preserve">Structured qualification flow with validation</w:t>
            </w:r>
          </w:p>
        </w:tc>
      </w:tr>
      <w:tr>
        <w:tc>
          <w:tcPr>
            <w:tcW w:type="dxa" w:w="3200"/>
            <w:tcMar>
              <w:top w:type="dxa" w:w="80"/>
              <w:left w:type="dxa" w:w="100"/>
              <w:bottom w:type="dxa" w:w="80"/>
              <w:right w:type="dxa" w:w="100"/>
            </w:tcMar>
          </w:tcPr>
          <w:p>
            <w:r>
              <w:rPr>
                <w:b w:val="false"/>
                <w:bCs w:val="false"/>
              </w:rPr>
              <w:t xml:space="preserve">Agent adoption resistance</w:t>
            </w:r>
          </w:p>
        </w:tc>
        <w:tc>
          <w:tcPr>
            <w:tcW w:type="dxa" w:w="1600"/>
            <w:tcMar>
              <w:top w:type="dxa" w:w="80"/>
              <w:left w:type="dxa" w:w="100"/>
              <w:bottom w:type="dxa" w:w="80"/>
              <w:right w:type="dxa" w:w="100"/>
            </w:tcMar>
          </w:tcPr>
          <w:p>
            <w:r>
              <w:rPr>
                <w:b w:val="false"/>
                <w:bCs w:val="false"/>
              </w:rPr>
              <w:t xml:space="preserve">Medium</w:t>
            </w:r>
          </w:p>
        </w:tc>
        <w:tc>
          <w:tcPr>
            <w:tcW w:type="dxa" w:w="4600"/>
            <w:tcMar>
              <w:top w:type="dxa" w:w="80"/>
              <w:left w:type="dxa" w:w="100"/>
              <w:bottom w:type="dxa" w:w="80"/>
              <w:right w:type="dxa" w:w="100"/>
            </w:tcMar>
          </w:tcPr>
          <w:p>
            <w:r>
              <w:rPr>
                <w:b w:val="false"/>
                <w:bCs w:val="false"/>
              </w:rPr>
              <w:t xml:space="preserve">Early agent involvement, simple handoff UX, training</w:t>
            </w:r>
          </w:p>
        </w:tc>
      </w:tr>
      <w:tr>
        <w:tc>
          <w:tcPr>
            <w:tcW w:type="dxa" w:w="3200"/>
            <w:shd w:fill="DCE6F1" w:val="clear"/>
            <w:tcMar>
              <w:top w:type="dxa" w:w="80"/>
              <w:left w:type="dxa" w:w="100"/>
              <w:bottom w:type="dxa" w:w="80"/>
              <w:right w:type="dxa" w:w="100"/>
            </w:tcMar>
          </w:tcPr>
          <w:p>
            <w:r>
              <w:rPr>
                <w:b w:val="false"/>
                <w:bCs w:val="false"/>
              </w:rPr>
              <w:t xml:space="preserve">WhatsApp API approval delays</w:t>
            </w:r>
          </w:p>
        </w:tc>
        <w:tc>
          <w:tcPr>
            <w:tcW w:type="dxa" w:w="1600"/>
            <w:shd w:fill="DCE6F1" w:val="clear"/>
            <w:tcMar>
              <w:top w:type="dxa" w:w="80"/>
              <w:left w:type="dxa" w:w="100"/>
              <w:bottom w:type="dxa" w:w="80"/>
              <w:right w:type="dxa" w:w="100"/>
            </w:tcMar>
          </w:tcPr>
          <w:p>
            <w:r>
              <w:rPr>
                <w:b w:val="false"/>
                <w:bCs w:val="false"/>
              </w:rPr>
              <w:t xml:space="preserve">Medium</w:t>
            </w:r>
          </w:p>
        </w:tc>
        <w:tc>
          <w:tcPr>
            <w:tcW w:type="dxa" w:w="4600"/>
            <w:shd w:fill="DCE6F1" w:val="clear"/>
            <w:tcMar>
              <w:top w:type="dxa" w:w="80"/>
              <w:left w:type="dxa" w:w="100"/>
              <w:bottom w:type="dxa" w:w="80"/>
              <w:right w:type="dxa" w:w="100"/>
            </w:tcMar>
          </w:tcPr>
          <w:p>
            <w:r>
              <w:rPr>
                <w:b w:val="false"/>
                <w:bCs w:val="false"/>
              </w:rPr>
              <w:t xml:space="preserve">Start provider onboarding early in Phase 1</w:t>
            </w:r>
          </w:p>
        </w:tc>
      </w:tr>
      <w:tr>
        <w:tc>
          <w:tcPr>
            <w:tcW w:type="dxa" w:w="3200"/>
            <w:tcMar>
              <w:top w:type="dxa" w:w="80"/>
              <w:left w:type="dxa" w:w="100"/>
              <w:bottom w:type="dxa" w:w="80"/>
              <w:right w:type="dxa" w:w="100"/>
            </w:tcMar>
          </w:tcPr>
          <w:p>
            <w:r>
              <w:rPr>
                <w:b w:val="false"/>
                <w:bCs w:val="false"/>
              </w:rPr>
              <w:t xml:space="preserve">CRM integration instability</w:t>
            </w:r>
          </w:p>
        </w:tc>
        <w:tc>
          <w:tcPr>
            <w:tcW w:type="dxa" w:w="1600"/>
            <w:tcMar>
              <w:top w:type="dxa" w:w="80"/>
              <w:left w:type="dxa" w:w="100"/>
              <w:bottom w:type="dxa" w:w="80"/>
              <w:right w:type="dxa" w:w="100"/>
            </w:tcMar>
          </w:tcPr>
          <w:p>
            <w:r>
              <w:rPr>
                <w:b w:val="false"/>
                <w:bCs w:val="false"/>
              </w:rPr>
              <w:t xml:space="preserve">High</w:t>
            </w:r>
          </w:p>
        </w:tc>
        <w:tc>
          <w:tcPr>
            <w:tcW w:type="dxa" w:w="4600"/>
            <w:tcMar>
              <w:top w:type="dxa" w:w="80"/>
              <w:left w:type="dxa" w:w="100"/>
              <w:bottom w:type="dxa" w:w="80"/>
              <w:right w:type="dxa" w:w="100"/>
            </w:tcMar>
          </w:tcPr>
          <w:p>
            <w:r>
              <w:rPr>
                <w:b w:val="false"/>
                <w:bCs w:val="false"/>
              </w:rPr>
              <w:t xml:space="preserve">Build resilient sync with retry/queue and monitoring</w:t>
            </w:r>
          </w:p>
        </w:tc>
      </w:tr>
    </w:tbl>
    <w:p>
      <w:pPr>
        <w:pStyle w:val="Heading1"/>
        <w:spacing w:after="160" w:before="360"/>
      </w:pPr>
      <w:r>
        <w:rPr>
          <w:b/>
          <w:bCs/>
          <w:color w:val="1F3864"/>
        </w:rPr>
        <w:t xml:space="preserve">10. Approval</w:t>
      </w:r>
    </w:p>
    <w:p>
      <w:pPr>
        <w:spacing w:after="140"/>
      </w:pPr>
      <w:r>
        <w:t xml:space="preserve">This charter is the foundation for the Business Requirements Document (02), Software Requirements Specification (03), and all subsequent technical documents. Any material change to objectives, scope, or success metrics must be reflected here first and re-approved by the Sales Manager (Sponsor) before downstream documents are updated.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2026-09-08T13:34:47.680Z</dcterms:created>
  <dcterms:modified xsi:type="dcterms:W3CDTF">2026-09-08T13:34:47.692Z</dcterms:modified>
</cp:coreProperties>
</file>

<file path=docProps/custom.xml><?xml version="1.0" encoding="utf-8"?>
<Properties xmlns="http://schemas.openxmlformats.org/officeDocument/2006/custom-properties" xmlns:vt="http://schemas.openxmlformats.org/officeDocument/2006/docPropsVTypes"/>
</file>