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595959"/>
          <w:sz w:val="28"/>
          <w:szCs w:val="28"/>
        </w:rPr>
        <w:t xml:space="preserve">REAL ESTATE LEAD BOT</w:t>
      </w:r>
    </w:p>
    <w:p>
      <w:pPr>
        <w:spacing w:after="200" w:before="300"/>
        <w:jc w:val="center"/>
      </w:pPr>
      <w:r>
        <w:rPr>
          <w:b/>
          <w:bCs/>
          <w:color w:val="1F3864"/>
          <w:sz w:val="52"/>
          <w:szCs w:val="52"/>
        </w:rPr>
        <w:t xml:space="preserve">AI / LLM Functional Specification</w:t>
      </w:r>
    </w:p>
    <w:p>
      <w:pPr>
        <w:spacing w:after="600"/>
        <w:jc w:val="center"/>
      </w:pPr>
      <w:r>
        <w:rPr>
          <w:i/>
          <w:iCs/>
          <w:color w:val="2E74B5"/>
          <w:sz w:val="26"/>
          <w:szCs w:val="26"/>
        </w:rPr>
        <w:t xml:space="preserve">Real Estate Lead Bot</w:t>
      </w:r>
    </w:p>
    <w:p>
      <w:pPr>
        <w:jc w:val="center"/>
      </w:pPr>
      <w:r>
        <w:rPr>
          <w:color w:val="595959"/>
          <w:sz w:val="20"/>
          <w:szCs w:val="20"/>
        </w:rPr>
        <w:t xml:space="preserve">Document Code: RELB-DOC-05</w:t>
      </w:r>
    </w:p>
    <w:p>
      <w:pPr>
        <w:jc w:val="center"/>
      </w:pPr>
      <w:r>
        <w:rPr>
          <w:color w:val="595959"/>
          <w:sz w:val="20"/>
          <w:szCs w:val="20"/>
        </w:rPr>
        <w:t xml:space="preserve">Version 1.0</w:t>
      </w:r>
    </w:p>
    <w:p>
      <w:pPr>
        <w:spacing w:after="2000"/>
        <w:jc w:val="center"/>
      </w:pPr>
      <w:r>
        <w:rPr>
          <w:color w:val="595959"/>
          <w:sz w:val="20"/>
          <w:szCs w:val="20"/>
        </w:rPr>
        <w:t xml:space="preserve">Status: Draft for Development</w:t>
      </w:r>
    </w:p>
    <w:p>
      <w:r>
        <w:br w:type="page"/>
      </w:r>
    </w:p>
    <w:p>
      <w:pPr>
        <w:pStyle w:val="Heading1"/>
        <w:spacing w:after="160" w:before="360"/>
      </w:pPr>
      <w:r>
        <w:rPr>
          <w:b/>
          <w:bCs/>
          <w:color w:val="1F3864"/>
        </w:rPr>
        <w:t xml:space="preserve">1. Purpose</w:t>
      </w:r>
    </w:p>
    <w:p>
      <w:pPr>
        <w:spacing w:after="140"/>
      </w:pPr>
      <w:r>
        <w:t xml:space="preserve">This document specifies how the AI/LLM components of the Real Estate Lead Bot behave: their responsibilities, prompt architecture, tool-calling model, guardrails, and evaluation approach. It is the primary reference for prompt engineers and AI/ML engineers implementing the conversational layer.</w:t>
      </w:r>
    </w:p>
    <w:p>
      <w:pPr>
        <w:pStyle w:val="Heading1"/>
        <w:spacing w:after="160" w:before="360"/>
      </w:pPr>
      <w:r>
        <w:rPr>
          <w:b/>
          <w:bCs/>
          <w:color w:val="1F3864"/>
        </w:rPr>
        <w:t xml:space="preserve">2. AI Responsibilities</w:t>
      </w:r>
    </w:p>
    <w:p>
      <w:pPr>
        <w:spacing w:after="60"/>
        <w:ind w:left="720" w:hanging="360"/>
      </w:pPr>
      <w:r>
        <w:t xml:space="preserve">•  </w:t>
      </w:r>
      <w:r>
        <w:t xml:space="preserve">Detect user intent from free-text messages.</w:t>
      </w:r>
    </w:p>
    <w:p>
      <w:pPr>
        <w:spacing w:after="60"/>
        <w:ind w:left="720" w:hanging="360"/>
      </w:pPr>
      <w:r>
        <w:t xml:space="preserve">•  </w:t>
      </w:r>
      <w:r>
        <w:t xml:space="preserve">Extract structured entities (budget, location, property type, timeline, bedrooms).</w:t>
      </w:r>
    </w:p>
    <w:p>
      <w:pPr>
        <w:spacing w:after="60"/>
        <w:ind w:left="720" w:hanging="360"/>
      </w:pPr>
      <w:r>
        <w:t xml:space="preserve">•  </w:t>
      </w:r>
      <w:r>
        <w:t xml:space="preserve">Maintain conversation memory across turns and sessions for a given lead.</w:t>
      </w:r>
    </w:p>
    <w:p>
      <w:pPr>
        <w:spacing w:after="60"/>
        <w:ind w:left="720" w:hanging="360"/>
      </w:pPr>
      <w:r>
        <w:t xml:space="preserve">•  </w:t>
      </w:r>
      <w:r>
        <w:t xml:space="preserve">Compute or contribute inputs to lead scoring.</w:t>
      </w:r>
    </w:p>
    <w:p>
      <w:pPr>
        <w:spacing w:after="60"/>
        <w:ind w:left="720" w:hanging="360"/>
      </w:pPr>
      <w:r>
        <w:t xml:space="preserve">•  </w:t>
      </w:r>
      <w:r>
        <w:t xml:space="preserve">Generate property recommendations grounded strictly in retrieved listing data.</w:t>
      </w:r>
    </w:p>
    <w:p>
      <w:pPr>
        <w:spacing w:after="60"/>
        <w:ind w:left="720" w:hanging="360"/>
      </w:pPr>
      <w:r>
        <w:t xml:space="preserve">•  </w:t>
      </w:r>
      <w:r>
        <w:t xml:space="preserve">Decide when to call external tools (property search, calendar, CRM) versus when to ask the user a clarifying question.</w:t>
      </w:r>
    </w:p>
    <w:p>
      <w:pPr>
        <w:spacing w:after="60"/>
        <w:ind w:left="720" w:hanging="360"/>
      </w:pPr>
      <w:r>
        <w:t xml:space="preserve">•  </w:t>
      </w:r>
      <w:r>
        <w:t xml:space="preserve">Decide when to hand off to a human agent.</w:t>
      </w:r>
    </w:p>
    <w:p>
      <w:pPr>
        <w:spacing w:after="60"/>
        <w:ind w:left="720" w:hanging="360"/>
      </w:pPr>
      <w:r>
        <w:t xml:space="preserve">•  </w:t>
      </w:r>
      <w:r>
        <w:t xml:space="preserve">Produce natural, on-brand responses within defined tone and length constraints.</w:t>
      </w:r>
    </w:p>
    <w:p>
      <w:pPr>
        <w:pStyle w:val="Heading1"/>
        <w:spacing w:after="160" w:before="360"/>
      </w:pPr>
      <w:r>
        <w:rPr>
          <w:b/>
          <w:bCs/>
          <w:color w:val="1F3864"/>
        </w:rPr>
        <w:t xml:space="preserve">3. Intent Detection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1F3864" w:val="clear"/>
            <w:tcMar>
              <w:top w:type="dxa" w:w="80"/>
              <w:left w:type="dxa" w:w="100"/>
              <w:bottom w:type="dxa" w:w="80"/>
              <w:right w:type="dxa" w:w="100"/>
            </w:tcMar>
          </w:tcPr>
          <w:p>
            <w:r>
              <w:rPr>
                <w:b/>
                <w:bCs/>
                <w:color w:val="FFFFFF"/>
              </w:rPr>
              <w:t xml:space="preserve">Intent</w:t>
            </w:r>
          </w:p>
        </w:tc>
        <w:tc>
          <w:tcPr>
            <w:tcW w:type="dxa" w:w="3600"/>
            <w:shd w:fill="1F3864" w:val="clear"/>
            <w:tcMar>
              <w:top w:type="dxa" w:w="80"/>
              <w:left w:type="dxa" w:w="100"/>
              <w:bottom w:type="dxa" w:w="80"/>
              <w:right w:type="dxa" w:w="100"/>
            </w:tcMar>
          </w:tcPr>
          <w:p>
            <w:r>
              <w:rPr>
                <w:b/>
                <w:bCs/>
                <w:color w:val="FFFFFF"/>
              </w:rPr>
              <w:t xml:space="preserve">Example Trigger Phrases</w:t>
            </w:r>
          </w:p>
        </w:tc>
        <w:tc>
          <w:tcPr>
            <w:tcW w:type="dxa" w:w="3600"/>
            <w:shd w:fill="1F3864" w:val="clear"/>
            <w:tcMar>
              <w:top w:type="dxa" w:w="80"/>
              <w:left w:type="dxa" w:w="100"/>
              <w:bottom w:type="dxa" w:w="80"/>
              <w:right w:type="dxa" w:w="100"/>
            </w:tcMar>
          </w:tcPr>
          <w:p>
            <w:r>
              <w:rPr>
                <w:b/>
                <w:bCs/>
                <w:color w:val="FFFFFF"/>
              </w:rPr>
              <w:t xml:space="preserve">System Action</w:t>
            </w:r>
          </w:p>
        </w:tc>
      </w:tr>
      <w:tr>
        <w:tc>
          <w:tcPr>
            <w:tcW w:type="dxa" w:w="1800"/>
            <w:tcMar>
              <w:top w:type="dxa" w:w="80"/>
              <w:left w:type="dxa" w:w="100"/>
              <w:bottom w:type="dxa" w:w="80"/>
              <w:right w:type="dxa" w:w="100"/>
            </w:tcMar>
          </w:tcPr>
          <w:p>
            <w:r>
              <w:rPr>
                <w:b w:val="false"/>
                <w:bCs w:val="false"/>
              </w:rPr>
              <w:t xml:space="preserve">Buy Enquiry</w:t>
            </w:r>
          </w:p>
        </w:tc>
        <w:tc>
          <w:tcPr>
            <w:tcW w:type="dxa" w:w="3600"/>
            <w:tcMar>
              <w:top w:type="dxa" w:w="80"/>
              <w:left w:type="dxa" w:w="100"/>
              <w:bottom w:type="dxa" w:w="80"/>
              <w:right w:type="dxa" w:w="100"/>
            </w:tcMar>
          </w:tcPr>
          <w:p>
            <w:r>
              <w:rPr>
                <w:b w:val="false"/>
                <w:bCs w:val="false"/>
              </w:rPr>
              <w:t xml:space="preserve">"I'm looking to buy a 3-bedroom house"</w:t>
            </w:r>
          </w:p>
        </w:tc>
        <w:tc>
          <w:tcPr>
            <w:tcW w:type="dxa" w:w="3600"/>
            <w:tcMar>
              <w:top w:type="dxa" w:w="80"/>
              <w:left w:type="dxa" w:w="100"/>
              <w:bottom w:type="dxa" w:w="80"/>
              <w:right w:type="dxa" w:w="100"/>
            </w:tcMar>
          </w:tcPr>
          <w:p>
            <w:r>
              <w:rPr>
                <w:b w:val="false"/>
                <w:bCs w:val="false"/>
              </w:rPr>
              <w:t xml:space="preserve">Start/continue qualification for purchase</w:t>
            </w:r>
          </w:p>
        </w:tc>
      </w:tr>
      <w:tr>
        <w:tc>
          <w:tcPr>
            <w:tcW w:type="dxa" w:w="1800"/>
            <w:shd w:fill="DCE6F1" w:val="clear"/>
            <w:tcMar>
              <w:top w:type="dxa" w:w="80"/>
              <w:left w:type="dxa" w:w="100"/>
              <w:bottom w:type="dxa" w:w="80"/>
              <w:right w:type="dxa" w:w="100"/>
            </w:tcMar>
          </w:tcPr>
          <w:p>
            <w:r>
              <w:rPr>
                <w:b w:val="false"/>
                <w:bCs w:val="false"/>
              </w:rPr>
              <w:t xml:space="preserve">Rent Enquiry</w:t>
            </w:r>
          </w:p>
        </w:tc>
        <w:tc>
          <w:tcPr>
            <w:tcW w:type="dxa" w:w="3600"/>
            <w:shd w:fill="DCE6F1" w:val="clear"/>
            <w:tcMar>
              <w:top w:type="dxa" w:w="80"/>
              <w:left w:type="dxa" w:w="100"/>
              <w:bottom w:type="dxa" w:w="80"/>
              <w:right w:type="dxa" w:w="100"/>
            </w:tcMar>
          </w:tcPr>
          <w:p>
            <w:r>
              <w:rPr>
                <w:b w:val="false"/>
                <w:bCs w:val="false"/>
              </w:rPr>
              <w:t xml:space="preserve">"Do you have flats for rent near downtown"</w:t>
            </w:r>
          </w:p>
        </w:tc>
        <w:tc>
          <w:tcPr>
            <w:tcW w:type="dxa" w:w="3600"/>
            <w:shd w:fill="DCE6F1" w:val="clear"/>
            <w:tcMar>
              <w:top w:type="dxa" w:w="80"/>
              <w:left w:type="dxa" w:w="100"/>
              <w:bottom w:type="dxa" w:w="80"/>
              <w:right w:type="dxa" w:w="100"/>
            </w:tcMar>
          </w:tcPr>
          <w:p>
            <w:r>
              <w:rPr>
                <w:b w:val="false"/>
                <w:bCs w:val="false"/>
              </w:rPr>
              <w:t xml:space="preserve">Start/continue qualification for rental</w:t>
            </w:r>
          </w:p>
        </w:tc>
      </w:tr>
      <w:tr>
        <w:tc>
          <w:tcPr>
            <w:tcW w:type="dxa" w:w="1800"/>
            <w:tcMar>
              <w:top w:type="dxa" w:w="80"/>
              <w:left w:type="dxa" w:w="100"/>
              <w:bottom w:type="dxa" w:w="80"/>
              <w:right w:type="dxa" w:w="100"/>
            </w:tcMar>
          </w:tcPr>
          <w:p>
            <w:r>
              <w:rPr>
                <w:b w:val="false"/>
                <w:bCs w:val="false"/>
              </w:rPr>
              <w:t xml:space="preserve">Viewing Request</w:t>
            </w:r>
          </w:p>
        </w:tc>
        <w:tc>
          <w:tcPr>
            <w:tcW w:type="dxa" w:w="3600"/>
            <w:tcMar>
              <w:top w:type="dxa" w:w="80"/>
              <w:left w:type="dxa" w:w="100"/>
              <w:bottom w:type="dxa" w:w="80"/>
              <w:right w:type="dxa" w:w="100"/>
            </w:tcMar>
          </w:tcPr>
          <w:p>
            <w:r>
              <w:rPr>
                <w:b w:val="false"/>
                <w:bCs w:val="false"/>
              </w:rPr>
              <w:t xml:space="preserve">"Can I see this place this weekend"</w:t>
            </w:r>
          </w:p>
        </w:tc>
        <w:tc>
          <w:tcPr>
            <w:tcW w:type="dxa" w:w="3600"/>
            <w:tcMar>
              <w:top w:type="dxa" w:w="80"/>
              <w:left w:type="dxa" w:w="100"/>
              <w:bottom w:type="dxa" w:w="80"/>
              <w:right w:type="dxa" w:w="100"/>
            </w:tcMar>
          </w:tcPr>
          <w:p>
            <w:r>
              <w:rPr>
                <w:b w:val="false"/>
                <w:bCs w:val="false"/>
              </w:rPr>
              <w:t xml:space="preserve">Move to scheduling flow</w:t>
            </w:r>
          </w:p>
        </w:tc>
      </w:tr>
      <w:tr>
        <w:tc>
          <w:tcPr>
            <w:tcW w:type="dxa" w:w="1800"/>
            <w:shd w:fill="DCE6F1" w:val="clear"/>
            <w:tcMar>
              <w:top w:type="dxa" w:w="80"/>
              <w:left w:type="dxa" w:w="100"/>
              <w:bottom w:type="dxa" w:w="80"/>
              <w:right w:type="dxa" w:w="100"/>
            </w:tcMar>
          </w:tcPr>
          <w:p>
            <w:r>
              <w:rPr>
                <w:b w:val="false"/>
                <w:bCs w:val="false"/>
              </w:rPr>
              <w:t xml:space="preserve">Human Request</w:t>
            </w:r>
          </w:p>
        </w:tc>
        <w:tc>
          <w:tcPr>
            <w:tcW w:type="dxa" w:w="3600"/>
            <w:shd w:fill="DCE6F1" w:val="clear"/>
            <w:tcMar>
              <w:top w:type="dxa" w:w="80"/>
              <w:left w:type="dxa" w:w="100"/>
              <w:bottom w:type="dxa" w:w="80"/>
              <w:right w:type="dxa" w:w="100"/>
            </w:tcMar>
          </w:tcPr>
          <w:p>
            <w:r>
              <w:rPr>
                <w:b w:val="false"/>
                <w:bCs w:val="false"/>
              </w:rPr>
              <w:t xml:space="preserve">"Can I talk to a real person"</w:t>
            </w:r>
          </w:p>
        </w:tc>
        <w:tc>
          <w:tcPr>
            <w:tcW w:type="dxa" w:w="3600"/>
            <w:shd w:fill="DCE6F1" w:val="clear"/>
            <w:tcMar>
              <w:top w:type="dxa" w:w="80"/>
              <w:left w:type="dxa" w:w="100"/>
              <w:bottom w:type="dxa" w:w="80"/>
              <w:right w:type="dxa" w:w="100"/>
            </w:tcMar>
          </w:tcPr>
          <w:p>
            <w:r>
              <w:rPr>
                <w:b w:val="false"/>
                <w:bCs w:val="false"/>
              </w:rPr>
              <w:t xml:space="preserve">Trigger handoff (UC-04)</w:t>
            </w:r>
          </w:p>
        </w:tc>
      </w:tr>
      <w:tr>
        <w:tc>
          <w:tcPr>
            <w:tcW w:type="dxa" w:w="1800"/>
            <w:tcMar>
              <w:top w:type="dxa" w:w="80"/>
              <w:left w:type="dxa" w:w="100"/>
              <w:bottom w:type="dxa" w:w="80"/>
              <w:right w:type="dxa" w:w="100"/>
            </w:tcMar>
          </w:tcPr>
          <w:p>
            <w:r>
              <w:rPr>
                <w:b w:val="false"/>
                <w:bCs w:val="false"/>
              </w:rPr>
              <w:t xml:space="preserve">Complaint</w:t>
            </w:r>
          </w:p>
        </w:tc>
        <w:tc>
          <w:tcPr>
            <w:tcW w:type="dxa" w:w="3600"/>
            <w:tcMar>
              <w:top w:type="dxa" w:w="80"/>
              <w:left w:type="dxa" w:w="100"/>
              <w:bottom w:type="dxa" w:w="80"/>
              <w:right w:type="dxa" w:w="100"/>
            </w:tcMar>
          </w:tcPr>
          <w:p>
            <w:r>
              <w:rPr>
                <w:b w:val="false"/>
                <w:bCs w:val="false"/>
              </w:rPr>
              <w:t xml:space="preserve">"This is the third time no one replies"</w:t>
            </w:r>
          </w:p>
        </w:tc>
        <w:tc>
          <w:tcPr>
            <w:tcW w:type="dxa" w:w="3600"/>
            <w:tcMar>
              <w:top w:type="dxa" w:w="80"/>
              <w:left w:type="dxa" w:w="100"/>
              <w:bottom w:type="dxa" w:w="80"/>
              <w:right w:type="dxa" w:w="100"/>
            </w:tcMar>
          </w:tcPr>
          <w:p>
            <w:r>
              <w:rPr>
                <w:b w:val="false"/>
                <w:bCs w:val="false"/>
              </w:rPr>
              <w:t xml:space="preserve">Trigger handoff with priority flag</w:t>
            </w:r>
          </w:p>
        </w:tc>
      </w:tr>
      <w:tr>
        <w:tc>
          <w:tcPr>
            <w:tcW w:type="dxa" w:w="1800"/>
            <w:shd w:fill="DCE6F1" w:val="clear"/>
            <w:tcMar>
              <w:top w:type="dxa" w:w="80"/>
              <w:left w:type="dxa" w:w="100"/>
              <w:bottom w:type="dxa" w:w="80"/>
              <w:right w:type="dxa" w:w="100"/>
            </w:tcMar>
          </w:tcPr>
          <w:p>
            <w:r>
              <w:rPr>
                <w:b w:val="false"/>
                <w:bCs w:val="false"/>
              </w:rPr>
              <w:t xml:space="preserve">General Enquiry</w:t>
            </w:r>
          </w:p>
        </w:tc>
        <w:tc>
          <w:tcPr>
            <w:tcW w:type="dxa" w:w="3600"/>
            <w:shd w:fill="DCE6F1" w:val="clear"/>
            <w:tcMar>
              <w:top w:type="dxa" w:w="80"/>
              <w:left w:type="dxa" w:w="100"/>
              <w:bottom w:type="dxa" w:w="80"/>
              <w:right w:type="dxa" w:w="100"/>
            </w:tcMar>
          </w:tcPr>
          <w:p>
            <w:r>
              <w:rPr>
                <w:b w:val="false"/>
                <w:bCs w:val="false"/>
              </w:rPr>
              <w:t xml:space="preserve">"What areas do you cover"</w:t>
            </w:r>
          </w:p>
        </w:tc>
        <w:tc>
          <w:tcPr>
            <w:tcW w:type="dxa" w:w="3600"/>
            <w:shd w:fill="DCE6F1" w:val="clear"/>
            <w:tcMar>
              <w:top w:type="dxa" w:w="80"/>
              <w:left w:type="dxa" w:w="100"/>
              <w:bottom w:type="dxa" w:w="80"/>
              <w:right w:type="dxa" w:w="100"/>
            </w:tcMar>
          </w:tcPr>
          <w:p>
            <w:r>
              <w:rPr>
                <w:b w:val="false"/>
                <w:bCs w:val="false"/>
              </w:rPr>
              <w:t xml:space="preserve">Answer from verified knowledge base; no listing claims</w:t>
            </w:r>
          </w:p>
        </w:tc>
      </w:tr>
    </w:tbl>
    <w:p>
      <w:pPr>
        <w:pStyle w:val="Heading1"/>
        <w:spacing w:after="160" w:before="360"/>
      </w:pPr>
      <w:r>
        <w:rPr>
          <w:b/>
          <w:bCs/>
          <w:color w:val="1F3864"/>
        </w:rPr>
        <w:t xml:space="preserve">4. Entity Extraction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1F3864" w:val="clear"/>
            <w:tcMar>
              <w:top w:type="dxa" w:w="80"/>
              <w:left w:type="dxa" w:w="100"/>
              <w:bottom w:type="dxa" w:w="80"/>
              <w:right w:type="dxa" w:w="100"/>
            </w:tcMar>
          </w:tcPr>
          <w:p>
            <w:r>
              <w:rPr>
                <w:b/>
                <w:bCs/>
                <w:color w:val="FFFFFF"/>
              </w:rPr>
              <w:t xml:space="preserve">Entity</w:t>
            </w:r>
          </w:p>
        </w:tc>
        <w:tc>
          <w:tcPr>
            <w:tcW w:type="dxa" w:w="2200"/>
            <w:shd w:fill="1F3864" w:val="clear"/>
            <w:tcMar>
              <w:top w:type="dxa" w:w="80"/>
              <w:left w:type="dxa" w:w="100"/>
              <w:bottom w:type="dxa" w:w="80"/>
              <w:right w:type="dxa" w:w="100"/>
            </w:tcMar>
          </w:tcPr>
          <w:p>
            <w:r>
              <w:rPr>
                <w:b/>
                <w:bCs/>
                <w:color w:val="FFFFFF"/>
              </w:rPr>
              <w:t xml:space="preserve">Type</w:t>
            </w:r>
          </w:p>
        </w:tc>
        <w:tc>
          <w:tcPr>
            <w:tcW w:type="dxa" w:w="4400"/>
            <w:shd w:fill="1F3864" w:val="clear"/>
            <w:tcMar>
              <w:top w:type="dxa" w:w="80"/>
              <w:left w:type="dxa" w:w="100"/>
              <w:bottom w:type="dxa" w:w="80"/>
              <w:right w:type="dxa" w:w="100"/>
            </w:tcMar>
          </w:tcPr>
          <w:p>
            <w:r>
              <w:rPr>
                <w:b/>
                <w:bCs/>
                <w:color w:val="FFFFFF"/>
              </w:rPr>
              <w:t xml:space="preserve">Validation Rule</w:t>
            </w:r>
          </w:p>
        </w:tc>
      </w:tr>
      <w:tr>
        <w:tc>
          <w:tcPr>
            <w:tcW w:type="dxa" w:w="2400"/>
            <w:tcMar>
              <w:top w:type="dxa" w:w="80"/>
              <w:left w:type="dxa" w:w="100"/>
              <w:bottom w:type="dxa" w:w="80"/>
              <w:right w:type="dxa" w:w="100"/>
            </w:tcMar>
          </w:tcPr>
          <w:p>
            <w:r>
              <w:rPr>
                <w:b w:val="false"/>
                <w:bCs w:val="false"/>
              </w:rPr>
              <w:t xml:space="preserve">budget_min / budget_max</w:t>
            </w:r>
          </w:p>
        </w:tc>
        <w:tc>
          <w:tcPr>
            <w:tcW w:type="dxa" w:w="2200"/>
            <w:tcMar>
              <w:top w:type="dxa" w:w="80"/>
              <w:left w:type="dxa" w:w="100"/>
              <w:bottom w:type="dxa" w:w="80"/>
              <w:right w:type="dxa" w:w="100"/>
            </w:tcMar>
          </w:tcPr>
          <w:p>
            <w:r>
              <w:rPr>
                <w:b w:val="false"/>
                <w:bCs w:val="false"/>
              </w:rPr>
              <w:t xml:space="preserve">Numeric range</w:t>
            </w:r>
          </w:p>
        </w:tc>
        <w:tc>
          <w:tcPr>
            <w:tcW w:type="dxa" w:w="4400"/>
            <w:tcMar>
              <w:top w:type="dxa" w:w="80"/>
              <w:left w:type="dxa" w:w="100"/>
              <w:bottom w:type="dxa" w:w="80"/>
              <w:right w:type="dxa" w:w="100"/>
            </w:tcMar>
          </w:tcPr>
          <w:p>
            <w:r>
              <w:rPr>
                <w:b w:val="false"/>
                <w:bCs w:val="false"/>
              </w:rPr>
              <w:t xml:space="preserve">Must be positive; if only one value given, infer a reasonable range and confirm with the user</w:t>
            </w:r>
          </w:p>
        </w:tc>
      </w:tr>
      <w:tr>
        <w:tc>
          <w:tcPr>
            <w:tcW w:type="dxa" w:w="2400"/>
            <w:shd w:fill="DCE6F1" w:val="clear"/>
            <w:tcMar>
              <w:top w:type="dxa" w:w="80"/>
              <w:left w:type="dxa" w:w="100"/>
              <w:bottom w:type="dxa" w:w="80"/>
              <w:right w:type="dxa" w:w="100"/>
            </w:tcMar>
          </w:tcPr>
          <w:p>
            <w:r>
              <w:rPr>
                <w:b w:val="false"/>
                <w:bCs w:val="false"/>
              </w:rPr>
              <w:t xml:space="preserve">location</w:t>
            </w:r>
          </w:p>
        </w:tc>
        <w:tc>
          <w:tcPr>
            <w:tcW w:type="dxa" w:w="2200"/>
            <w:shd w:fill="DCE6F1" w:val="clear"/>
            <w:tcMar>
              <w:top w:type="dxa" w:w="80"/>
              <w:left w:type="dxa" w:w="100"/>
              <w:bottom w:type="dxa" w:w="80"/>
              <w:right w:type="dxa" w:w="100"/>
            </w:tcMar>
          </w:tcPr>
          <w:p>
            <w:r>
              <w:rPr>
                <w:b w:val="false"/>
                <w:bCs w:val="false"/>
              </w:rPr>
              <w:t xml:space="preserve">Text / geo-normalized</w:t>
            </w:r>
          </w:p>
        </w:tc>
        <w:tc>
          <w:tcPr>
            <w:tcW w:type="dxa" w:w="4400"/>
            <w:shd w:fill="DCE6F1" w:val="clear"/>
            <w:tcMar>
              <w:top w:type="dxa" w:w="80"/>
              <w:left w:type="dxa" w:w="100"/>
              <w:bottom w:type="dxa" w:w="80"/>
              <w:right w:type="dxa" w:w="100"/>
            </w:tcMar>
          </w:tcPr>
          <w:p>
            <w:r>
              <w:rPr>
                <w:b w:val="false"/>
                <w:bCs w:val="false"/>
              </w:rPr>
              <w:t xml:space="preserve">Matched against a known list of serviceable areas; unknown areas trigger a clarifying question</w:t>
            </w:r>
          </w:p>
        </w:tc>
      </w:tr>
      <w:tr>
        <w:tc>
          <w:tcPr>
            <w:tcW w:type="dxa" w:w="2400"/>
            <w:tcMar>
              <w:top w:type="dxa" w:w="80"/>
              <w:left w:type="dxa" w:w="100"/>
              <w:bottom w:type="dxa" w:w="80"/>
              <w:right w:type="dxa" w:w="100"/>
            </w:tcMar>
          </w:tcPr>
          <w:p>
            <w:r>
              <w:rPr>
                <w:b w:val="false"/>
                <w:bCs w:val="false"/>
              </w:rPr>
              <w:t xml:space="preserve">property_type</w:t>
            </w:r>
          </w:p>
        </w:tc>
        <w:tc>
          <w:tcPr>
            <w:tcW w:type="dxa" w:w="2200"/>
            <w:tcMar>
              <w:top w:type="dxa" w:w="80"/>
              <w:left w:type="dxa" w:w="100"/>
              <w:bottom w:type="dxa" w:w="80"/>
              <w:right w:type="dxa" w:w="100"/>
            </w:tcMar>
          </w:tcPr>
          <w:p>
            <w:r>
              <w:rPr>
                <w:b w:val="false"/>
                <w:bCs w:val="false"/>
              </w:rPr>
              <w:t xml:space="preserve">Enum</w:t>
            </w:r>
          </w:p>
        </w:tc>
        <w:tc>
          <w:tcPr>
            <w:tcW w:type="dxa" w:w="4400"/>
            <w:tcMar>
              <w:top w:type="dxa" w:w="80"/>
              <w:left w:type="dxa" w:w="100"/>
              <w:bottom w:type="dxa" w:w="80"/>
              <w:right w:type="dxa" w:w="100"/>
            </w:tcMar>
          </w:tcPr>
          <w:p>
            <w:r>
              <w:rPr>
                <w:b w:val="false"/>
                <w:bCs w:val="false"/>
              </w:rPr>
              <w:t xml:space="preserve">One of: apartment, house, townhouse, land, commercial</w:t>
            </w:r>
          </w:p>
        </w:tc>
      </w:tr>
      <w:tr>
        <w:tc>
          <w:tcPr>
            <w:tcW w:type="dxa" w:w="2400"/>
            <w:shd w:fill="DCE6F1" w:val="clear"/>
            <w:tcMar>
              <w:top w:type="dxa" w:w="80"/>
              <w:left w:type="dxa" w:w="100"/>
              <w:bottom w:type="dxa" w:w="80"/>
              <w:right w:type="dxa" w:w="100"/>
            </w:tcMar>
          </w:tcPr>
          <w:p>
            <w:r>
              <w:rPr>
                <w:b w:val="false"/>
                <w:bCs w:val="false"/>
              </w:rPr>
              <w:t xml:space="preserve">bedrooms</w:t>
            </w:r>
          </w:p>
        </w:tc>
        <w:tc>
          <w:tcPr>
            <w:tcW w:type="dxa" w:w="2200"/>
            <w:shd w:fill="DCE6F1" w:val="clear"/>
            <w:tcMar>
              <w:top w:type="dxa" w:w="80"/>
              <w:left w:type="dxa" w:w="100"/>
              <w:bottom w:type="dxa" w:w="80"/>
              <w:right w:type="dxa" w:w="100"/>
            </w:tcMar>
          </w:tcPr>
          <w:p>
            <w:r>
              <w:rPr>
                <w:b w:val="false"/>
                <w:bCs w:val="false"/>
              </w:rPr>
              <w:t xml:space="preserve">Integer</w:t>
            </w:r>
          </w:p>
        </w:tc>
        <w:tc>
          <w:tcPr>
            <w:tcW w:type="dxa" w:w="4400"/>
            <w:shd w:fill="DCE6F1" w:val="clear"/>
            <w:tcMar>
              <w:top w:type="dxa" w:w="80"/>
              <w:left w:type="dxa" w:w="100"/>
              <w:bottom w:type="dxa" w:w="80"/>
              <w:right w:type="dxa" w:w="100"/>
            </w:tcMar>
          </w:tcPr>
          <w:p>
            <w:r>
              <w:rPr>
                <w:b w:val="false"/>
                <w:bCs w:val="false"/>
              </w:rPr>
              <w:t xml:space="preserve">0 (studio) to a configurable maximum</w:t>
            </w:r>
          </w:p>
        </w:tc>
      </w:tr>
      <w:tr>
        <w:tc>
          <w:tcPr>
            <w:tcW w:type="dxa" w:w="2400"/>
            <w:tcMar>
              <w:top w:type="dxa" w:w="80"/>
              <w:left w:type="dxa" w:w="100"/>
              <w:bottom w:type="dxa" w:w="80"/>
              <w:right w:type="dxa" w:w="100"/>
            </w:tcMar>
          </w:tcPr>
          <w:p>
            <w:r>
              <w:rPr>
                <w:b w:val="false"/>
                <w:bCs w:val="false"/>
              </w:rPr>
              <w:t xml:space="preserve">timeline</w:t>
            </w:r>
          </w:p>
        </w:tc>
        <w:tc>
          <w:tcPr>
            <w:tcW w:type="dxa" w:w="2200"/>
            <w:tcMar>
              <w:top w:type="dxa" w:w="80"/>
              <w:left w:type="dxa" w:w="100"/>
              <w:bottom w:type="dxa" w:w="80"/>
              <w:right w:type="dxa" w:w="100"/>
            </w:tcMar>
          </w:tcPr>
          <w:p>
            <w:r>
              <w:rPr>
                <w:b w:val="false"/>
                <w:bCs w:val="false"/>
              </w:rPr>
              <w:t xml:space="preserve">Enum</w:t>
            </w:r>
          </w:p>
        </w:tc>
        <w:tc>
          <w:tcPr>
            <w:tcW w:type="dxa" w:w="4400"/>
            <w:tcMar>
              <w:top w:type="dxa" w:w="80"/>
              <w:left w:type="dxa" w:w="100"/>
              <w:bottom w:type="dxa" w:w="80"/>
              <w:right w:type="dxa" w:w="100"/>
            </w:tcMar>
          </w:tcPr>
          <w:p>
            <w:r>
              <w:rPr>
                <w:b w:val="false"/>
                <w:bCs w:val="false"/>
              </w:rPr>
              <w:t xml:space="preserve">Immediate, 1–3 months, 3–6 months, exploring only</w:t>
            </w:r>
          </w:p>
        </w:tc>
      </w:tr>
    </w:tbl>
    <w:p>
      <w:pPr>
        <w:pStyle w:val="Heading1"/>
        <w:spacing w:after="160" w:before="360"/>
      </w:pPr>
      <w:r>
        <w:rPr>
          <w:b/>
          <w:bCs/>
          <w:color w:val="1F3864"/>
        </w:rPr>
        <w:t xml:space="preserve">5. Conversation Memory</w:t>
      </w:r>
    </w:p>
    <w:p>
      <w:pPr>
        <w:spacing w:after="60"/>
        <w:ind w:left="720" w:hanging="360"/>
      </w:pPr>
      <w:r>
        <w:t xml:space="preserve">•  </w:t>
      </w:r>
      <w:r>
        <w:t xml:space="preserve">Short-term memory: full turn-by-turn context within the active session, used directly in the prompt.</w:t>
      </w:r>
    </w:p>
    <w:p>
      <w:pPr>
        <w:spacing w:after="60"/>
        <w:ind w:left="720" w:hanging="360"/>
      </w:pPr>
      <w:r>
        <w:t xml:space="preserve">•  </w:t>
      </w:r>
      <w:r>
        <w:t xml:space="preserve">Long-term memory: structured lead profile (captured entities, prior properties viewed, past viewings) persisted and re-injected at the start of a new session.</w:t>
      </w:r>
    </w:p>
    <w:p>
      <w:pPr>
        <w:spacing w:after="60"/>
        <w:ind w:left="720" w:hanging="360"/>
      </w:pPr>
      <w:r>
        <w:t xml:space="preserve">•  </w:t>
      </w:r>
      <w:r>
        <w:t xml:space="preserve">Memory writes are explicit: only fields extracted with sufficient confidence are persisted, with the source turn referenced for auditability.</w:t>
      </w:r>
    </w:p>
    <w:p>
      <w:pPr>
        <w:pStyle w:val="Heading1"/>
        <w:spacing w:after="160" w:before="360"/>
      </w:pPr>
      <w:r>
        <w:rPr>
          <w:b/>
          <w:bCs/>
          <w:color w:val="1F3864"/>
        </w:rPr>
        <w:t xml:space="preserve">6. Lead Scoring</w:t>
      </w:r>
    </w:p>
    <w:p>
      <w:pPr>
        <w:spacing w:after="140"/>
      </w:pPr>
      <w:r>
        <w:t xml:space="preserve">Lead score is a weighted combination of: qualification completeness, stated timeline, budget realism against inventory, engagement level (messages sent, viewings booked), and explicit intent signals (e.g., asking to negotiate). The scoring model and weights are configurable business rules (see Document 02, Business Rules) and are exposed to agents in the dashboard, not just used internally.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800"/>
      </w:tblGrid>
      <w:tr>
        <w:trPr>
          <w:tblHeader/>
        </w:trPr>
        <w:tc>
          <w:tcPr>
            <w:tcW w:type="dxa" w:w="2200"/>
            <w:shd w:fill="1F3864" w:val="clear"/>
            <w:tcMar>
              <w:top w:type="dxa" w:w="80"/>
              <w:left w:type="dxa" w:w="100"/>
              <w:bottom w:type="dxa" w:w="80"/>
              <w:right w:type="dxa" w:w="100"/>
            </w:tcMar>
          </w:tcPr>
          <w:p>
            <w:r>
              <w:rPr>
                <w:b/>
                <w:bCs/>
                <w:color w:val="FFFFFF"/>
              </w:rPr>
              <w:t xml:space="preserve">Score Band</w:t>
            </w:r>
          </w:p>
        </w:tc>
        <w:tc>
          <w:tcPr>
            <w:tcW w:type="dxa" w:w="1800"/>
            <w:shd w:fill="1F3864" w:val="clear"/>
            <w:tcMar>
              <w:top w:type="dxa" w:w="80"/>
              <w:left w:type="dxa" w:w="100"/>
              <w:bottom w:type="dxa" w:w="80"/>
              <w:right w:type="dxa" w:w="100"/>
            </w:tcMar>
          </w:tcPr>
          <w:p>
            <w:r>
              <w:rPr>
                <w:b/>
                <w:bCs/>
                <w:color w:val="FFFFFF"/>
              </w:rPr>
              <w:t xml:space="preserve">Label</w:t>
            </w:r>
          </w:p>
        </w:tc>
        <w:tc>
          <w:tcPr>
            <w:tcW w:type="dxa" w:w="4800"/>
            <w:shd w:fill="1F3864" w:val="clear"/>
            <w:tcMar>
              <w:top w:type="dxa" w:w="80"/>
              <w:left w:type="dxa" w:w="100"/>
              <w:bottom w:type="dxa" w:w="80"/>
              <w:right w:type="dxa" w:w="100"/>
            </w:tcMar>
          </w:tcPr>
          <w:p>
            <w:r>
              <w:rPr>
                <w:b/>
                <w:bCs/>
                <w:color w:val="FFFFFF"/>
              </w:rPr>
              <w:t xml:space="preserve">System Behavior</w:t>
            </w:r>
          </w:p>
        </w:tc>
      </w:tr>
      <w:tr>
        <w:tc>
          <w:tcPr>
            <w:tcW w:type="dxa" w:w="2200"/>
            <w:tcMar>
              <w:top w:type="dxa" w:w="80"/>
              <w:left w:type="dxa" w:w="100"/>
              <w:bottom w:type="dxa" w:w="80"/>
              <w:right w:type="dxa" w:w="100"/>
            </w:tcMar>
          </w:tcPr>
          <w:p>
            <w:r>
              <w:rPr>
                <w:b w:val="false"/>
                <w:bCs w:val="false"/>
              </w:rPr>
              <w:t xml:space="preserve">80–100</w:t>
            </w:r>
          </w:p>
        </w:tc>
        <w:tc>
          <w:tcPr>
            <w:tcW w:type="dxa" w:w="1800"/>
            <w:tcMar>
              <w:top w:type="dxa" w:w="80"/>
              <w:left w:type="dxa" w:w="100"/>
              <w:bottom w:type="dxa" w:w="80"/>
              <w:right w:type="dxa" w:w="100"/>
            </w:tcMar>
          </w:tcPr>
          <w:p>
            <w:r>
              <w:rPr>
                <w:b w:val="false"/>
                <w:bCs w:val="false"/>
              </w:rPr>
              <w:t xml:space="preserve">Hot</w:t>
            </w:r>
          </w:p>
        </w:tc>
        <w:tc>
          <w:tcPr>
            <w:tcW w:type="dxa" w:w="4800"/>
            <w:tcMar>
              <w:top w:type="dxa" w:w="80"/>
              <w:left w:type="dxa" w:w="100"/>
              <w:bottom w:type="dxa" w:w="80"/>
              <w:right w:type="dxa" w:w="100"/>
            </w:tcMar>
          </w:tcPr>
          <w:p>
            <w:r>
              <w:rPr>
                <w:b w:val="false"/>
                <w:bCs w:val="false"/>
              </w:rPr>
              <w:t xml:space="preserve">Immediate agent notification alongside continued bot support</w:t>
            </w:r>
          </w:p>
        </w:tc>
      </w:tr>
      <w:tr>
        <w:tc>
          <w:tcPr>
            <w:tcW w:type="dxa" w:w="2200"/>
            <w:shd w:fill="DCE6F1" w:val="clear"/>
            <w:tcMar>
              <w:top w:type="dxa" w:w="80"/>
              <w:left w:type="dxa" w:w="100"/>
              <w:bottom w:type="dxa" w:w="80"/>
              <w:right w:type="dxa" w:w="100"/>
            </w:tcMar>
          </w:tcPr>
          <w:p>
            <w:r>
              <w:rPr>
                <w:b w:val="false"/>
                <w:bCs w:val="false"/>
              </w:rPr>
              <w:t xml:space="preserve">50–79</w:t>
            </w:r>
          </w:p>
        </w:tc>
        <w:tc>
          <w:tcPr>
            <w:tcW w:type="dxa" w:w="1800"/>
            <w:shd w:fill="DCE6F1" w:val="clear"/>
            <w:tcMar>
              <w:top w:type="dxa" w:w="80"/>
              <w:left w:type="dxa" w:w="100"/>
              <w:bottom w:type="dxa" w:w="80"/>
              <w:right w:type="dxa" w:w="100"/>
            </w:tcMar>
          </w:tcPr>
          <w:p>
            <w:r>
              <w:rPr>
                <w:b w:val="false"/>
                <w:bCs w:val="false"/>
              </w:rPr>
              <w:t xml:space="preserve">Warm</w:t>
            </w:r>
          </w:p>
        </w:tc>
        <w:tc>
          <w:tcPr>
            <w:tcW w:type="dxa" w:w="4800"/>
            <w:shd w:fill="DCE6F1" w:val="clear"/>
            <w:tcMar>
              <w:top w:type="dxa" w:w="80"/>
              <w:left w:type="dxa" w:w="100"/>
              <w:bottom w:type="dxa" w:w="80"/>
              <w:right w:type="dxa" w:w="100"/>
            </w:tcMar>
          </w:tcPr>
          <w:p>
            <w:r>
              <w:rPr>
                <w:b w:val="false"/>
                <w:bCs w:val="false"/>
              </w:rPr>
              <w:t xml:space="preserve">Continue automated nurture; agent visibility in dashboard</w:t>
            </w:r>
          </w:p>
        </w:tc>
      </w:tr>
      <w:tr>
        <w:tc>
          <w:tcPr>
            <w:tcW w:type="dxa" w:w="2200"/>
            <w:tcMar>
              <w:top w:type="dxa" w:w="80"/>
              <w:left w:type="dxa" w:w="100"/>
              <w:bottom w:type="dxa" w:w="80"/>
              <w:right w:type="dxa" w:w="100"/>
            </w:tcMar>
          </w:tcPr>
          <w:p>
            <w:r>
              <w:rPr>
                <w:b w:val="false"/>
                <w:bCs w:val="false"/>
              </w:rPr>
              <w:t xml:space="preserve">0–49</w:t>
            </w:r>
          </w:p>
        </w:tc>
        <w:tc>
          <w:tcPr>
            <w:tcW w:type="dxa" w:w="1800"/>
            <w:tcMar>
              <w:top w:type="dxa" w:w="80"/>
              <w:left w:type="dxa" w:w="100"/>
              <w:bottom w:type="dxa" w:w="80"/>
              <w:right w:type="dxa" w:w="100"/>
            </w:tcMar>
          </w:tcPr>
          <w:p>
            <w:r>
              <w:rPr>
                <w:b w:val="false"/>
                <w:bCs w:val="false"/>
              </w:rPr>
              <w:t xml:space="preserve">Cold</w:t>
            </w:r>
          </w:p>
        </w:tc>
        <w:tc>
          <w:tcPr>
            <w:tcW w:type="dxa" w:w="4800"/>
            <w:tcMar>
              <w:top w:type="dxa" w:w="80"/>
              <w:left w:type="dxa" w:w="100"/>
              <w:bottom w:type="dxa" w:w="80"/>
              <w:right w:type="dxa" w:w="100"/>
            </w:tcMar>
          </w:tcPr>
          <w:p>
            <w:r>
              <w:rPr>
                <w:b w:val="false"/>
                <w:bCs w:val="false"/>
              </w:rPr>
              <w:t xml:space="preserve">Lower-frequency automated nurture; no proactive agent alert</w:t>
            </w:r>
          </w:p>
        </w:tc>
      </w:tr>
    </w:tbl>
    <w:p>
      <w:pPr>
        <w:pStyle w:val="Heading1"/>
        <w:spacing w:after="160" w:before="360"/>
      </w:pPr>
      <w:r>
        <w:rPr>
          <w:b/>
          <w:bCs/>
          <w:color w:val="1F3864"/>
        </w:rPr>
        <w:t xml:space="preserve">7. Property Recommendation</w:t>
      </w:r>
    </w:p>
    <w:p>
      <w:pPr>
        <w:spacing w:after="60"/>
        <w:ind w:left="720" w:hanging="360"/>
      </w:pPr>
      <w:r>
        <w:t xml:space="preserve">•  </w:t>
      </w:r>
      <w:r>
        <w:t xml:space="preserve">Recommendations are generated only from data returned by the Property Engine tool call — the model must not invent listings, prices, or availability.</w:t>
      </w:r>
    </w:p>
    <w:p>
      <w:pPr>
        <w:spacing w:after="60"/>
        <w:ind w:left="720" w:hanging="360"/>
      </w:pPr>
      <w:r>
        <w:t xml:space="preserve">•  </w:t>
      </w:r>
      <w:r>
        <w:t xml:space="preserve">When no exact match exists, the model must say so plainly and may suggest the closest alternatives, explicitly labeled as such.</w:t>
      </w:r>
    </w:p>
    <w:p>
      <w:pPr>
        <w:spacing w:after="60"/>
        <w:ind w:left="720" w:hanging="360"/>
      </w:pPr>
      <w:r>
        <w:t xml:space="preserve">•  </w:t>
      </w:r>
      <w:r>
        <w:t xml:space="preserve">Each recommendation response includes a reference/ID back to the source listing for traceability.</w:t>
      </w:r>
    </w:p>
    <w:p>
      <w:pPr>
        <w:pStyle w:val="Heading1"/>
        <w:spacing w:after="160" w:before="360"/>
      </w:pPr>
      <w:r>
        <w:rPr>
          <w:b/>
          <w:bCs/>
          <w:color w:val="1F3864"/>
        </w:rPr>
        <w:t xml:space="preserve">8. Tool Calling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000"/>
      </w:tblGrid>
      <w:tr>
        <w:trPr>
          <w:tblHeader/>
        </w:trPr>
        <w:tc>
          <w:tcPr>
            <w:tcW w:type="dxa" w:w="2000"/>
            <w:shd w:fill="1F3864" w:val="clear"/>
            <w:tcMar>
              <w:top w:type="dxa" w:w="80"/>
              <w:left w:type="dxa" w:w="100"/>
              <w:bottom w:type="dxa" w:w="80"/>
              <w:right w:type="dxa" w:w="100"/>
            </w:tcMar>
          </w:tcPr>
          <w:p>
            <w:r>
              <w:rPr>
                <w:b/>
                <w:bCs/>
                <w:color w:val="FFFFFF"/>
              </w:rPr>
              <w:t xml:space="preserve">Tool</w:t>
            </w:r>
          </w:p>
        </w:tc>
        <w:tc>
          <w:tcPr>
            <w:tcW w:type="dxa" w:w="2600"/>
            <w:shd w:fill="1F3864" w:val="clear"/>
            <w:tcMar>
              <w:top w:type="dxa" w:w="80"/>
              <w:left w:type="dxa" w:w="100"/>
              <w:bottom w:type="dxa" w:w="80"/>
              <w:right w:type="dxa" w:w="100"/>
            </w:tcMar>
          </w:tcPr>
          <w:p>
            <w:r>
              <w:rPr>
                <w:b/>
                <w:bCs/>
                <w:color w:val="FFFFFF"/>
              </w:rPr>
              <w:t xml:space="preserve">When Called</w:t>
            </w:r>
          </w:p>
        </w:tc>
        <w:tc>
          <w:tcPr>
            <w:tcW w:type="dxa" w:w="2200"/>
            <w:shd w:fill="1F3864" w:val="clear"/>
            <w:tcMar>
              <w:top w:type="dxa" w:w="80"/>
              <w:left w:type="dxa" w:w="100"/>
              <w:bottom w:type="dxa" w:w="80"/>
              <w:right w:type="dxa" w:w="100"/>
            </w:tcMar>
          </w:tcPr>
          <w:p>
            <w:r>
              <w:rPr>
                <w:b/>
                <w:bCs/>
                <w:color w:val="FFFFFF"/>
              </w:rPr>
              <w:t xml:space="preserve">Input</w:t>
            </w:r>
          </w:p>
        </w:tc>
        <w:tc>
          <w:tcPr>
            <w:tcW w:type="dxa" w:w="2000"/>
            <w:shd w:fill="1F3864" w:val="clear"/>
            <w:tcMar>
              <w:top w:type="dxa" w:w="80"/>
              <w:left w:type="dxa" w:w="100"/>
              <w:bottom w:type="dxa" w:w="80"/>
              <w:right w:type="dxa" w:w="100"/>
            </w:tcMar>
          </w:tcPr>
          <w:p>
            <w:r>
              <w:rPr>
                <w:b/>
                <w:bCs/>
                <w:color w:val="FFFFFF"/>
              </w:rPr>
              <w:t xml:space="preserve">Output Used For</w:t>
            </w:r>
          </w:p>
        </w:tc>
      </w:tr>
      <w:tr>
        <w:tc>
          <w:tcPr>
            <w:tcW w:type="dxa" w:w="2000"/>
            <w:tcMar>
              <w:top w:type="dxa" w:w="80"/>
              <w:left w:type="dxa" w:w="100"/>
              <w:bottom w:type="dxa" w:w="80"/>
              <w:right w:type="dxa" w:w="100"/>
            </w:tcMar>
          </w:tcPr>
          <w:p>
            <w:r>
              <w:rPr>
                <w:b w:val="false"/>
                <w:bCs w:val="false"/>
              </w:rPr>
              <w:t xml:space="preserve">Property Search</w:t>
            </w:r>
          </w:p>
        </w:tc>
        <w:tc>
          <w:tcPr>
            <w:tcW w:type="dxa" w:w="2600"/>
            <w:tcMar>
              <w:top w:type="dxa" w:w="80"/>
              <w:left w:type="dxa" w:w="100"/>
              <w:bottom w:type="dxa" w:w="80"/>
              <w:right w:type="dxa" w:w="100"/>
            </w:tcMar>
          </w:tcPr>
          <w:p>
            <w:r>
              <w:rPr>
                <w:b w:val="false"/>
                <w:bCs w:val="false"/>
              </w:rPr>
              <w:t xml:space="preserve">Sufficient search criteria are known</w:t>
            </w:r>
          </w:p>
        </w:tc>
        <w:tc>
          <w:tcPr>
            <w:tcW w:type="dxa" w:w="2200"/>
            <w:tcMar>
              <w:top w:type="dxa" w:w="80"/>
              <w:left w:type="dxa" w:w="100"/>
              <w:bottom w:type="dxa" w:w="80"/>
              <w:right w:type="dxa" w:w="100"/>
            </w:tcMar>
          </w:tcPr>
          <w:p>
            <w:r>
              <w:rPr>
                <w:b w:val="false"/>
                <w:bCs w:val="false"/>
              </w:rPr>
              <w:t xml:space="preserve">Location, budget, type, bedrooms</w:t>
            </w:r>
          </w:p>
        </w:tc>
        <w:tc>
          <w:tcPr>
            <w:tcW w:type="dxa" w:w="2000"/>
            <w:tcMar>
              <w:top w:type="dxa" w:w="80"/>
              <w:left w:type="dxa" w:w="100"/>
              <w:bottom w:type="dxa" w:w="80"/>
              <w:right w:type="dxa" w:w="100"/>
            </w:tcMar>
          </w:tcPr>
          <w:p>
            <w:r>
              <w:rPr>
                <w:b w:val="false"/>
                <w:bCs w:val="false"/>
              </w:rPr>
              <w:t xml:space="preserve">Ranked listing candidates</w:t>
            </w:r>
          </w:p>
        </w:tc>
      </w:tr>
      <w:tr>
        <w:tc>
          <w:tcPr>
            <w:tcW w:type="dxa" w:w="2000"/>
            <w:shd w:fill="DCE6F1" w:val="clear"/>
            <w:tcMar>
              <w:top w:type="dxa" w:w="80"/>
              <w:left w:type="dxa" w:w="100"/>
              <w:bottom w:type="dxa" w:w="80"/>
              <w:right w:type="dxa" w:w="100"/>
            </w:tcMar>
          </w:tcPr>
          <w:p>
            <w:r>
              <w:rPr>
                <w:b w:val="false"/>
                <w:bCs w:val="false"/>
              </w:rPr>
              <w:t xml:space="preserve">Calendar Availability</w:t>
            </w:r>
          </w:p>
        </w:tc>
        <w:tc>
          <w:tcPr>
            <w:tcW w:type="dxa" w:w="2600"/>
            <w:shd w:fill="DCE6F1" w:val="clear"/>
            <w:tcMar>
              <w:top w:type="dxa" w:w="80"/>
              <w:left w:type="dxa" w:w="100"/>
              <w:bottom w:type="dxa" w:w="80"/>
              <w:right w:type="dxa" w:w="100"/>
            </w:tcMar>
          </w:tcPr>
          <w:p>
            <w:r>
              <w:rPr>
                <w:b w:val="false"/>
                <w:bCs w:val="false"/>
              </w:rPr>
              <w:t xml:space="preserve">Customer wants to view a specific property</w:t>
            </w:r>
          </w:p>
        </w:tc>
        <w:tc>
          <w:tcPr>
            <w:tcW w:type="dxa" w:w="2200"/>
            <w:shd w:fill="DCE6F1" w:val="clear"/>
            <w:tcMar>
              <w:top w:type="dxa" w:w="80"/>
              <w:left w:type="dxa" w:w="100"/>
              <w:bottom w:type="dxa" w:w="80"/>
              <w:right w:type="dxa" w:w="100"/>
            </w:tcMar>
          </w:tcPr>
          <w:p>
            <w:r>
              <w:rPr>
                <w:b w:val="false"/>
                <w:bCs w:val="false"/>
              </w:rPr>
              <w:t xml:space="preserve">Agent ID, property ID, date range</w:t>
            </w:r>
          </w:p>
        </w:tc>
        <w:tc>
          <w:tcPr>
            <w:tcW w:type="dxa" w:w="2000"/>
            <w:shd w:fill="DCE6F1" w:val="clear"/>
            <w:tcMar>
              <w:top w:type="dxa" w:w="80"/>
              <w:left w:type="dxa" w:w="100"/>
              <w:bottom w:type="dxa" w:w="80"/>
              <w:right w:type="dxa" w:w="100"/>
            </w:tcMar>
          </w:tcPr>
          <w:p>
            <w:r>
              <w:rPr>
                <w:b w:val="false"/>
                <w:bCs w:val="false"/>
              </w:rPr>
              <w:t xml:space="preserve">Offered viewing slots</w:t>
            </w:r>
          </w:p>
        </w:tc>
      </w:tr>
      <w:tr>
        <w:tc>
          <w:tcPr>
            <w:tcW w:type="dxa" w:w="2000"/>
            <w:tcMar>
              <w:top w:type="dxa" w:w="80"/>
              <w:left w:type="dxa" w:w="100"/>
              <w:bottom w:type="dxa" w:w="80"/>
              <w:right w:type="dxa" w:w="100"/>
            </w:tcMar>
          </w:tcPr>
          <w:p>
            <w:r>
              <w:rPr>
                <w:b w:val="false"/>
                <w:bCs w:val="false"/>
              </w:rPr>
              <w:t xml:space="preserve">Booking</w:t>
            </w:r>
          </w:p>
        </w:tc>
        <w:tc>
          <w:tcPr>
            <w:tcW w:type="dxa" w:w="2600"/>
            <w:tcMar>
              <w:top w:type="dxa" w:w="80"/>
              <w:left w:type="dxa" w:w="100"/>
              <w:bottom w:type="dxa" w:w="80"/>
              <w:right w:type="dxa" w:w="100"/>
            </w:tcMar>
          </w:tcPr>
          <w:p>
            <w:r>
              <w:rPr>
                <w:b w:val="false"/>
                <w:bCs w:val="false"/>
              </w:rPr>
              <w:t xml:space="preserve">Customer selects a slot</w:t>
            </w:r>
          </w:p>
        </w:tc>
        <w:tc>
          <w:tcPr>
            <w:tcW w:type="dxa" w:w="2200"/>
            <w:tcMar>
              <w:top w:type="dxa" w:w="80"/>
              <w:left w:type="dxa" w:w="100"/>
              <w:bottom w:type="dxa" w:w="80"/>
              <w:right w:type="dxa" w:w="100"/>
            </w:tcMar>
          </w:tcPr>
          <w:p>
            <w:r>
              <w:rPr>
                <w:b w:val="false"/>
                <w:bCs w:val="false"/>
              </w:rPr>
              <w:t xml:space="preserve">Slot ID, lead ID</w:t>
            </w:r>
          </w:p>
        </w:tc>
        <w:tc>
          <w:tcPr>
            <w:tcW w:type="dxa" w:w="2000"/>
            <w:tcMar>
              <w:top w:type="dxa" w:w="80"/>
              <w:left w:type="dxa" w:w="100"/>
              <w:bottom w:type="dxa" w:w="80"/>
              <w:right w:type="dxa" w:w="100"/>
            </w:tcMar>
          </w:tcPr>
          <w:p>
            <w:r>
              <w:rPr>
                <w:b w:val="false"/>
                <w:bCs w:val="false"/>
              </w:rPr>
              <w:t xml:space="preserve">Confirmed viewing</w:t>
            </w:r>
          </w:p>
        </w:tc>
      </w:tr>
      <w:tr>
        <w:tc>
          <w:tcPr>
            <w:tcW w:type="dxa" w:w="2000"/>
            <w:shd w:fill="DCE6F1" w:val="clear"/>
            <w:tcMar>
              <w:top w:type="dxa" w:w="80"/>
              <w:left w:type="dxa" w:w="100"/>
              <w:bottom w:type="dxa" w:w="80"/>
              <w:right w:type="dxa" w:w="100"/>
            </w:tcMar>
          </w:tcPr>
          <w:p>
            <w:r>
              <w:rPr>
                <w:b w:val="false"/>
                <w:bCs w:val="false"/>
              </w:rPr>
              <w:t xml:space="preserve">CRM Lookup/Update</w:t>
            </w:r>
          </w:p>
        </w:tc>
        <w:tc>
          <w:tcPr>
            <w:tcW w:type="dxa" w:w="2600"/>
            <w:shd w:fill="DCE6F1" w:val="clear"/>
            <w:tcMar>
              <w:top w:type="dxa" w:w="80"/>
              <w:left w:type="dxa" w:w="100"/>
              <w:bottom w:type="dxa" w:w="80"/>
              <w:right w:type="dxa" w:w="100"/>
            </w:tcMar>
          </w:tcPr>
          <w:p>
            <w:r>
              <w:rPr>
                <w:b w:val="false"/>
                <w:bCs w:val="false"/>
              </w:rPr>
              <w:t xml:space="preserve">Any qualification field changes; handoff occurs</w:t>
            </w:r>
          </w:p>
        </w:tc>
        <w:tc>
          <w:tcPr>
            <w:tcW w:type="dxa" w:w="2200"/>
            <w:shd w:fill="DCE6F1" w:val="clear"/>
            <w:tcMar>
              <w:top w:type="dxa" w:w="80"/>
              <w:left w:type="dxa" w:w="100"/>
              <w:bottom w:type="dxa" w:w="80"/>
              <w:right w:type="dxa" w:w="100"/>
            </w:tcMar>
          </w:tcPr>
          <w:p>
            <w:r>
              <w:rPr>
                <w:b w:val="false"/>
                <w:bCs w:val="false"/>
              </w:rPr>
              <w:t xml:space="preserve">Lead ID, fields, notes</w:t>
            </w:r>
          </w:p>
        </w:tc>
        <w:tc>
          <w:tcPr>
            <w:tcW w:type="dxa" w:w="2000"/>
            <w:shd w:fill="DCE6F1" w:val="clear"/>
            <w:tcMar>
              <w:top w:type="dxa" w:w="80"/>
              <w:left w:type="dxa" w:w="100"/>
              <w:bottom w:type="dxa" w:w="80"/>
              <w:right w:type="dxa" w:w="100"/>
            </w:tcMar>
          </w:tcPr>
          <w:p>
            <w:r>
              <w:rPr>
                <w:b w:val="false"/>
                <w:bCs w:val="false"/>
              </w:rPr>
              <w:t xml:space="preserve">Synced CRM record</w:t>
            </w:r>
          </w:p>
        </w:tc>
      </w:tr>
      <w:tr>
        <w:tc>
          <w:tcPr>
            <w:tcW w:type="dxa" w:w="2000"/>
            <w:tcMar>
              <w:top w:type="dxa" w:w="80"/>
              <w:left w:type="dxa" w:w="100"/>
              <w:bottom w:type="dxa" w:w="80"/>
              <w:right w:type="dxa" w:w="100"/>
            </w:tcMar>
          </w:tcPr>
          <w:p>
            <w:r>
              <w:rPr>
                <w:b w:val="false"/>
                <w:bCs w:val="false"/>
              </w:rPr>
              <w:t xml:space="preserve">Human Handoff</w:t>
            </w:r>
          </w:p>
        </w:tc>
        <w:tc>
          <w:tcPr>
            <w:tcW w:type="dxa" w:w="2600"/>
            <w:tcMar>
              <w:top w:type="dxa" w:w="80"/>
              <w:left w:type="dxa" w:w="100"/>
              <w:bottom w:type="dxa" w:w="80"/>
              <w:right w:type="dxa" w:w="100"/>
            </w:tcMar>
          </w:tcPr>
          <w:p>
            <w:r>
              <w:rPr>
                <w:b w:val="false"/>
                <w:bCs w:val="false"/>
              </w:rPr>
              <w:t xml:space="preserve">Handoff trigger detected</w:t>
            </w:r>
          </w:p>
        </w:tc>
        <w:tc>
          <w:tcPr>
            <w:tcW w:type="dxa" w:w="2200"/>
            <w:tcMar>
              <w:top w:type="dxa" w:w="80"/>
              <w:left w:type="dxa" w:w="100"/>
              <w:bottom w:type="dxa" w:w="80"/>
              <w:right w:type="dxa" w:w="100"/>
            </w:tcMar>
          </w:tcPr>
          <w:p>
            <w:r>
              <w:rPr>
                <w:b w:val="false"/>
                <w:bCs w:val="false"/>
              </w:rPr>
              <w:t xml:space="preserve">Lead ID, summary, priority</w:t>
            </w:r>
          </w:p>
        </w:tc>
        <w:tc>
          <w:tcPr>
            <w:tcW w:type="dxa" w:w="2000"/>
            <w:tcMar>
              <w:top w:type="dxa" w:w="80"/>
              <w:left w:type="dxa" w:w="100"/>
              <w:bottom w:type="dxa" w:w="80"/>
              <w:right w:type="dxa" w:w="100"/>
            </w:tcMar>
          </w:tcPr>
          <w:p>
            <w:r>
              <w:rPr>
                <w:b w:val="false"/>
                <w:bCs w:val="false"/>
              </w:rPr>
              <w:t xml:space="preserve">Agent notification</w:t>
            </w:r>
          </w:p>
        </w:tc>
      </w:tr>
    </w:tbl>
    <w:p>
      <w:pPr>
        <w:pStyle w:val="Heading1"/>
        <w:spacing w:after="160" w:before="360"/>
      </w:pPr>
      <w:r>
        <w:rPr>
          <w:b/>
          <w:bCs/>
          <w:color w:val="1F3864"/>
        </w:rPr>
        <w:t xml:space="preserve">9. Human Handoff Logic</w:t>
      </w:r>
    </w:p>
    <w:p>
      <w:pPr>
        <w:spacing w:after="60"/>
        <w:ind w:left="720" w:hanging="360"/>
      </w:pPr>
      <w:r>
        <w:t xml:space="preserve">•  </w:t>
      </w:r>
      <w:r>
        <w:t xml:space="preserve">Explicit request from the customer — immediate handoff, no further bot qualification attempts.</w:t>
      </w:r>
    </w:p>
    <w:p>
      <w:pPr>
        <w:spacing w:after="60"/>
        <w:ind w:left="720" w:hanging="360"/>
      </w:pPr>
      <w:r>
        <w:t xml:space="preserve">•  </w:t>
      </w:r>
      <w:r>
        <w:t xml:space="preserve">Low confidence in intent or entity extraction across consecutive turns — handoff with a note explaining the ambiguity.</w:t>
      </w:r>
    </w:p>
    <w:p>
      <w:pPr>
        <w:spacing w:after="60"/>
        <w:ind w:left="720" w:hanging="360"/>
      </w:pPr>
      <w:r>
        <w:t xml:space="preserve">•  </w:t>
      </w:r>
      <w:r>
        <w:t xml:space="preserve">Negative sentiment or complaint detected — handoff flagged as priority.</w:t>
      </w:r>
    </w:p>
    <w:p>
      <w:pPr>
        <w:spacing w:after="60"/>
        <w:ind w:left="720" w:hanging="360"/>
      </w:pPr>
      <w:r>
        <w:t xml:space="preserve">•  </w:t>
      </w:r>
      <w:r>
        <w:t xml:space="preserve">Negotiation-stage language ("can you do a better price") — handoff, since pricing negotiation is a human responsibility.</w:t>
      </w:r>
    </w:p>
    <w:p>
      <w:pPr>
        <w:pStyle w:val="Heading1"/>
        <w:spacing w:after="160" w:before="360"/>
      </w:pPr>
      <w:r>
        <w:rPr>
          <w:b/>
          <w:bCs/>
          <w:color w:val="1F3864"/>
        </w:rPr>
        <w:t xml:space="preserve">10. Prompt Architecture</w:t>
      </w:r>
    </w:p>
    <w:p>
      <w:pPr>
        <w:spacing w:after="60"/>
        <w:ind w:left="720" w:hanging="360"/>
      </w:pPr>
      <w:r>
        <w:t xml:space="preserve">•  </w:t>
      </w:r>
      <w:r>
        <w:t xml:space="preserve">System prompt: defines role, tone, allowed actions, and hard constraints (e.g., never invent listing facts, never discuss competitors negatively).</w:t>
      </w:r>
    </w:p>
    <w:p>
      <w:pPr>
        <w:spacing w:after="60"/>
        <w:ind w:left="720" w:hanging="360"/>
      </w:pPr>
      <w:r>
        <w:t xml:space="preserve">•  </w:t>
      </w:r>
      <w:r>
        <w:t xml:space="preserve">Context block: injects the current qualification state, relevant long-term memory fields, and the most recent tool results.</w:t>
      </w:r>
    </w:p>
    <w:p>
      <w:pPr>
        <w:spacing w:after="60"/>
        <w:ind w:left="720" w:hanging="360"/>
      </w:pPr>
      <w:r>
        <w:t xml:space="preserve">•  </w:t>
      </w:r>
      <w:r>
        <w:t xml:space="preserve">Task instruction: the specific turn-level goal (e.g., "ask the next missing qualification field" or "present these 3 listings").</w:t>
      </w:r>
    </w:p>
    <w:p>
      <w:pPr>
        <w:spacing w:after="60"/>
        <w:ind w:left="720" w:hanging="360"/>
      </w:pPr>
      <w:r>
        <w:t xml:space="preserve">•  </w:t>
      </w:r>
      <w:r>
        <w:t xml:space="preserve">Output format: constrained to a defined schema when the response must drive UI elements (e.g., a list of property cards) versus free text for conversational turns.</w:t>
      </w:r>
    </w:p>
    <w:p>
      <w:pPr>
        <w:pStyle w:val="Heading1"/>
        <w:spacing w:after="160" w:before="360"/>
      </w:pPr>
      <w:r>
        <w:rPr>
          <w:b/>
          <w:bCs/>
          <w:color w:val="1F3864"/>
        </w:rPr>
        <w:t xml:space="preserve">11. Guardrails</w:t>
      </w:r>
    </w:p>
    <w:p>
      <w:pPr>
        <w:spacing w:after="60"/>
        <w:ind w:left="720" w:hanging="360"/>
      </w:pPr>
      <w:r>
        <w:t xml:space="preserve">•  </w:t>
      </w:r>
      <w:r>
        <w:t xml:space="preserve">Grounding requirement: any factual claim about a property, price, or availability must cite retrieved data; unsupported claims are blocked before sending.</w:t>
      </w:r>
    </w:p>
    <w:p>
      <w:pPr>
        <w:spacing w:after="60"/>
        <w:ind w:left="720" w:hanging="360"/>
      </w:pPr>
      <w:r>
        <w:t xml:space="preserve">•  </w:t>
      </w:r>
      <w:r>
        <w:t xml:space="preserve">Topic boundaries: the bot declines to give legal, financial, or tax advice and instead offers to connect the customer with an agent or the relevant professional.</w:t>
      </w:r>
    </w:p>
    <w:p>
      <w:pPr>
        <w:spacing w:after="60"/>
        <w:ind w:left="720" w:hanging="360"/>
      </w:pPr>
      <w:r>
        <w:t xml:space="preserve">•  </w:t>
      </w:r>
      <w:r>
        <w:t xml:space="preserve">Tone and safety filters: no discriminatory language, no steering customers away from protected characteristics in housing (fair-housing compliant behavior).</w:t>
      </w:r>
    </w:p>
    <w:p>
      <w:pPr>
        <w:spacing w:after="60"/>
        <w:ind w:left="720" w:hanging="360"/>
      </w:pPr>
      <w:r>
        <w:t xml:space="preserve">•  </w:t>
      </w:r>
      <w:r>
        <w:t xml:space="preserve">Rate and repetition limits: prevents the bot from repeating the same clarifying question more than a defined number of times before escalating.</w:t>
      </w:r>
    </w:p>
    <w:p>
      <w:pPr>
        <w:pStyle w:val="Heading1"/>
        <w:spacing w:after="160" w:before="360"/>
      </w:pPr>
      <w:r>
        <w:rPr>
          <w:b/>
          <w:bCs/>
          <w:color w:val="1F3864"/>
        </w:rPr>
        <w:t xml:space="preserve">12. Hallucination Prevention</w:t>
      </w:r>
    </w:p>
    <w:p>
      <w:pPr>
        <w:spacing w:after="60"/>
        <w:ind w:left="720" w:hanging="360"/>
      </w:pPr>
      <w:r>
        <w:t xml:space="preserve">•  </w:t>
      </w:r>
      <w:r>
        <w:t xml:space="preserve">Retrieval-then-generate pattern: the model only discusses listings after a successful tool call in the current turn or session.</w:t>
      </w:r>
    </w:p>
    <w:p>
      <w:pPr>
        <w:spacing w:after="60"/>
        <w:ind w:left="720" w:hanging="360"/>
      </w:pPr>
      <w:r>
        <w:t xml:space="preserve">•  </w:t>
      </w:r>
      <w:r>
        <w:t xml:space="preserve">Post-generation validation: a lightweight check compares any price/address/feature mentioned in the draft response against the retrieved data before sending.</w:t>
      </w:r>
    </w:p>
    <w:p>
      <w:pPr>
        <w:spacing w:after="60"/>
        <w:ind w:left="720" w:hanging="360"/>
      </w:pPr>
      <w:r>
        <w:t xml:space="preserve">•  </w:t>
      </w:r>
      <w:r>
        <w:t xml:space="preserve">Fallback behavior: if validation fails, the bot apologizes, does not send the unverified claim, and asks a clarifying question or defers to an agent.</w:t>
      </w:r>
    </w:p>
    <w:p>
      <w:pPr>
        <w:pStyle w:val="Heading1"/>
        <w:spacing w:after="160" w:before="360"/>
      </w:pPr>
      <w:r>
        <w:rPr>
          <w:b/>
          <w:bCs/>
          <w:color w:val="1F3864"/>
        </w:rPr>
        <w:t xml:space="preserve">13. AI Evaluation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800"/>
      </w:tblGrid>
      <w:tr>
        <w:trPr>
          <w:tblHeader/>
        </w:trPr>
        <w:tc>
          <w:tcPr>
            <w:tcW w:type="dxa" w:w="2400"/>
            <w:shd w:fill="1F3864" w:val="clear"/>
            <w:tcMar>
              <w:top w:type="dxa" w:w="80"/>
              <w:left w:type="dxa" w:w="100"/>
              <w:bottom w:type="dxa" w:w="80"/>
              <w:right w:type="dxa" w:w="100"/>
            </w:tcMar>
          </w:tcPr>
          <w:p>
            <w:r>
              <w:rPr>
                <w:b/>
                <w:bCs/>
                <w:color w:val="FFFFFF"/>
              </w:rPr>
              <w:t xml:space="preserve">Evaluation Area</w:t>
            </w:r>
          </w:p>
        </w:tc>
        <w:tc>
          <w:tcPr>
            <w:tcW w:type="dxa" w:w="3600"/>
            <w:shd w:fill="1F3864" w:val="clear"/>
            <w:tcMar>
              <w:top w:type="dxa" w:w="80"/>
              <w:left w:type="dxa" w:w="100"/>
              <w:bottom w:type="dxa" w:w="80"/>
              <w:right w:type="dxa" w:w="100"/>
            </w:tcMar>
          </w:tcPr>
          <w:p>
            <w:r>
              <w:rPr>
                <w:b/>
                <w:bCs/>
                <w:color w:val="FFFFFF"/>
              </w:rPr>
              <w:t xml:space="preserve">Method</w:t>
            </w:r>
          </w:p>
        </w:tc>
        <w:tc>
          <w:tcPr>
            <w:tcW w:type="dxa" w:w="2800"/>
            <w:shd w:fill="1F3864" w:val="clear"/>
            <w:tcMar>
              <w:top w:type="dxa" w:w="80"/>
              <w:left w:type="dxa" w:w="100"/>
              <w:bottom w:type="dxa" w:w="80"/>
              <w:right w:type="dxa" w:w="100"/>
            </w:tcMar>
          </w:tcPr>
          <w:p>
            <w:r>
              <w:rPr>
                <w:b/>
                <w:bCs/>
                <w:color w:val="FFFFFF"/>
              </w:rPr>
              <w:t xml:space="preserve">Target</w:t>
            </w:r>
          </w:p>
        </w:tc>
      </w:tr>
      <w:tr>
        <w:tc>
          <w:tcPr>
            <w:tcW w:type="dxa" w:w="2400"/>
            <w:tcMar>
              <w:top w:type="dxa" w:w="80"/>
              <w:left w:type="dxa" w:w="100"/>
              <w:bottom w:type="dxa" w:w="80"/>
              <w:right w:type="dxa" w:w="100"/>
            </w:tcMar>
          </w:tcPr>
          <w:p>
            <w:r>
              <w:rPr>
                <w:b w:val="false"/>
                <w:bCs w:val="false"/>
              </w:rPr>
              <w:t xml:space="preserve">Intent detection accuracy</w:t>
            </w:r>
          </w:p>
        </w:tc>
        <w:tc>
          <w:tcPr>
            <w:tcW w:type="dxa" w:w="3600"/>
            <w:tcMar>
              <w:top w:type="dxa" w:w="80"/>
              <w:left w:type="dxa" w:w="100"/>
              <w:bottom w:type="dxa" w:w="80"/>
              <w:right w:type="dxa" w:w="100"/>
            </w:tcMar>
          </w:tcPr>
          <w:p>
            <w:r>
              <w:rPr>
                <w:b w:val="false"/>
                <w:bCs w:val="false"/>
              </w:rPr>
              <w:t xml:space="preserve">Labeled test-conversation set, periodic re-scoring</w:t>
            </w:r>
          </w:p>
        </w:tc>
        <w:tc>
          <w:tcPr>
            <w:tcW w:type="dxa" w:w="2800"/>
            <w:tcMar>
              <w:top w:type="dxa" w:w="80"/>
              <w:left w:type="dxa" w:w="100"/>
              <w:bottom w:type="dxa" w:w="80"/>
              <w:right w:type="dxa" w:w="100"/>
            </w:tcMar>
          </w:tcPr>
          <w:p>
            <w:r>
              <w:rPr>
                <w:b w:val="false"/>
                <w:bCs w:val="false"/>
              </w:rPr>
              <w:t xml:space="preserve">&gt; 90% accuracy</w:t>
            </w:r>
          </w:p>
        </w:tc>
      </w:tr>
      <w:tr>
        <w:tc>
          <w:tcPr>
            <w:tcW w:type="dxa" w:w="2400"/>
            <w:shd w:fill="DCE6F1" w:val="clear"/>
            <w:tcMar>
              <w:top w:type="dxa" w:w="80"/>
              <w:left w:type="dxa" w:w="100"/>
              <w:bottom w:type="dxa" w:w="80"/>
              <w:right w:type="dxa" w:w="100"/>
            </w:tcMar>
          </w:tcPr>
          <w:p>
            <w:r>
              <w:rPr>
                <w:b w:val="false"/>
                <w:bCs w:val="false"/>
              </w:rPr>
              <w:t xml:space="preserve">Entity extraction accuracy</w:t>
            </w:r>
          </w:p>
        </w:tc>
        <w:tc>
          <w:tcPr>
            <w:tcW w:type="dxa" w:w="3600"/>
            <w:shd w:fill="DCE6F1" w:val="clear"/>
            <w:tcMar>
              <w:top w:type="dxa" w:w="80"/>
              <w:left w:type="dxa" w:w="100"/>
              <w:bottom w:type="dxa" w:w="80"/>
              <w:right w:type="dxa" w:w="100"/>
            </w:tcMar>
          </w:tcPr>
          <w:p>
            <w:r>
              <w:rPr>
                <w:b w:val="false"/>
                <w:bCs w:val="false"/>
              </w:rPr>
              <w:t xml:space="preserve">Field-level comparison against gold-labeled transcripts</w:t>
            </w:r>
          </w:p>
        </w:tc>
        <w:tc>
          <w:tcPr>
            <w:tcW w:type="dxa" w:w="2800"/>
            <w:shd w:fill="DCE6F1" w:val="clear"/>
            <w:tcMar>
              <w:top w:type="dxa" w:w="80"/>
              <w:left w:type="dxa" w:w="100"/>
              <w:bottom w:type="dxa" w:w="80"/>
              <w:right w:type="dxa" w:w="100"/>
            </w:tcMar>
          </w:tcPr>
          <w:p>
            <w:r>
              <w:rPr>
                <w:b w:val="false"/>
                <w:bCs w:val="false"/>
              </w:rPr>
              <w:t xml:space="preserve">&gt; 90% per field</w:t>
            </w:r>
          </w:p>
        </w:tc>
      </w:tr>
      <w:tr>
        <w:tc>
          <w:tcPr>
            <w:tcW w:type="dxa" w:w="2400"/>
            <w:tcMar>
              <w:top w:type="dxa" w:w="80"/>
              <w:left w:type="dxa" w:w="100"/>
              <w:bottom w:type="dxa" w:w="80"/>
              <w:right w:type="dxa" w:w="100"/>
            </w:tcMar>
          </w:tcPr>
          <w:p>
            <w:r>
              <w:rPr>
                <w:b w:val="false"/>
                <w:bCs w:val="false"/>
              </w:rPr>
              <w:t xml:space="preserve">Grounding / hallucination rate</w:t>
            </w:r>
          </w:p>
        </w:tc>
        <w:tc>
          <w:tcPr>
            <w:tcW w:type="dxa" w:w="3600"/>
            <w:tcMar>
              <w:top w:type="dxa" w:w="80"/>
              <w:left w:type="dxa" w:w="100"/>
              <w:bottom w:type="dxa" w:w="80"/>
              <w:right w:type="dxa" w:w="100"/>
            </w:tcMar>
          </w:tcPr>
          <w:p>
            <w:r>
              <w:rPr>
                <w:b w:val="false"/>
                <w:bCs w:val="false"/>
              </w:rPr>
              <w:t xml:space="preserve">Automated fact-check against source data on a sample of responses</w:t>
            </w:r>
          </w:p>
        </w:tc>
        <w:tc>
          <w:tcPr>
            <w:tcW w:type="dxa" w:w="2800"/>
            <w:tcMar>
              <w:top w:type="dxa" w:w="80"/>
              <w:left w:type="dxa" w:w="100"/>
              <w:bottom w:type="dxa" w:w="80"/>
              <w:right w:type="dxa" w:w="100"/>
            </w:tcMar>
          </w:tcPr>
          <w:p>
            <w:r>
              <w:rPr>
                <w:b w:val="false"/>
                <w:bCs w:val="false"/>
              </w:rPr>
              <w:t xml:space="preserve">&lt; 1% unsupported claims</w:t>
            </w:r>
          </w:p>
        </w:tc>
      </w:tr>
      <w:tr>
        <w:tc>
          <w:tcPr>
            <w:tcW w:type="dxa" w:w="2400"/>
            <w:shd w:fill="DCE6F1" w:val="clear"/>
            <w:tcMar>
              <w:top w:type="dxa" w:w="80"/>
              <w:left w:type="dxa" w:w="100"/>
              <w:bottom w:type="dxa" w:w="80"/>
              <w:right w:type="dxa" w:w="100"/>
            </w:tcMar>
          </w:tcPr>
          <w:p>
            <w:r>
              <w:rPr>
                <w:b w:val="false"/>
                <w:bCs w:val="false"/>
              </w:rPr>
              <w:t xml:space="preserve">Handoff appropriateness</w:t>
            </w:r>
          </w:p>
        </w:tc>
        <w:tc>
          <w:tcPr>
            <w:tcW w:type="dxa" w:w="3600"/>
            <w:shd w:fill="DCE6F1" w:val="clear"/>
            <w:tcMar>
              <w:top w:type="dxa" w:w="80"/>
              <w:left w:type="dxa" w:w="100"/>
              <w:bottom w:type="dxa" w:w="80"/>
              <w:right w:type="dxa" w:w="100"/>
            </w:tcMar>
          </w:tcPr>
          <w:p>
            <w:r>
              <w:rPr>
                <w:b w:val="false"/>
                <w:bCs w:val="false"/>
              </w:rPr>
              <w:t xml:space="preserve">Human review of a sample of handoffs vs. non-handoffs</w:t>
            </w:r>
          </w:p>
        </w:tc>
        <w:tc>
          <w:tcPr>
            <w:tcW w:type="dxa" w:w="2800"/>
            <w:shd w:fill="DCE6F1" w:val="clear"/>
            <w:tcMar>
              <w:top w:type="dxa" w:w="80"/>
              <w:left w:type="dxa" w:w="100"/>
              <w:bottom w:type="dxa" w:w="80"/>
              <w:right w:type="dxa" w:w="100"/>
            </w:tcMar>
          </w:tcPr>
          <w:p>
            <w:r>
              <w:rPr>
                <w:b w:val="false"/>
                <w:bCs w:val="false"/>
              </w:rPr>
              <w:t xml:space="preserve">&gt; 90% agreement with reviewer</w:t>
            </w:r>
          </w:p>
        </w:tc>
      </w:tr>
      <w:tr>
        <w:tc>
          <w:tcPr>
            <w:tcW w:type="dxa" w:w="2400"/>
            <w:tcMar>
              <w:top w:type="dxa" w:w="80"/>
              <w:left w:type="dxa" w:w="100"/>
              <w:bottom w:type="dxa" w:w="80"/>
              <w:right w:type="dxa" w:w="100"/>
            </w:tcMar>
          </w:tcPr>
          <w:p>
            <w:r>
              <w:rPr>
                <w:b w:val="false"/>
                <w:bCs w:val="false"/>
              </w:rPr>
              <w:t xml:space="preserve">Customer satisfaction</w:t>
            </w:r>
          </w:p>
        </w:tc>
        <w:tc>
          <w:tcPr>
            <w:tcW w:type="dxa" w:w="3600"/>
            <w:tcMar>
              <w:top w:type="dxa" w:w="80"/>
              <w:left w:type="dxa" w:w="100"/>
              <w:bottom w:type="dxa" w:w="80"/>
              <w:right w:type="dxa" w:w="100"/>
            </w:tcMar>
          </w:tcPr>
          <w:p>
            <w:r>
              <w:rPr>
                <w:b w:val="false"/>
                <w:bCs w:val="false"/>
              </w:rPr>
              <w:t xml:space="preserve">Post-conversation rating</w:t>
            </w:r>
          </w:p>
        </w:tc>
        <w:tc>
          <w:tcPr>
            <w:tcW w:type="dxa" w:w="2800"/>
            <w:tcMar>
              <w:top w:type="dxa" w:w="80"/>
              <w:left w:type="dxa" w:w="100"/>
              <w:bottom w:type="dxa" w:w="80"/>
              <w:right w:type="dxa" w:w="100"/>
            </w:tcMar>
          </w:tcPr>
          <w:p>
            <w:r>
              <w:rPr>
                <w:b w:val="false"/>
                <w:bCs w:val="false"/>
              </w:rPr>
              <w:t xml:space="preserve">&gt; 4.2 / 5 (see Document 01 KPIs)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2026-09-08T13:34:48.370Z</dcterms:created>
  <dcterms:modified xsi:type="dcterms:W3CDTF">2026-09-08T13:34:48.370Z</dcterms:modified>
</cp:coreProperties>
</file>

<file path=docProps/custom.xml><?xml version="1.0" encoding="utf-8"?>
<Properties xmlns="http://schemas.openxmlformats.org/officeDocument/2006/custom-properties" xmlns:vt="http://schemas.openxmlformats.org/officeDocument/2006/docPropsVTypes"/>
</file>