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95959"/>
          <w:sz w:val="28"/>
          <w:szCs w:val="28"/>
        </w:rPr>
        <w:t xml:space="preserve">REAL ESTATE LEAD BOT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Security, Privacy &amp; Compliance Specification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Real Estate Lead Bot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Code: RELB-DOC-09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after="2000"/>
        <w:jc w:val="center"/>
      </w:pPr>
      <w:r>
        <w:rPr>
          <w:color w:val="595959"/>
          <w:sz w:val="20"/>
          <w:szCs w:val="20"/>
        </w:rPr>
        <w:t xml:space="preserve">Status: Draft for Development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1. Purpose</w:t>
      </w:r>
    </w:p>
    <w:p>
      <w:pPr>
        <w:spacing w:after="140"/>
      </w:pPr>
      <w:r>
        <w:t xml:space="preserve">This document defines the security, privacy, and compliance controls required for the Real Estate Lead Bot, covering authentication and authorization, encryption, PII handling, data retention, audit, consent, and abuse prevention.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2. Authentication</w:t>
      </w:r>
    </w:p>
    <w:p>
      <w:pPr>
        <w:spacing w:after="60"/>
        <w:ind w:left="720" w:hanging="360"/>
      </w:pPr>
      <w:r>
        <w:t xml:space="preserve">•  </w:t>
      </w:r>
      <w:r>
        <w:t xml:space="preserve">All dashboard users authenticate via the identity provider with support for multi-factor authentication.</w:t>
      </w:r>
    </w:p>
    <w:p>
      <w:pPr>
        <w:spacing w:after="60"/>
        <w:ind w:left="720" w:hanging="360"/>
      </w:pPr>
      <w:r>
        <w:t xml:space="preserve">•  </w:t>
      </w:r>
      <w:r>
        <w:t xml:space="preserve">Service-to-service calls use short-lived tokens (OAuth 2.0 client-credentials) rather than long-lived static keys wherever possible.</w:t>
      </w:r>
    </w:p>
    <w:p>
      <w:pPr>
        <w:spacing w:after="60"/>
        <w:ind w:left="720" w:hanging="360"/>
      </w:pPr>
      <w:r>
        <w:t xml:space="preserve">•  </w:t>
      </w:r>
      <w:r>
        <w:t xml:space="preserve">External channel webhooks are verified using the provider's signature scheme before any payload is processed.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3. Authorization and RBAC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configuration access: bot flows, integrations, users, roles, retention settings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 Manager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all leads/conversations, reassign leads, view analytics, cannot change system configuration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 Agent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and act on assigned leads/conversations only; cannot view other agents' pipelines by default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Read-Only / Auditor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View conversation and audit logs for QA/compliance review; no write access</w:t>
            </w:r>
          </w:p>
        </w:tc>
      </w:tr>
    </w:tbl>
    <w:p>
      <w:pPr>
        <w:spacing w:after="140"/>
      </w:pPr>
      <w:r>
        <w:t xml:space="preserve">Access control is enforced at the API layer (not just the UI) so that role restrictions cannot be bypassed by calling endpoints directly.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4. Encryption</w:t>
      </w:r>
    </w:p>
    <w:p>
      <w:pPr>
        <w:spacing w:after="60"/>
        <w:ind w:left="720" w:hanging="360"/>
      </w:pPr>
      <w:r>
        <w:t xml:space="preserve">•  </w:t>
      </w:r>
      <w:r>
        <w:t xml:space="preserve">Data in transit: TLS 1.2+ enforced on all external and internal API traffic.</w:t>
      </w:r>
    </w:p>
    <w:p>
      <w:pPr>
        <w:spacing w:after="60"/>
        <w:ind w:left="720" w:hanging="360"/>
      </w:pPr>
      <w:r>
        <w:t xml:space="preserve">•  </w:t>
      </w:r>
      <w:r>
        <w:t xml:space="preserve">Data at rest: database and object storage encryption enabled using provider-managed or customer-managed keys.</w:t>
      </w:r>
    </w:p>
    <w:p>
      <w:pPr>
        <w:spacing w:after="60"/>
        <w:ind w:left="720" w:hanging="360"/>
      </w:pPr>
      <w:r>
        <w:t xml:space="preserve">•  </w:t>
      </w:r>
      <w:r>
        <w:t xml:space="preserve">Field-level encryption considered for the most sensitive fields (e.g., government ID numbers, if ever collected) in addition to storage-level encryption.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5. Secrets Management</w:t>
      </w:r>
    </w:p>
    <w:p>
      <w:pPr>
        <w:spacing w:after="60"/>
        <w:ind w:left="720" w:hanging="360"/>
      </w:pPr>
      <w:r>
        <w:t xml:space="preserve">•  </w:t>
      </w:r>
      <w:r>
        <w:t xml:space="preserve">All API keys, tokens, and credentials are stored in a centralized secrets manager, never in source control, container images, or logs.</w:t>
      </w:r>
    </w:p>
    <w:p>
      <w:pPr>
        <w:spacing w:after="60"/>
        <w:ind w:left="720" w:hanging="360"/>
      </w:pPr>
      <w:r>
        <w:t xml:space="preserve">•  </w:t>
      </w:r>
      <w:r>
        <w:t xml:space="preserve">Secrets are scoped to the minimum permissions required and rotated on a defined schedule.</w:t>
      </w:r>
    </w:p>
    <w:p>
      <w:pPr>
        <w:spacing w:after="60"/>
        <w:ind w:left="720" w:hanging="360"/>
      </w:pPr>
      <w:r>
        <w:t xml:space="preserve">•  </w:t>
      </w:r>
      <w:r>
        <w:t xml:space="preserve">Access to secrets is itself logged and restricted to the services and operators that need them.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6. PII Handling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PII Category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Handling Rule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Contact PII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Name, phone number, email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Collected only with a clear purpose; masked in non-production environments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Financial-adjacent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Stated budget range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Treated as sensitive; not exposed in public-facing analytics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Behavioral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Conversation content, browsing/search preferences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Retained per Section 7; used only for the stated service purpose</w:t>
            </w:r>
          </w:p>
        </w:tc>
      </w:tr>
    </w:tbl>
    <w:p>
      <w:pPr>
        <w:spacing w:after="60"/>
        <w:ind w:left="720" w:hanging="360"/>
      </w:pPr>
      <w:r>
        <w:t xml:space="preserve">•  </w:t>
      </w:r>
      <w:r>
        <w:t xml:space="preserve">PII is never used to train shared/third-party models without explicit, documented consent and a data-processing agreement covering that use.</w:t>
      </w:r>
    </w:p>
    <w:p>
      <w:pPr>
        <w:spacing w:after="60"/>
        <w:ind w:left="720" w:hanging="360"/>
      </w:pPr>
      <w:r>
        <w:t xml:space="preserve">•  </w:t>
      </w:r>
      <w:r>
        <w:t xml:space="preserve">Access to raw PII is limited by role (see Section 3); analytics and reporting use aggregated or pseudonymized data wherever possible.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7. Data Retention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Retention Period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End-of-Life Action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Active lead &amp; conversation data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Duration of active relationship plus a defined grace period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Reviewed for archival or deletion on inactivity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Archived/dormant lead data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 policy, typically limited beyond the active period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Anonymized or deleted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 logs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Extended retention to satisfy compliance/audit needs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Retained in write-once storage; not user-deletable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Booking/viewing records</w:t>
            </w:r>
          </w:p>
        </w:tc>
        <w:tc>
          <w:tcPr>
            <w:tcW w:type="dxa" w:w="3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Aligned with business/legal recordkeeping needs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Archived per policy</w:t>
            </w:r>
          </w:p>
        </w:tc>
      </w:tr>
    </w:tbl>
    <w:p>
      <w:pPr>
        <w:spacing w:after="140"/>
      </w:pPr>
      <w:r>
        <w:t xml:space="preserve">Exact retention periods are set by the business in consultation with legal/compliance and configured as system parameters rather than hard-coded, so they can be updated as policy evolves.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8. Consent</w:t>
      </w:r>
    </w:p>
    <w:p>
      <w:pPr>
        <w:spacing w:after="60"/>
        <w:ind w:left="720" w:hanging="360"/>
      </w:pPr>
      <w:r>
        <w:t xml:space="preserve">•  </w:t>
      </w:r>
      <w:r>
        <w:t xml:space="preserve">Customers are informed, at first contact, that they are interacting with an AI assistant and how their data will be used, per applicable disclosure requirements.</w:t>
      </w:r>
    </w:p>
    <w:p>
      <w:pPr>
        <w:spacing w:after="60"/>
        <w:ind w:left="720" w:hanging="360"/>
      </w:pPr>
      <w:r>
        <w:t xml:space="preserve">•  </w:t>
      </w:r>
      <w:r>
        <w:t xml:space="preserve">Consent to be contacted via WhatsApp, email, or SMS for marketing/nurture purposes is captured explicitly and stored with a timestamp and channel.</w:t>
      </w:r>
    </w:p>
    <w:p>
      <w:pPr>
        <w:spacing w:after="60"/>
        <w:ind w:left="720" w:hanging="360"/>
      </w:pPr>
      <w:r>
        <w:t xml:space="preserve">•  </w:t>
      </w:r>
      <w:r>
        <w:t xml:space="preserve">Customers can request to stop automated contact; such requests are honored and logged as a suppression flag on the lead record.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9. Audit Logs</w:t>
      </w:r>
    </w:p>
    <w:p>
      <w:pPr>
        <w:spacing w:after="60"/>
        <w:ind w:left="720" w:hanging="360"/>
      </w:pPr>
      <w:r>
        <w:t xml:space="preserve">•  </w:t>
      </w:r>
      <w:r>
        <w:t xml:space="preserve">Every create/update/handoff/scoring action is written to the audit_logs table (see Document 07) with actor, timestamp, and payload.</w:t>
      </w:r>
    </w:p>
    <w:p>
      <w:pPr>
        <w:spacing w:after="60"/>
        <w:ind w:left="720" w:hanging="360"/>
      </w:pPr>
      <w:r>
        <w:t xml:space="preserve">•  </w:t>
      </w:r>
      <w:r>
        <w:t xml:space="preserve">Audit logs are immutable (append-only) and access-restricted to auditor and admin roles.</w:t>
      </w:r>
    </w:p>
    <w:p>
      <w:pPr>
        <w:spacing w:after="60"/>
        <w:ind w:left="720" w:hanging="360"/>
      </w:pPr>
      <w:r>
        <w:t xml:space="preserve">•  </w:t>
      </w:r>
      <w:r>
        <w:t xml:space="preserve">Audit logs support reconstructing why the bot took a given action (which prompt version, which retrieved data, which rule fired).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10. Security Threats and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2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Threat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Prompt injection via customer message aiming to override bot instructions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System-prompt isolation, guardrail validation layer, tool-call allow-listing (see Document 05)</w:t>
            </w:r>
          </w:p>
        </w:tc>
      </w:tr>
      <w:tr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Webhook spoofing (fake WhatsApp/CRM events)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Signature verification on all inbound webhooks; reject unsigned or invalid payloads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Credential leakage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Centralized secrets manager, secret scanning in CI, key rotation</w:t>
            </w:r>
          </w:p>
        </w:tc>
      </w:tr>
      <w:tr>
        <w:tc>
          <w:tcPr>
            <w:tcW w:type="dxa" w:w="4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Excessive data exposure via API</w:t>
            </w:r>
          </w:p>
        </w:tc>
        <w:tc>
          <w:tcPr>
            <w:tcW w:type="dxa" w:w="5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Field-level authorization checks, response schema allow-listing per role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Denial of service via message flooding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Per-channel and per-identity rate limiting at the API Gateway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11. Abuse Prevention</w:t>
      </w:r>
    </w:p>
    <w:p>
      <w:pPr>
        <w:spacing w:after="60"/>
        <w:ind w:left="720" w:hanging="360"/>
      </w:pPr>
      <w:r>
        <w:t xml:space="preserve">•  </w:t>
      </w:r>
      <w:r>
        <w:t xml:space="preserve">Rate limiting and basic anomaly detection on inbound message volume per phone number/session to deter spam or scripted abuse.</w:t>
      </w:r>
    </w:p>
    <w:p>
      <w:pPr>
        <w:spacing w:after="60"/>
        <w:ind w:left="720" w:hanging="360"/>
      </w:pPr>
      <w:r>
        <w:t xml:space="preserve">•  </w:t>
      </w:r>
      <w:r>
        <w:t xml:space="preserve">Automatic flagging of conversations containing harassment, threats, or attempts to extract system prompts/internal data, with escalation to a human reviewer.</w:t>
      </w:r>
    </w:p>
    <w:p>
      <w:pPr>
        <w:spacing w:after="60"/>
        <w:ind w:left="720" w:hanging="360"/>
      </w:pPr>
      <w:r>
        <w:t xml:space="preserve">•  </w:t>
      </w:r>
      <w:r>
        <w:t xml:space="preserve">Fair-housing-aligned response guardrails preventing the bot from filtering or steering customers based on protected characteristics.</w:t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12. Compliance Considerations</w:t>
      </w:r>
    </w:p>
    <w:p>
      <w:pPr>
        <w:spacing w:after="60"/>
        <w:ind w:left="720" w:hanging="360"/>
      </w:pPr>
      <w:r>
        <w:t xml:space="preserve">•  </w:t>
      </w:r>
      <w:r>
        <w:t xml:space="preserve">Data protection: design supports data-subject rights common to major privacy regimes (access, correction, deletion/anonymization requests) via admin tooling.</w:t>
      </w:r>
    </w:p>
    <w:p>
      <w:pPr>
        <w:spacing w:after="60"/>
        <w:ind w:left="720" w:hanging="360"/>
      </w:pPr>
      <w:r>
        <w:t xml:space="preserve">•  </w:t>
      </w:r>
      <w:r>
        <w:t xml:space="preserve">Marketing communications: opt-in/opt-out handling aligned with applicable anti-spam and marketing-communication rules for each channel used.</w:t>
      </w:r>
    </w:p>
    <w:p>
      <w:pPr>
        <w:spacing w:after="60"/>
        <w:ind w:left="720" w:hanging="360"/>
      </w:pPr>
      <w:r>
        <w:t xml:space="preserve">•  </w:t>
      </w:r>
      <w:r>
        <w:t xml:space="preserve">Housing regulation: bot behavior and property recommendations must not violate applicable fair-housing or anti-discrimination law in the markets served.</w:t>
      </w:r>
    </w:p>
    <w:p>
      <w:pPr>
        <w:spacing w:after="60"/>
        <w:ind w:left="720" w:hanging="360"/>
      </w:pPr>
      <w:r>
        <w:t xml:space="preserve">•  </w:t>
      </w:r>
      <w:r>
        <w:t xml:space="preserve">This section is a design baseline, not legal advice; final compliance posture should be reviewed with qualified legal counsel for each operating jurisdiction.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2026-09-08T13:34:48.979Z</dcterms:created>
  <dcterms:modified xsi:type="dcterms:W3CDTF">2026-09-08T13:34:48.979Z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