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DYAR STATEMENT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Statement on Advocacy Services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DYAR's formal commitment to your right to independent advocacy — what we will and won't do.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DYAR Statement on Advocacy Services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DYAR's formal commitment to your right to independent advocacy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Our position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 Pty Ltd believes every participant has the absolute right to independent advocacy. We support, encourage, and facilitate participant access to advocates — even when an advocate's role is to challenge DYAR's decisions.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this means in practice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 will: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Give every participant the Advocacy Flyer at intake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Update the flyer annually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Tell participants their right to use an advocate at every Service Agreement signing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Help any participant call an advocate on request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Make space for advocates in meetings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Provide interpreters + Easy Read materials for any advocate engagement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Cover transport + communication-support costs for any advocate-led meeting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Engage advocates ourselves where Director or nominee capacity needs external review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DYAR will NEVER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Discourage a participant from contacting an advocate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Hide DYAR's actions from an advocate engaged by a participant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Retaliate against a participant for using an advocate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Reduce supports because of advocate involvement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Make participant access to advocacy contingent on anything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Advocate access channels DYAR maintains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People With Disabilities WA (PWdWA) — 1800 193 331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Developmental Disability WA (DDWA) — (08) 9420 7230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Ethnic Disability Advocacy Centre (EDAC) — (08) 9388 7455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First Peoples Disability Network (FPDN) — 1800 88 7766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Mental Health Law Centre (MHLC) — 1800 620 285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MIDLAS — (08) 9250 2123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Sussex Street Community Law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Brain Injury Australia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Our Lived Experience Advisory Group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DYAR's governance includes a Lived Experience Advisory Group with at least 60% members with lived experience of disability. The group reviews our advocacy practice quarterly and reports to the Director with recommendations.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Approval + review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Approved by: Mehdi Dabire — Director, DYAR Pty Ltd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Date: 19 May 2026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Next review: 19 May 2027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Statement on Advocacy Services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Statement on Advocacy Services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Statement on Advocacy Services</dc:title>
  <cp:keywords/>
</cp:coreProperties>
</file>