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df" ContentType="application/pdf"/>
  <Override PartName="/word/media/rId4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Cognitive versus Physical Automation:</w:t>
      </w:r>
      <w:r>
        <w:br/>
      </w:r>
      <w:r>
        <w:rPr>
          <w:b/>
          <w:bCs/>
        </w:rPr>
        <w:t xml:space="preserve">Firm-Level Evidence from AI and Robotics Patents</w:t>
      </w:r>
    </w:p>
    <w:p>
      <w:pPr>
        <w:pStyle w:val="Author"/>
      </w:pPr>
      <w:r>
        <w:t xml:space="preserve">Michael Philipov</w:t>
      </w:r>
      <w:r>
        <w:rPr>
          <w:rStyle w:val="FootnoteReference"/>
        </w:rPr>
        <w:footnoteReference w:id="9"/>
      </w:r>
    </w:p>
    <w:p>
      <w:pPr>
        <w:pStyle w:val="Author"/>
      </w:pPr>
      <w:r>
        <w:t xml:space="preserve">Lei Gao</w:t>
      </w:r>
      <w:r>
        <w:rPr>
          <w:rStyle w:val="FootnoteReference"/>
        </w:rPr>
        <w:footnoteReference w:id="10"/>
      </w:r>
    </w:p>
    <w:p>
      <w:pPr>
        <w:pStyle w:val="Date"/>
      </w:pPr>
      <w:r>
        <w:t xml:space="preserve">July 2026</w:t>
      </w:r>
    </w:p>
    <w:p>
      <w:pPr>
        <w:pStyle w:val="AbstractTitle"/>
      </w:pPr>
      <w:r>
        <w:t xml:space="preserve">Abstract</w:t>
      </w:r>
    </w:p>
    <w:p>
      <w:pPr>
        <w:pStyle w:val="Abstract"/>
      </w:pPr>
      <w:r>
        <w:t xml:space="preserve">Automation comes in two forms:</w:t>
      </w:r>
      <w:r>
        <w:t xml:space="preserve"> </w:t>
      </w:r>
      <w:r>
        <w:rPr>
          <w:i/>
          <w:iCs/>
        </w:rPr>
        <w:t xml:space="preserve">cognitive</w:t>
      </w:r>
      <w:r>
        <w:t xml:space="preserve"> </w:t>
      </w:r>
      <w:r>
        <w:t xml:space="preserve">(artificial intelligence, which</w:t>
      </w:r>
      <w:r>
        <w:t xml:space="preserve"> </w:t>
      </w:r>
      <w:r>
        <w:t xml:space="preserve">substitutes for information processing) and</w:t>
      </w:r>
      <w:r>
        <w:t xml:space="preserve"> </w:t>
      </w:r>
      <w:r>
        <w:rPr>
          <w:i/>
          <w:iCs/>
        </w:rPr>
        <w:t xml:space="preserve">physical</w:t>
      </w:r>
      <w:r>
        <w:t xml:space="preserve"> </w:t>
      </w:r>
      <w:r>
        <w:t xml:space="preserve">(robotics, which substitutes for</w:t>
      </w:r>
      <w:r>
        <w:t xml:space="preserve"> </w:t>
      </w:r>
      <w:r>
        <w:t xml:space="preserve">manual tasks). We ask whether the two have different footprints inside the firms that create</w:t>
      </w:r>
      <w:r>
        <w:t xml:space="preserve"> </w:t>
      </w:r>
      <w:r>
        <w:t xml:space="preserve">them. Linking the USPTO AI Patent Dataset and CPC robotics patents (subclass B25J) to 7</w:t>
      </w:r>
      <w:r>
        <w:t xml:space="preserve">,</w:t>
      </w:r>
      <w:r>
        <w:t xml:space="preserve">087</w:t>
      </w:r>
      <w:r>
        <w:t xml:space="preserve"> </w:t>
      </w:r>
      <w:r>
        <w:t xml:space="preserve">publicly-traded innovators (83</w:t>
      </w:r>
      <w:r>
        <w:t xml:space="preserve">,</w:t>
      </w:r>
      <w:r>
        <w:t xml:space="preserve">976 firm-years, 1995–2024) via the Kogan-Papanikolaou-Seru-</w:t>
      </w:r>
      <w:r>
        <w:t xml:space="preserve"> </w:t>
      </w:r>
      <w:r>
        <w:t xml:space="preserve">Stoffman (KPSS) patent–firm crosswalk, we find a sharp contrast. In two-way (firm</w:t>
      </w:r>
      <w:r>
        <w:t xml:space="preserve"> </w:t>
      </w:r>
      <m:oMath>
        <m:r>
          <m:rPr>
            <m:sty m:val="p"/>
          </m:rPr>
          <m:t>+</m:t>
        </m:r>
      </m:oMath>
      <w:r>
        <w:t xml:space="preserve"> </w:t>
      </w:r>
      <w:r>
        <w:t xml:space="preserve">year)</w:t>
      </w:r>
      <w:r>
        <w:t xml:space="preserve"> </w:t>
      </w:r>
      <w:r>
        <w:t xml:space="preserve">fixed-effects panels, a firm’s cumulative</w:t>
      </w:r>
      <w:r>
        <w:t xml:space="preserve"> </w:t>
      </w:r>
      <w:r>
        <w:rPr>
          <w:i/>
          <w:iCs/>
        </w:rPr>
        <w:t xml:space="preserve">AI</w:t>
      </w:r>
      <w:r>
        <w:t xml:space="preserve">-patent stock is associated with</w:t>
      </w:r>
      <w:r>
        <w:t xml:space="preserve"> </w:t>
      </w:r>
      <w:r>
        <w:rPr>
          <w:i/>
          <w:iCs/>
        </w:rPr>
        <w:t xml:space="preserve">higher</w:t>
      </w:r>
      <w:r>
        <w:t xml:space="preserve"> </w:t>
      </w:r>
      <w:r>
        <w:t xml:space="preserve">employment (elasticity</w:t>
      </w:r>
      <w:r>
        <w:t xml:space="preserve"> </w:t>
      </w:r>
      <m:oMath>
        <m:r>
          <m:t>0.055</m:t>
        </m:r>
      </m:oMath>
      <w:r>
        <w:t xml:space="preserve">,</w:t>
      </w:r>
      <w:r>
        <w:t xml:space="preserve"> </w:t>
      </w:r>
      <m:oMath>
        <m:r>
          <m:t>t</m:t>
        </m:r>
        <m:r>
          <m:rPr>
            <m:sty m:val="p"/>
          </m:rPr>
          <m:t>=</m:t>
        </m:r>
        <m:r>
          <m:t>7.5</m:t>
        </m:r>
      </m:oMath>
      <w:r>
        <w:t xml:space="preserve">), whereas its robotics stock is associated</w:t>
      </w:r>
      <w:r>
        <w:t xml:space="preserve"> </w:t>
      </w:r>
      <w:r>
        <w:t xml:space="preserve">with higher</w:t>
      </w:r>
      <w:r>
        <w:t xml:space="preserve"> </w:t>
      </w:r>
      <w:r>
        <w:rPr>
          <w:i/>
          <w:iCs/>
        </w:rPr>
        <w:t xml:space="preserve">market value</w:t>
      </w:r>
      <w:r>
        <w:t xml:space="preserve"> </w:t>
      </w:r>
      <w:r>
        <w:t xml:space="preserve">(Tobin’s Q coefficient</w:t>
      </w:r>
      <w:r>
        <w:t xml:space="preserve"> </w:t>
      </w:r>
      <m:oMath>
        <m:r>
          <m:t>0.40</m:t>
        </m:r>
      </m:oMath>
      <w:r>
        <w:t xml:space="preserve">,</w:t>
      </w:r>
      <w:r>
        <w:t xml:space="preserve"> </w:t>
      </w:r>
      <m:oMath>
        <m:r>
          <m:t>t</m:t>
        </m:r>
        <m:r>
          <m:rPr>
            <m:sty m:val="p"/>
          </m:rPr>
          <m:t>=</m:t>
        </m:r>
        <m:r>
          <m:t>5.0</m:t>
        </m:r>
      </m:oMath>
      <w:r>
        <w:t xml:space="preserve">) but no employment change.</w:t>
      </w:r>
      <w:r>
        <w:t xml:space="preserve"> </w:t>
      </w:r>
      <w:r>
        <w:t xml:space="preserve">An event study around a firm’s</w:t>
      </w:r>
      <w:r>
        <w:t xml:space="preserve"> </w:t>
      </w:r>
      <w:r>
        <w:rPr>
          <w:i/>
          <w:iCs/>
        </w:rPr>
        <w:t xml:space="preserve">first</w:t>
      </w:r>
      <w:r>
        <w:t xml:space="preserve"> </w:t>
      </w:r>
      <w:r>
        <w:t xml:space="preserve">AI patent shows employment rising about 11% and</w:t>
      </w:r>
      <w:r>
        <w:t xml:space="preserve"> </w:t>
      </w:r>
      <w:r>
        <w:t xml:space="preserve">sales-per-employee about 6% over the following five years, with flat pre-trends. At the level of</w:t>
      </w:r>
      <w:r>
        <w:t xml:space="preserve"> </w:t>
      </w:r>
      <w:r>
        <w:t xml:space="preserve">the innovating firm, cognitive automation looks labor-</w:t>
      </w:r>
      <w:r>
        <w:rPr>
          <w:i/>
          <w:iCs/>
        </w:rPr>
        <w:t xml:space="preserve">complementary</w:t>
      </w:r>
      <w:r>
        <w:t xml:space="preserve">, not labor-displacing.</w:t>
      </w:r>
      <w:r>
        <w:t xml:space="preserve"> </w:t>
      </w:r>
      <w:r>
        <w:t xml:space="preserve">We stress-test both headline results. The AI–employment complementarity survives industry</w:t>
      </w:r>
      <w:r>
        <w:t xml:space="preserve"> </w:t>
      </w:r>
      <m:oMath>
        <m:r>
          <m:rPr>
            <m:sty m:val="p"/>
          </m:rPr>
          <m:t>×</m:t>
        </m:r>
      </m:oMath>
      <w:r>
        <w:t xml:space="preserve"> </w:t>
      </w:r>
      <w:r>
        <w:t xml:space="preserve">year fixed effects (</w:t>
      </w:r>
      <m:oMath>
        <m:r>
          <m:t>0.036</m:t>
        </m:r>
      </m:oMath>
      <w:r>
        <w:t xml:space="preserve">,</w:t>
      </w:r>
      <w:r>
        <w:t xml:space="preserve"> </w:t>
      </w:r>
      <m:oMath>
        <m:r>
          <m:t>t</m:t>
        </m:r>
        <m:r>
          <m:rPr>
            <m:sty m:val="p"/>
          </m:rPr>
          <m:t>=</m:t>
        </m:r>
        <m:r>
          <m:t>4.8</m:t>
        </m:r>
      </m:oMath>
      <w:r>
        <w:t xml:space="preserve">) and added accounting controls, and it concentrates</w:t>
      </w:r>
      <w:r>
        <w:t xml:space="preserve"> </w:t>
      </w:r>
      <w:r>
        <w:t xml:space="preserve">in high-tech and R&amp;D-active firms—the settings where AI is most plausibly a productive input</w:t>
      </w:r>
      <w:r>
        <w:t xml:space="preserve"> </w:t>
      </w:r>
      <w:r>
        <w:t xml:space="preserve">rather than a labeling artifact.</w:t>
      </w:r>
      <w:r>
        <w:t xml:space="preserve"> </w:t>
      </w:r>
      <w:r>
        <w:rPr>
          <w:i/>
          <w:iCs/>
        </w:rPr>
        <w:t xml:space="preserve">Randomization inference</w:t>
      </w:r>
      <w:r>
        <w:t xml:space="preserve"> </w:t>
      </w:r>
      <w:r>
        <w:t xml:space="preserve">that permutes the entire</w:t>
      </w:r>
      <w:r>
        <w:t xml:space="preserve"> </w:t>
      </w:r>
      <w:r>
        <w:t xml:space="preserve">firm-level AI trajectory across firms 500 times places the actual elasticity far outside a</w:t>
      </w:r>
      <w:r>
        <w:t xml:space="preserve"> </w:t>
      </w:r>
      <w:r>
        <w:t xml:space="preserve">permutation distribution centered at zero (design-based</w:t>
      </w:r>
      <w:r>
        <w:t xml:space="preserve"> </w:t>
      </w:r>
      <m:oMath>
        <m:r>
          <m:t>p</m:t>
        </m:r>
        <m:r>
          <m:rPr>
            <m:sty m:val="p"/>
          </m:rPr>
          <m:t>&lt;</m:t>
        </m:r>
        <m:r>
          <m:t>0.002</m:t>
        </m:r>
      </m:oMath>
      <w:r>
        <w:t xml:space="preserve">), so the result is not an</w:t>
      </w:r>
      <w:r>
        <w:t xml:space="preserve"> </w:t>
      </w:r>
      <w:r>
        <w:t xml:space="preserve">artifact of clustered-standard-error asymptotics. The robotics–value result is equally robust and</w:t>
      </w:r>
      <w:r>
        <w:t xml:space="preserve"> </w:t>
      </w:r>
      <w:r>
        <w:t xml:space="preserve">is strongest among large firms. A</w:t>
      </w:r>
      <w:r>
        <w:t xml:space="preserve"> </w:t>
      </w:r>
      <w:r>
        <w:rPr>
          <w:i/>
          <w:iCs/>
        </w:rPr>
        <w:t xml:space="preserve">minimum-detectable-effect</w:t>
      </w:r>
      <w:r>
        <w:t xml:space="preserve"> </w:t>
      </w:r>
      <w:r>
        <w:t xml:space="preserve">analysis shows the genuine</w:t>
      </w:r>
      <w:r>
        <w:t xml:space="preserve"> </w:t>
      </w:r>
      <w:r>
        <w:t xml:space="preserve">nulls are informative: at 80% power we could have detected a robotics–employment elasticity of</w:t>
      </w:r>
      <w:r>
        <w:t xml:space="preserve"> </w:t>
      </w:r>
      <w:r>
        <w:t xml:space="preserve">about</w:t>
      </w:r>
      <w:r>
        <w:t xml:space="preserve"> </w:t>
      </w:r>
      <m:oMath>
        <m:r>
          <m:t>2.3</m:t>
        </m:r>
        <m:r>
          <m:rPr>
            <m:sty m:val="p"/>
          </m:rPr>
          <m:t>%</m:t>
        </m:r>
      </m:oMath>
      <w:r>
        <w:t xml:space="preserve"> </w:t>
      </w:r>
      <w:r>
        <w:t xml:space="preserve">of the employment standard deviation, so the absence of a firm-level robotics</w:t>
      </w:r>
      <w:r>
        <w:t xml:space="preserve"> </w:t>
      </w:r>
      <w:r>
        <w:t xml:space="preserve">employment effect is a bound, not low power. These remain within-firm conditional correlations;</w:t>
      </w:r>
      <w:r>
        <w:t xml:space="preserve"> </w:t>
      </w:r>
      <w:r>
        <w:t xml:space="preserve">hand-reading whether each robotics patent is labor-replacing or labor-augmenting is the paper’s</w:t>
      </w:r>
      <w:r>
        <w:t xml:space="preserve"> </w:t>
      </w:r>
      <w:r>
        <w:t xml:space="preserve">key remaining input.</w:t>
      </w:r>
      <w:r>
        <w:br/>
      </w:r>
      <w:r>
        <w:rPr>
          <w:b/>
          <w:bCs/>
        </w:rPr>
        <w:t xml:space="preserve">JEL:</w:t>
      </w:r>
      <w:r>
        <w:t xml:space="preserve"> </w:t>
      </w:r>
      <w:r>
        <w:t xml:space="preserve">O33, J23, G30, O31.</w:t>
      </w:r>
      <w:r>
        <w:t xml:space="preserve"> </w:t>
      </w:r>
      <w:r>
        <w:rPr>
          <w:b/>
          <w:bCs/>
        </w:rPr>
        <w:t xml:space="preserve">Keywords:</w:t>
      </w:r>
      <w:r>
        <w:t xml:space="preserve"> </w:t>
      </w:r>
      <w:r>
        <w:t xml:space="preserve">artificial intelligence, robotics, automation, patents, employment, firm value,</w:t>
      </w:r>
      <w:r>
        <w:t xml:space="preserve"> </w:t>
      </w:r>
      <w:r>
        <w:t xml:space="preserve">randomization inference, statistical power.</w:t>
      </w:r>
    </w:p>
    <w:bookmarkStart w:id="11" w:name="sec:intro"/>
    <w:p>
      <w:pPr>
        <w:pStyle w:val="Heading1"/>
      </w:pPr>
      <w:r>
        <w:t xml:space="preserve">Introduction</w:t>
      </w:r>
    </w:p>
    <w:p>
      <w:pPr>
        <w:pStyle w:val="FirstParagraph"/>
      </w:pPr>
      <w:r>
        <w:t xml:space="preserve">Will automation destroy jobs or create them? The answer likely depends on</w:t>
      </w:r>
      <w:r>
        <w:t xml:space="preserve"> </w:t>
      </w:r>
      <w:r>
        <w:rPr>
          <w:i/>
          <w:iCs/>
        </w:rPr>
        <w:t xml:space="preserve">which</w:t>
      </w:r>
      <w:r>
        <w:t xml:space="preserve"> </w:t>
      </w:r>
      <w:r>
        <w:t xml:space="preserve">automation.</w:t>
      </w:r>
      <w:r>
        <w:t xml:space="preserve"> </w:t>
      </w:r>
      <w:r>
        <w:rPr>
          <w:i/>
          <w:iCs/>
        </w:rPr>
        <w:t xml:space="preserve">Physical</w:t>
      </w:r>
      <w:r>
        <w:t xml:space="preserve"> </w:t>
      </w:r>
      <w:r>
        <w:t xml:space="preserve">automation—industrial robots—substitutes for manual labor and,</w:t>
      </w:r>
      <w:r>
        <w:t xml:space="preserve"> </w:t>
      </w:r>
      <w:r>
        <w:t xml:space="preserve">in the aggregate, has been linked to local employment declines</w:t>
      </w:r>
      <w:r>
        <w:t xml:space="preserve"> </w:t>
      </w:r>
      <w:r>
        <w:t xml:space="preserve">.</w:t>
      </w:r>
      <w:r>
        <w:t xml:space="preserve"> </w:t>
      </w:r>
      <w:r>
        <w:rPr>
          <w:i/>
          <w:iCs/>
        </w:rPr>
        <w:t xml:space="preserve">Cognitive</w:t>
      </w:r>
      <w:r>
        <w:t xml:space="preserve"> </w:t>
      </w:r>
      <w:r>
        <w:t xml:space="preserve">automation—artificial intelligence—substitutes instead for prediction and</w:t>
      </w:r>
      <w:r>
        <w:t xml:space="preserve"> </w:t>
      </w:r>
      <w:r>
        <w:t xml:space="preserve">information processing, and its labor consequences are more contested</w:t>
      </w:r>
      <w:r>
        <w:t xml:space="preserve"> </w:t>
      </w:r>
      <w:r>
        <w:t xml:space="preserve">. Yet most evidence studies the two in isolation, and most of it is measured at the</w:t>
      </w:r>
      <w:r>
        <w:t xml:space="preserve"> </w:t>
      </w:r>
      <w:r>
        <w:t xml:space="preserve">level of a labor market or an occupation rather than the firm that actually produces the</w:t>
      </w:r>
      <w:r>
        <w:t xml:space="preserve"> </w:t>
      </w:r>
      <w:r>
        <w:t xml:space="preserve">technology. This paper puts cognitive and physical automation side by side</w:t>
      </w:r>
      <w:r>
        <w:t xml:space="preserve"> </w:t>
      </w:r>
      <w:r>
        <w:rPr>
          <w:i/>
          <w:iCs/>
        </w:rPr>
        <w:t xml:space="preserve">inside the</w:t>
      </w:r>
      <w:r>
        <w:rPr>
          <w:i/>
          <w:iCs/>
        </w:rPr>
        <w:t xml:space="preserve"> </w:t>
      </w:r>
      <w:r>
        <w:rPr>
          <w:i/>
          <w:iCs/>
        </w:rPr>
        <w:t xml:space="preserve">firm</w:t>
      </w:r>
      <w:r>
        <w:t xml:space="preserve">, using the patents that embody each technology, and asks whether they leave different</w:t>
      </w:r>
      <w:r>
        <w:t xml:space="preserve"> </w:t>
      </w:r>
      <w:r>
        <w:t xml:space="preserve">footprints on employment and on value.</w:t>
      </w:r>
    </w:p>
    <w:p>
      <w:pPr>
        <w:pStyle w:val="BodyText"/>
      </w:pPr>
      <w:r>
        <w:t xml:space="preserve">We combine three datasets. The USPTO Artificial Intelligence Patent Dataset (AIPD) flags AI</w:t>
      </w:r>
      <w:r>
        <w:t xml:space="preserve"> </w:t>
      </w:r>
      <w:r>
        <w:t xml:space="preserve">patents using a machine-learning classifier over the full text of every granted patent.</w:t>
      </w:r>
      <w:r>
        <w:t xml:space="preserve"> </w:t>
      </w:r>
      <w:r>
        <w:t xml:space="preserve">PatentsView CPC codes identify robotics: subclass B25J covers industrial robots and manipulators.</w:t>
      </w:r>
      <w:r>
        <w:t xml:space="preserve"> </w:t>
      </w:r>
      <w:r>
        <w:t xml:space="preserve">The Kogan-Papanikolaou-Seru-Stoffman (KPSS) crosswalk links each patent to a CRSP firm</w:t>
      </w:r>
      <w:r>
        <w:t xml:space="preserve"> </w:t>
      </w:r>
      <w:r>
        <w:t xml:space="preserve">(</w:t>
      </w:r>
      <w:r>
        <w:rPr>
          <w:rStyle w:val="VerbatimChar"/>
        </w:rPr>
        <w:t xml:space="preserve">permno</w:t>
      </w:r>
      <w:r>
        <w:t xml:space="preserve">) and to a stock-market-based estimate of its private value</w:t>
      </w:r>
      <w:r>
        <w:t xml:space="preserve"> </w:t>
      </w:r>
      <w:r>
        <w:t xml:space="preserve">.</w:t>
      </w:r>
      <w:r>
        <w:t xml:space="preserve"> </w:t>
      </w:r>
      <w:r>
        <w:t xml:space="preserve">Merging the resulting firm-year patent stocks to Compustat gives a panel of 7</w:t>
      </w:r>
      <w:r>
        <w:t xml:space="preserve">,</w:t>
      </w:r>
      <w:r>
        <w:t xml:space="preserve">087</w:t>
      </w:r>
      <w:r>
        <w:t xml:space="preserve"> </w:t>
      </w:r>
      <w:r>
        <w:t xml:space="preserve">publicly-traded innovators over 1995–2024, 83</w:t>
      </w:r>
      <w:r>
        <w:t xml:space="preserve">,</w:t>
      </w:r>
      <w:r>
        <w:t xml:space="preserve">976 firm-years, on which we measure employment,</w:t>
      </w:r>
      <w:r>
        <w:t xml:space="preserve"> </w:t>
      </w:r>
      <w:r>
        <w:t xml:space="preserve">sales, labor productivity (sales per employee), profitability (ROA), and Tobin’s Q.</w:t>
      </w:r>
    </w:p>
    <w:p>
      <w:pPr>
        <w:pStyle w:val="BodyText"/>
      </w:pPr>
      <w:r>
        <w:t xml:space="preserve">Our central finding is a clean cognitive/physical contrast. In firm- and year-fixed-effects</w:t>
      </w:r>
      <w:r>
        <w:t xml:space="preserve"> </w:t>
      </w:r>
      <w:r>
        <w:t xml:space="preserve">panels, the cumulative</w:t>
      </w:r>
      <w:r>
        <w:t xml:space="preserve"> </w:t>
      </w:r>
      <w:r>
        <w:rPr>
          <w:i/>
          <w:iCs/>
        </w:rPr>
        <w:t xml:space="preserve">AI</w:t>
      </w:r>
      <w:r>
        <w:t xml:space="preserve">-patent stock loads positively on employment (elasticity</w:t>
      </w:r>
      <w:r>
        <w:t xml:space="preserve"> </w:t>
      </w:r>
      <m:oMath>
        <m:r>
          <m:t>0.055</m:t>
        </m:r>
      </m:oMath>
      <w:r>
        <w:t xml:space="preserve">,</w:t>
      </w:r>
      <w:r>
        <w:t xml:space="preserve"> </w:t>
      </w:r>
      <m:oMath>
        <m:r>
          <m:t>t</m:t>
        </m:r>
        <m:r>
          <m:rPr>
            <m:sty m:val="p"/>
          </m:rPr>
          <m:t>=</m:t>
        </m:r>
        <m:r>
          <m:t>7.5</m:t>
        </m:r>
      </m:oMath>
      <w:r>
        <w:t xml:space="preserve">; Table </w:t>
      </w:r>
      <w:hyperlink w:anchor="tab:fe">
        <w:r>
          <w:rPr>
            <w:rStyle w:val="Hyperlink"/>
          </w:rPr>
          <w:t xml:space="preserve">2</w:t>
        </w:r>
      </w:hyperlink>
      <w:r>
        <w:t xml:space="preserve">) while the</w:t>
      </w:r>
      <w:r>
        <w:t xml:space="preserve"> </w:t>
      </w:r>
      <w:r>
        <w:rPr>
          <w:i/>
          <w:iCs/>
        </w:rPr>
        <w:t xml:space="preserve">robotics</w:t>
      </w:r>
      <w:r>
        <w:t xml:space="preserve"> </w:t>
      </w:r>
      <w:r>
        <w:t xml:space="preserve">stock does not (insignificant).</w:t>
      </w:r>
      <w:r>
        <w:t xml:space="preserve"> </w:t>
      </w:r>
      <w:r>
        <w:t xml:space="preserve">Symmetrically, robotics loads positively on</w:t>
      </w:r>
      <w:r>
        <w:t xml:space="preserve"> </w:t>
      </w:r>
      <w:r>
        <w:rPr>
          <w:i/>
          <w:iCs/>
        </w:rPr>
        <w:t xml:space="preserve">Tobin’s Q</w:t>
      </w:r>
      <w:r>
        <w:t xml:space="preserve"> </w:t>
      </w:r>
      <w:r>
        <w:t xml:space="preserve">(</w:t>
      </w:r>
      <m:oMath>
        <m:r>
          <m:t>0.40</m:t>
        </m:r>
      </m:oMath>
      <w:r>
        <w:t xml:space="preserve">,</w:t>
      </w:r>
      <w:r>
        <w:t xml:space="preserve"> </w:t>
      </w:r>
      <m:oMath>
        <m:r>
          <m:t>t</m:t>
        </m:r>
        <m:r>
          <m:rPr>
            <m:sty m:val="p"/>
          </m:rPr>
          <m:t>=</m:t>
        </m:r>
        <m:r>
          <m:t>5.0</m:t>
        </m:r>
      </m:oMath>
      <w:r>
        <w:t xml:space="preserve">) whereas AI does</w:t>
      </w:r>
      <w:r>
        <w:t xml:space="preserve"> </w:t>
      </w:r>
      <w:r>
        <w:t xml:space="preserve">not; the market capitalizes physical-automation capability into value, but AI capability travels</w:t>
      </w:r>
      <w:r>
        <w:t xml:space="preserve"> </w:t>
      </w:r>
      <w:r>
        <w:t xml:space="preserve">with headcount. An event study around a firm’s first AI patent (Figure </w:t>
      </w:r>
      <w:hyperlink w:anchor="fig:es">
        <w:r>
          <w:rPr>
            <w:rStyle w:val="Hyperlink"/>
          </w:rPr>
          <w:t xml:space="preserve">1</w:t>
        </w:r>
      </w:hyperlink>
      <w:r>
        <w:t xml:space="preserve">) shows</w:t>
      </w:r>
      <w:r>
        <w:t xml:space="preserve"> </w:t>
      </w:r>
      <w:r>
        <w:t xml:space="preserve">employment climbing to roughly</w:t>
      </w:r>
      <w:r>
        <w:t xml:space="preserve"> </w:t>
      </w:r>
      <m:oMath>
        <m:r>
          <m:rPr>
            <m:sty m:val="p"/>
          </m:rPr>
          <m:t>+</m:t>
        </m:r>
        <m:r>
          <m:t>11</m:t>
        </m:r>
        <m:r>
          <m:rPr>
            <m:sty m:val="p"/>
          </m:rPr>
          <m:t>%</m:t>
        </m:r>
      </m:oMath>
      <w:r>
        <w:t xml:space="preserve"> </w:t>
      </w:r>
      <w:r>
        <w:t xml:space="preserve">by year four and sales-per-employee to roughly</w:t>
      </w:r>
      <w:r>
        <w:t xml:space="preserve"> </w:t>
      </w:r>
      <m:oMath>
        <m:r>
          <m:rPr>
            <m:sty m:val="p"/>
          </m:rPr>
          <m:t>+</m:t>
        </m:r>
        <m:r>
          <m:t>6</m:t>
        </m:r>
        <m:r>
          <m:rPr>
            <m:sty m:val="p"/>
          </m:rPr>
          <m:t>%</m:t>
        </m:r>
      </m:oMath>
      <w:r>
        <w:t xml:space="preserve">,</w:t>
      </w:r>
      <w:r>
        <w:t xml:space="preserve"> </w:t>
      </w:r>
      <w:r>
        <w:t xml:space="preserve">with flat pre-adoption trends. Inside the innovating firm, AI has so far accompanied</w:t>
      </w:r>
      <w:r>
        <w:t xml:space="preserve"> </w:t>
      </w:r>
      <w:r>
        <w:rPr>
          <w:i/>
          <w:iCs/>
        </w:rPr>
        <w:t xml:space="preserve">expansion</w:t>
      </w:r>
      <w:r>
        <w:t xml:space="preserve">, not contraction—consistent with</w:t>
      </w:r>
      <w:r>
        <w:t xml:space="preserve"> </w:t>
      </w:r>
      <w:r>
        <w:t xml:space="preserve">, who find that</w:t>
      </w:r>
      <w:r>
        <w:t xml:space="preserve"> </w:t>
      </w:r>
      <w:r>
        <w:t xml:space="preserve">AI-investing firms grow.</w:t>
      </w:r>
    </w:p>
    <w:p>
      <w:pPr>
        <w:pStyle w:val="BodyText"/>
      </w:pPr>
      <w:r>
        <w:t xml:space="preserve">A single set of two-way fixed-effects coefficients, however striking, is not enough to headline</w:t>
      </w:r>
      <w:r>
        <w:t xml:space="preserve"> </w:t>
      </w:r>
      <w:r>
        <w:t xml:space="preserve">two facts. We therefore subject both results to a battery of design-based checks, and this is</w:t>
      </w:r>
      <w:r>
        <w:t xml:space="preserve"> </w:t>
      </w:r>
      <w:r>
        <w:t xml:space="preserve">where the paper goes beyond a first pass at the data. First, we show that the AI–employment</w:t>
      </w:r>
      <w:r>
        <w:t xml:space="preserve"> </w:t>
      </w:r>
      <w:r>
        <w:t xml:space="preserve">elasticity is not a mechanical size or industry story: it</w:t>
      </w:r>
      <w:r>
        <w:t xml:space="preserve"> </w:t>
      </w:r>
      <w:r>
        <w:rPr>
          <w:i/>
          <w:iCs/>
        </w:rPr>
        <w:t xml:space="preserve">survives</w:t>
      </w:r>
      <w:r>
        <w:t xml:space="preserve"> </w:t>
      </w:r>
      <w:r>
        <w:t xml:space="preserve">the replacement of year</w:t>
      </w:r>
      <w:r>
        <w:t xml:space="preserve"> </w:t>
      </w:r>
      <w:r>
        <w:t xml:space="preserve">fixed effects with fully saturated industry</w:t>
      </w:r>
      <w:r>
        <w:t xml:space="preserve"> </w:t>
      </w:r>
      <m:oMath>
        <m:r>
          <m:rPr>
            <m:sty m:val="p"/>
          </m:rPr>
          <m:t>×</m:t>
        </m:r>
      </m:oMath>
      <w:r>
        <w:t xml:space="preserve"> </w:t>
      </w:r>
      <w:r>
        <w:t xml:space="preserve">year fixed effects (which absorb any</w:t>
      </w:r>
      <w:r>
        <w:t xml:space="preserve"> </w:t>
      </w:r>
      <w:r>
        <w:t xml:space="preserve">industry-specific time shock; elasticity</w:t>
      </w:r>
      <w:r>
        <w:t xml:space="preserve"> </w:t>
      </w:r>
      <m:oMath>
        <m:r>
          <m:t>0.036</m:t>
        </m:r>
      </m:oMath>
      <w:r>
        <w:t xml:space="preserve">,</w:t>
      </w:r>
      <w:r>
        <w:t xml:space="preserve"> </w:t>
      </w:r>
      <m:oMath>
        <m:r>
          <m:t>t</m:t>
        </m:r>
        <m:r>
          <m:rPr>
            <m:sty m:val="p"/>
          </m:rPr>
          <m:t>=</m:t>
        </m:r>
        <m:r>
          <m:t>4.8</m:t>
        </m:r>
      </m:oMath>
      <w:r>
        <w:t xml:space="preserve">), it survives the addition of</w:t>
      </w:r>
      <w:r>
        <w:t xml:space="preserve"> </w:t>
      </w:r>
      <w:r>
        <w:t xml:space="preserve">profitability and leverage controls, and it holds in the modern (post-2005) AI era</w:t>
      </w:r>
      <w:r>
        <w:t xml:space="preserve"> </w:t>
      </w:r>
      <w:r>
        <w:t xml:space="preserve">(Table </w:t>
      </w:r>
      <w:hyperlink w:anchor="tab:altfe">
        <w:r>
          <w:rPr>
            <w:rStyle w:val="Hyperlink"/>
          </w:rPr>
          <w:t xml:space="preserve">5</w:t>
        </w:r>
      </w:hyperlink>
      <w:r>
        <w:t xml:space="preserve">). Second, we ask</w:t>
      </w:r>
      <w:r>
        <w:t xml:space="preserve"> </w:t>
      </w:r>
      <w:r>
        <w:rPr>
          <w:i/>
          <w:iCs/>
        </w:rPr>
        <w:t xml:space="preserve">which</w:t>
      </w:r>
      <w:r>
        <w:t xml:space="preserve"> </w:t>
      </w:r>
      <w:r>
        <w:t xml:space="preserve">firms drive it. Interacting the AI stock</w:t>
      </w:r>
      <w:r>
        <w:t xml:space="preserve"> </w:t>
      </w:r>
      <w:r>
        <w:t xml:space="preserve">with observable pre-sample moderators (Table </w:t>
      </w:r>
      <w:hyperlink w:anchor="tab:hetero">
        <w:r>
          <w:rPr>
            <w:rStyle w:val="Hyperlink"/>
          </w:rPr>
          <w:t xml:space="preserve">4</w:t>
        </w:r>
      </w:hyperlink>
      <w:r>
        <w:t xml:space="preserve">), the employment complementarity is</w:t>
      </w:r>
      <w:r>
        <w:t xml:space="preserve"> </w:t>
      </w:r>
      <w:r>
        <w:t xml:space="preserve">strongest in high-tech and R&amp;D-active firms—exactly where an AI patent is most plausibly a</w:t>
      </w:r>
      <w:r>
        <w:t xml:space="preserve"> </w:t>
      </w:r>
      <w:r>
        <w:t xml:space="preserve">genuine productive input—while the robotics–value effect is strongest among large firms.</w:t>
      </w:r>
      <w:r>
        <w:t xml:space="preserve"> </w:t>
      </w:r>
      <w:r>
        <w:t xml:space="preserve">Third, and most importantly, we replace the parametric</w:t>
      </w:r>
      <w:r>
        <w:t xml:space="preserve"> </w:t>
      </w:r>
      <m:oMath>
        <m:r>
          <m:t>t</m:t>
        </m:r>
      </m:oMath>
      <w:r>
        <w:t xml:space="preserve">-test with</w:t>
      </w:r>
      <w:r>
        <w:t xml:space="preserve"> </w:t>
      </w:r>
      <w:r>
        <w:rPr>
          <w:i/>
          <w:iCs/>
        </w:rPr>
        <w:t xml:space="preserve">randomization</w:t>
      </w:r>
      <w:r>
        <w:rPr>
          <w:i/>
          <w:iCs/>
        </w:rPr>
        <w:t xml:space="preserve"> </w:t>
      </w:r>
      <w:r>
        <w:rPr>
          <w:i/>
          <w:iCs/>
        </w:rPr>
        <w:t xml:space="preserve">inference</w:t>
      </w:r>
      <w:r>
        <w:t xml:space="preserve">. We permute each firm’s entire AI-patent trajectory to a randomly chosen donor firm,</w:t>
      </w:r>
      <w:r>
        <w:t xml:space="preserve"> </w:t>
      </w:r>
      <w:r>
        <w:t xml:space="preserve">matched on calendar year, 500 times, and re-estimate the panel each time (Table </w:t>
      </w:r>
      <w:hyperlink w:anchor="tab:ri">
        <w:r>
          <w:rPr>
            <w:rStyle w:val="Hyperlink"/>
          </w:rPr>
          <w:t xml:space="preserve">7</w:t>
        </w:r>
      </w:hyperlink>
      <w:r>
        <w:t xml:space="preserve">,</w:t>
      </w:r>
      <w:r>
        <w:t xml:space="preserve"> </w:t>
      </w:r>
      <w:r>
        <w:t xml:space="preserve">Figure </w:t>
      </w:r>
      <w:hyperlink w:anchor="fig:ri">
        <w:r>
          <w:rPr>
            <w:rStyle w:val="Hyperlink"/>
          </w:rPr>
          <w:t xml:space="preserve">2</w:t>
        </w:r>
      </w:hyperlink>
      <w:r>
        <w:t xml:space="preserve">). Under this sharp null the permutation distribution is centered at zero (its</w:t>
      </w:r>
      <w:r>
        <w:t xml:space="preserve"> </w:t>
      </w:r>
      <w:r>
        <w:t xml:space="preserve">mean is</w:t>
      </w:r>
      <w:r>
        <w:t xml:space="preserve"> </w:t>
      </w:r>
      <m:oMath>
        <m:r>
          <m:rPr>
            <m:sty m:val="p"/>
          </m:rPr>
          <m:t>+</m:t>
        </m:r>
        <m:r>
          <m:t>0.001</m:t>
        </m:r>
      </m:oMath>
      <w:r>
        <w:t xml:space="preserve">, confirming the test is well-behaved), and the actual elasticity of</w:t>
      </w:r>
      <w:r>
        <w:t xml:space="preserve"> </w:t>
      </w:r>
      <m:oMath>
        <m:r>
          <m:t>0.055</m:t>
        </m:r>
      </m:oMath>
      <w:r>
        <w:t xml:space="preserve"> </w:t>
      </w:r>
      <w:r>
        <w:t xml:space="preserve">lies</w:t>
      </w:r>
      <w:r>
        <w:t xml:space="preserve"> </w:t>
      </w:r>
      <w:r>
        <w:t xml:space="preserve">entirely outside it: not one of 500 permutations produced a coefficient as large, a design-based</w:t>
      </w:r>
      <w:r>
        <w:t xml:space="preserve"> </w:t>
      </w:r>
      <m:oMath>
        <m:r>
          <m:t>p</m:t>
        </m:r>
        <m:r>
          <m:rPr>
            <m:sty m:val="p"/>
          </m:rPr>
          <m:t>&lt;</m:t>
        </m:r>
        <m:r>
          <m:t>0.002</m:t>
        </m:r>
      </m:oMath>
      <w:r>
        <w:t xml:space="preserve">. The AI–employment link does not depend on clustered-standard-error asymptotics.</w:t>
      </w:r>
    </w:p>
    <w:p>
      <w:pPr>
        <w:pStyle w:val="BodyText"/>
      </w:pPr>
      <w:r>
        <w:t xml:space="preserve">Finally, we treat our nulls as quantitative objects rather than as bare failures to reject. The</w:t>
      </w:r>
      <w:r>
        <w:t xml:space="preserve"> </w:t>
      </w:r>
      <w:r>
        <w:t xml:space="preserve">firm-level</w:t>
      </w:r>
      <w:r>
        <w:t xml:space="preserve"> </w:t>
      </w:r>
      <w:r>
        <w:rPr>
          <w:i/>
          <w:iCs/>
        </w:rPr>
        <w:t xml:space="preserve">robotics–employment</w:t>
      </w:r>
      <w:r>
        <w:t xml:space="preserve"> </w:t>
      </w:r>
      <w:r>
        <w:t xml:space="preserve">coefficient is insignificant—a result of independent</w:t>
      </w:r>
      <w:r>
        <w:t xml:space="preserve"> </w:t>
      </w:r>
      <w:r>
        <w:t xml:space="preserve">interest, because it is the firm-level counterpart of the aggregate job-displacement finding of</w:t>
      </w:r>
      <w:r>
        <w:t xml:space="preserve"> </w:t>
      </w:r>
      <w:r>
        <w:t xml:space="preserve">. A minimum-detectable-effect (MDE) analysis (Table </w:t>
      </w:r>
      <w:hyperlink w:anchor="tab:power">
        <w:r>
          <w:rPr>
            <w:rStyle w:val="Hyperlink"/>
          </w:rPr>
          <w:t xml:space="preserve">8</w:t>
        </w:r>
      </w:hyperlink>
      <w:r>
        <w:t xml:space="preserve">) shows</w:t>
      </w:r>
      <w:r>
        <w:t xml:space="preserve"> </w:t>
      </w:r>
      <w:r>
        <w:t xml:space="preserve">this null is informative: at 80% power our design could have detected a robotics–employment</w:t>
      </w:r>
      <w:r>
        <w:t xml:space="preserve"> </w:t>
      </w:r>
      <w:r>
        <w:t xml:space="preserve">elasticity of about</w:t>
      </w:r>
      <w:r>
        <w:t xml:space="preserve"> </w:t>
      </w:r>
      <m:oMath>
        <m:r>
          <m:t>2.3</m:t>
        </m:r>
        <m:r>
          <m:rPr>
            <m:sty m:val="p"/>
          </m:rPr>
          <m:t>%</m:t>
        </m:r>
      </m:oMath>
      <w:r>
        <w:t xml:space="preserve"> </w:t>
      </w:r>
      <w:r>
        <w:t xml:space="preserve">of the employment standard deviation and a robotics–ROA effect of</w:t>
      </w:r>
      <w:r>
        <w:t xml:space="preserve"> </w:t>
      </w:r>
      <w:r>
        <w:t xml:space="preserve">about</w:t>
      </w:r>
      <w:r>
        <w:t xml:space="preserve"> </w:t>
      </w:r>
      <m:oMath>
        <m:r>
          <m:t>3.5</m:t>
        </m:r>
        <m:r>
          <m:rPr>
            <m:sty m:val="p"/>
          </m:rPr>
          <m:t>%</m:t>
        </m:r>
      </m:oMath>
      <w:r>
        <w:t xml:space="preserve">. The firm-level robotics employment effect, if any, is smaller than that. This does</w:t>
      </w:r>
      <w:r>
        <w:t xml:space="preserve"> </w:t>
      </w:r>
      <w:r>
        <w:rPr>
          <w:i/>
          <w:iCs/>
        </w:rPr>
        <w:t xml:space="preserve">not</w:t>
      </w:r>
      <w:r>
        <w:t xml:space="preserve"> </w:t>
      </w:r>
      <w:r>
        <w:t xml:space="preserve">contradict the aggregate displacement literature; it locates the action outside the</w:t>
      </w:r>
      <w:r>
        <w:t xml:space="preserve"> </w:t>
      </w:r>
      <w:r>
        <w:t xml:space="preserve">innovating firm’s own payroll (at competitors, suppliers, or downstream adopters), which is the</w:t>
      </w:r>
      <w:r>
        <w:t xml:space="preserve"> </w:t>
      </w:r>
      <w:r>
        <w:t xml:space="preserve">natural next question and beyond a firm-of-origin design.</w:t>
      </w:r>
    </w:p>
    <w:p>
      <w:pPr>
        <w:pStyle w:val="BodyText"/>
      </w:pPr>
      <w:r>
        <w:t xml:space="preserve">We make four contributions. First, we separate cognitive from physical automation</w:t>
      </w:r>
      <w:r>
        <w:t xml:space="preserve"> </w:t>
      </w:r>
      <w:r>
        <w:rPr>
          <w:i/>
          <w:iCs/>
        </w:rPr>
        <w:t xml:space="preserve">at the</w:t>
      </w:r>
      <w:r>
        <w:rPr>
          <w:i/>
          <w:iCs/>
        </w:rPr>
        <w:t xml:space="preserve"> </w:t>
      </w:r>
      <w:r>
        <w:rPr>
          <w:i/>
          <w:iCs/>
        </w:rPr>
        <w:t xml:space="preserve">firm level</w:t>
      </w:r>
      <w:r>
        <w:t xml:space="preserve"> </w:t>
      </w:r>
      <w:r>
        <w:t xml:space="preserve">using patents, and show they map to different outcomes—jobs versus value—within</w:t>
      </w:r>
      <w:r>
        <w:t xml:space="preserve"> </w:t>
      </w:r>
      <w:r>
        <w:t xml:space="preserve">the same panel and the same specification. Second, we document that AI, at the innovating firm,</w:t>
      </w:r>
      <w:r>
        <w:t xml:space="preserve"> </w:t>
      </w:r>
      <w:r>
        <w:t xml:space="preserve">has been labor-complementary over 1995–2024, and we establish this with design-based inference</w:t>
      </w:r>
      <w:r>
        <w:t xml:space="preserve"> </w:t>
      </w:r>
      <w:r>
        <w:t xml:space="preserve">rather than asymptotic standard errors. Third, we quantify the informativeness of the robotics</w:t>
      </w:r>
      <w:r>
        <w:t xml:space="preserve"> </w:t>
      </w:r>
      <w:r>
        <w:t xml:space="preserve">employment null, so a reader can see what magnitude of firm-level displacement the data rule out.</w:t>
      </w:r>
      <w:r>
        <w:t xml:space="preserve"> </w:t>
      </w:r>
      <w:r>
        <w:t xml:space="preserve">Fourth, we are explicit that the machine-assigned</w:t>
      </w:r>
      <w:r>
        <w:t xml:space="preserve"> </w:t>
      </w:r>
      <w:r>
        <w:t xml:space="preserve">“robotics”</w:t>
      </w:r>
      <w:r>
        <w:t xml:space="preserve"> </w:t>
      </w:r>
      <w:r>
        <w:t xml:space="preserve">label cannot distinguish a</w:t>
      </w:r>
      <w:r>
        <w:t xml:space="preserve"> </w:t>
      </w:r>
      <w:r>
        <w:t xml:space="preserve">labor-</w:t>
      </w:r>
      <w:r>
        <w:rPr>
          <w:i/>
          <w:iCs/>
        </w:rPr>
        <w:t xml:space="preserve">replacing</w:t>
      </w:r>
      <w:r>
        <w:t xml:space="preserve"> </w:t>
      </w:r>
      <w:r>
        <w:t xml:space="preserve">robot from a labor-</w:t>
      </w:r>
      <w:r>
        <w:rPr>
          <w:i/>
          <w:iCs/>
        </w:rPr>
        <w:t xml:space="preserve">augmenting</w:t>
      </w:r>
      <w:r>
        <w:t xml:space="preserve"> </w:t>
      </w:r>
      <w:r>
        <w:t xml:space="preserve">one; hand-reading each robotics patent</w:t>
      </w:r>
      <w:r>
        <w:t xml:space="preserve"> </w:t>
      </w:r>
      <w:r>
        <w:t xml:space="preserve">to code that distinction is the design that would turn our conditional correlation into a</w:t>
      </w:r>
      <w:r>
        <w:t xml:space="preserve"> </w:t>
      </w:r>
      <w:r>
        <w:t xml:space="preserve">mechanism, and it is the reserved contribution of the student co-author. Section </w:t>
      </w:r>
      <w:hyperlink w:anchor="sec:bg">
        <w:r>
          <w:rPr>
            <w:rStyle w:val="Hyperlink"/>
          </w:rPr>
          <w:t xml:space="preserve">2</w:t>
        </w:r>
      </w:hyperlink>
      <w:r>
        <w:t xml:space="preserve"> </w:t>
      </w:r>
      <w:r>
        <w:t xml:space="preserve">lays out the conceptual framework and hypotheses, Section </w:t>
      </w:r>
      <w:hyperlink w:anchor="sec:lit">
        <w:r>
          <w:rPr>
            <w:rStyle w:val="Hyperlink"/>
          </w:rPr>
          <w:t xml:space="preserve">3</w:t>
        </w:r>
      </w:hyperlink>
      <w:r>
        <w:t xml:space="preserve"> </w:t>
      </w:r>
      <w:r>
        <w:t xml:space="preserve">places the paper in the</w:t>
      </w:r>
      <w:r>
        <w:t xml:space="preserve"> </w:t>
      </w:r>
      <w:r>
        <w:t xml:space="preserve">literature, Section </w:t>
      </w:r>
      <w:hyperlink w:anchor="sec:data">
        <w:r>
          <w:rPr>
            <w:rStyle w:val="Hyperlink"/>
          </w:rPr>
          <w:t xml:space="preserve">4</w:t>
        </w:r>
      </w:hyperlink>
      <w:r>
        <w:t xml:space="preserve"> </w:t>
      </w:r>
      <w:r>
        <w:t xml:space="preserve">describes the data and research design, Section </w:t>
      </w:r>
      <w:hyperlink w:anchor="sec:res">
        <w:r>
          <w:rPr>
            <w:rStyle w:val="Hyperlink"/>
          </w:rPr>
          <w:t xml:space="preserve">5</w:t>
        </w:r>
      </w:hyperlink>
      <w:r>
        <w:t xml:space="preserve"> </w:t>
      </w:r>
      <w:r>
        <w:t xml:space="preserve">presents the main panel and event-study results, Section </w:t>
      </w:r>
      <w:hyperlink w:anchor="sec:het">
        <w:r>
          <w:rPr>
            <w:rStyle w:val="Hyperlink"/>
          </w:rPr>
          <w:t xml:space="preserve">6</w:t>
        </w:r>
      </w:hyperlink>
      <w:r>
        <w:t xml:space="preserve"> </w:t>
      </w:r>
      <w:r>
        <w:t xml:space="preserve">the heterogeneity,</w:t>
      </w:r>
      <w:r>
        <w:t xml:space="preserve"> </w:t>
      </w:r>
      <w:r>
        <w:t xml:space="preserve">Section </w:t>
      </w:r>
      <w:hyperlink w:anchor="sec:robust">
        <w:r>
          <w:rPr>
            <w:rStyle w:val="Hyperlink"/>
          </w:rPr>
          <w:t xml:space="preserve">7</w:t>
        </w:r>
      </w:hyperlink>
      <w:r>
        <w:t xml:space="preserve"> </w:t>
      </w:r>
      <w:r>
        <w:t xml:space="preserve">the alternative-identification and randomization-inference checks,</w:t>
      </w:r>
      <w:r>
        <w:t xml:space="preserve"> </w:t>
      </w:r>
      <w:r>
        <w:t xml:space="preserve">Section </w:t>
      </w:r>
      <w:hyperlink w:anchor="sec:power">
        <w:r>
          <w:rPr>
            <w:rStyle w:val="Hyperlink"/>
          </w:rPr>
          <w:t xml:space="preserve">8</w:t>
        </w:r>
      </w:hyperlink>
      <w:r>
        <w:t xml:space="preserve"> </w:t>
      </w:r>
      <w:r>
        <w:t xml:space="preserve">the power analysis, and Section </w:t>
      </w:r>
      <w:hyperlink w:anchor="sec:concl">
        <w:r>
          <w:rPr>
            <w:rStyle w:val="Hyperlink"/>
          </w:rPr>
          <w:t xml:space="preserve">9</w:t>
        </w:r>
      </w:hyperlink>
      <w:r>
        <w:t xml:space="preserve"> </w:t>
      </w:r>
      <w:r>
        <w:t xml:space="preserve">concludes with the</w:t>
      </w:r>
      <w:r>
        <w:t xml:space="preserve"> </w:t>
      </w:r>
      <w:r>
        <w:t xml:space="preserve">hand-coding that would sharpen the test.</w:t>
      </w:r>
    </w:p>
    <w:bookmarkEnd w:id="11"/>
    <w:bookmarkStart w:id="15" w:name="sec:bg"/>
    <w:p>
      <w:pPr>
        <w:pStyle w:val="Heading1"/>
      </w:pPr>
      <w:r>
        <w:t xml:space="preserve">Conceptual Framework and Hypotheses</w:t>
      </w:r>
    </w:p>
    <w:bookmarkStart w:id="12" w:name="two-technologies-two-margins."/>
    <w:p>
      <w:pPr>
        <w:pStyle w:val="Heading4"/>
      </w:pPr>
      <w:r>
        <w:t xml:space="preserve">Two technologies, two margins.</w:t>
      </w:r>
    </w:p>
    <w:p>
      <w:pPr>
        <w:pStyle w:val="FirstParagraph"/>
      </w:pPr>
      <w:r>
        <w:t xml:space="preserve">The task-based framework of</w:t>
      </w:r>
      <w:r>
        <w:t xml:space="preserve"> </w:t>
      </w:r>
      <w:r>
        <w:t xml:space="preserve"> </w:t>
      </w:r>
      <w:r>
        <w:t xml:space="preserve">treats automation as the reassignment of tasks from labor to capital. A technology</w:t>
      </w:r>
      <w:r>
        <w:t xml:space="preserve"> </w:t>
      </w:r>
      <w:r>
        <w:t xml:space="preserve">that automates a task a worker used to perform (a</w:t>
      </w:r>
      <w:r>
        <w:t xml:space="preserve"> </w:t>
      </w:r>
      <w:r>
        <w:rPr>
          <w:i/>
          <w:iCs/>
        </w:rPr>
        <w:t xml:space="preserve">displacement</w:t>
      </w:r>
      <w:r>
        <w:t xml:space="preserve"> </w:t>
      </w:r>
      <w:r>
        <w:t xml:space="preserve">effect) reduces labor</w:t>
      </w:r>
      <w:r>
        <w:t xml:space="preserve"> </w:t>
      </w:r>
      <w:r>
        <w:t xml:space="preserve">demand for that task; a technology that raises productivity or creates new tasks (a</w:t>
      </w:r>
      <w:r>
        <w:t xml:space="preserve"> </w:t>
      </w:r>
      <w:r>
        <w:rPr>
          <w:i/>
          <w:iCs/>
        </w:rPr>
        <w:t xml:space="preserve">reinstatement</w:t>
      </w:r>
      <w:r>
        <w:t xml:space="preserve"> </w:t>
      </w:r>
      <w:r>
        <w:t xml:space="preserve">or</w:t>
      </w:r>
      <w:r>
        <w:t xml:space="preserve"> </w:t>
      </w:r>
      <w:r>
        <w:rPr>
          <w:i/>
          <w:iCs/>
        </w:rPr>
        <w:t xml:space="preserve">productivity</w:t>
      </w:r>
      <w:r>
        <w:t xml:space="preserve"> </w:t>
      </w:r>
      <w:r>
        <w:t xml:space="preserve">effect) can raise it. Which effect dominates is an</w:t>
      </w:r>
      <w:r>
        <w:t xml:space="preserve"> </w:t>
      </w:r>
      <w:r>
        <w:t xml:space="preserve">empirical question that depends on the technology and on the unit of observation. Industrial</w:t>
      </w:r>
      <w:r>
        <w:t xml:space="preserve"> </w:t>
      </w:r>
      <w:r>
        <w:t xml:space="preserve">robotics is the canonical displacing technology: a manipulator that welds, paints, or performs</w:t>
      </w:r>
      <w:r>
        <w:t xml:space="preserve"> </w:t>
      </w:r>
      <w:r>
        <w:t xml:space="preserve">pick-and-place does directly what a manual worker did. Artificial intelligence is more ambiguous:</w:t>
      </w:r>
      <w:r>
        <w:t xml:space="preserve"> </w:t>
      </w:r>
      <w:r>
        <w:t xml:space="preserve">it substitutes for prediction and information processing</w:t>
      </w:r>
      <w:r>
        <w:t xml:space="preserve"> </w:t>
      </w:r>
      <w:r>
        <w:t xml:space="preserve">, but at the</w:t>
      </w:r>
      <w:r>
        <w:t xml:space="preserve"> </w:t>
      </w:r>
      <w:r>
        <w:t xml:space="preserve">firm that develops it, AI is often an input into new products and services that require</w:t>
      </w:r>
      <w:r>
        <w:t xml:space="preserve"> </w:t>
      </w:r>
      <w:r>
        <w:t xml:space="preserve">complementary human labor to build, sell, and support</w:t>
      </w:r>
      <w:r>
        <w:t xml:space="preserve"> </w:t>
      </w:r>
      <w:r>
        <w:t xml:space="preserve">.</w:t>
      </w:r>
    </w:p>
    <w:bookmarkEnd w:id="12"/>
    <w:bookmarkStart w:id="13" w:name="the-firm-of-origin."/>
    <w:p>
      <w:pPr>
        <w:pStyle w:val="Heading4"/>
      </w:pPr>
      <w:r>
        <w:t xml:space="preserve">The firm of origin.</w:t>
      </w:r>
    </w:p>
    <w:p>
      <w:pPr>
        <w:pStyle w:val="FirstParagraph"/>
      </w:pPr>
      <w:r>
        <w:t xml:space="preserve">We study the firm that</w:t>
      </w:r>
      <w:r>
        <w:t xml:space="preserve"> </w:t>
      </w:r>
      <w:r>
        <w:rPr>
          <w:i/>
          <w:iCs/>
        </w:rPr>
        <w:t xml:space="preserve">creates</w:t>
      </w:r>
      <w:r>
        <w:t xml:space="preserve"> </w:t>
      </w:r>
      <w:r>
        <w:t xml:space="preserve">the technology, not the</w:t>
      </w:r>
      <w:r>
        <w:t xml:space="preserve"> </w:t>
      </w:r>
      <w:r>
        <w:t xml:space="preserve">firm or region that later adopts it. This choice is a strength and a limitation. It is a strength</w:t>
      </w:r>
      <w:r>
        <w:t xml:space="preserve"> </w:t>
      </w:r>
      <w:r>
        <w:t xml:space="preserve">because the patent gives a precise, dated, firm-level measure of capability, and because the firm</w:t>
      </w:r>
      <w:r>
        <w:t xml:space="preserve"> </w:t>
      </w:r>
      <w:r>
        <w:t xml:space="preserve">that patents AI or robotics is where the technology’s earliest labor and value consequences</w:t>
      </w:r>
      <w:r>
        <w:t xml:space="preserve"> </w:t>
      </w:r>
      <w:r>
        <w:t xml:space="preserve">appear. It is a limitation because displacement may occur</w:t>
      </w:r>
      <w:r>
        <w:t xml:space="preserve"> </w:t>
      </w:r>
      <w:r>
        <w:rPr>
          <w:i/>
          <w:iCs/>
        </w:rPr>
        <w:t xml:space="preserve">elsewhere</w:t>
      </w:r>
      <w:r>
        <w:t xml:space="preserve">—at competitors that</w:t>
      </w:r>
      <w:r>
        <w:t xml:space="preserve"> </w:t>
      </w:r>
      <w:r>
        <w:t xml:space="preserve">lose share, at customers that automate, or in the aggregate labor market—and a firm-of-origin</w:t>
      </w:r>
      <w:r>
        <w:t xml:space="preserve"> </w:t>
      </w:r>
      <w:r>
        <w:t xml:space="preserve">design cannot see it. Our results should therefore be read as statements about the innovating</w:t>
      </w:r>
      <w:r>
        <w:t xml:space="preserve"> </w:t>
      </w:r>
      <w:r>
        <w:t xml:space="preserve">firm’s own workforce and market value, not about economy-wide employment.</w:t>
      </w:r>
    </w:p>
    <w:bookmarkEnd w:id="13"/>
    <w:bookmarkStart w:id="14" w:name="hypotheses."/>
    <w:p>
      <w:pPr>
        <w:pStyle w:val="Heading4"/>
      </w:pPr>
      <w:r>
        <w:t xml:space="preserve">Hypotheses.</w:t>
      </w:r>
    </w:p>
    <w:p>
      <w:pPr>
        <w:pStyle w:val="FirstParagraph"/>
      </w:pPr>
      <w:r>
        <w:t xml:space="preserve">The framework and the prior evidence motivate:</w:t>
      </w:r>
    </w:p>
    <w:p>
      <w:pPr>
        <w:pStyle w:val="BlockText"/>
      </w:pPr>
      <w:r>
        <w:rPr>
          <w:b/>
          <w:bCs/>
        </w:rPr>
        <w:t xml:space="preserve">H1 (Cognitive complementarity).</w:t>
      </w:r>
      <w:r>
        <w:t xml:space="preserve"> </w:t>
      </w:r>
      <w:r>
        <w:t xml:space="preserve">At the innovating firm, a larger AI-patent stock is</w:t>
      </w:r>
      <w:r>
        <w:t xml:space="preserve"> </w:t>
      </w:r>
      <w:r>
        <w:t xml:space="preserve">associated with</w:t>
      </w:r>
      <w:r>
        <w:t xml:space="preserve"> </w:t>
      </w:r>
      <w:r>
        <w:rPr>
          <w:i/>
          <w:iCs/>
        </w:rPr>
        <w:t xml:space="preserve">higher</w:t>
      </w:r>
      <w:r>
        <w:t xml:space="preserve"> </w:t>
      </w:r>
      <w:r>
        <w:t xml:space="preserve">employment: AI is labor-complementary where it is invented.</w:t>
      </w:r>
    </w:p>
    <w:p>
      <w:pPr>
        <w:pStyle w:val="BlockText"/>
      </w:pPr>
      <w:r>
        <w:rPr>
          <w:b/>
          <w:bCs/>
        </w:rPr>
        <w:t xml:space="preserve">H2 (Physical value capitalization).</w:t>
      </w:r>
      <w:r>
        <w:t xml:space="preserve"> </w:t>
      </w:r>
      <w:r>
        <w:t xml:space="preserve">A larger robotics-patent stock is associated with</w:t>
      </w:r>
      <w:r>
        <w:t xml:space="preserve"> </w:t>
      </w:r>
      <w:r>
        <w:t xml:space="preserve">higher firm</w:t>
      </w:r>
      <w:r>
        <w:t xml:space="preserve"> </w:t>
      </w:r>
      <w:r>
        <w:rPr>
          <w:i/>
          <w:iCs/>
        </w:rPr>
        <w:t xml:space="preserve">value</w:t>
      </w:r>
      <w:r>
        <w:t xml:space="preserve"> </w:t>
      </w:r>
      <w:r>
        <w:t xml:space="preserve">(Tobin’s Q), as the market prices physical-automation capability, while</w:t>
      </w:r>
      <w:r>
        <w:t xml:space="preserve"> </w:t>
      </w:r>
      <w:r>
        <w:t xml:space="preserve">its own-firm employment effect is muted or negative.</w:t>
      </w:r>
    </w:p>
    <w:p>
      <w:pPr>
        <w:pStyle w:val="BlockText"/>
      </w:pPr>
      <w:r>
        <w:rPr>
          <w:b/>
          <w:bCs/>
        </w:rPr>
        <w:t xml:space="preserve">H3 (Divergence).</w:t>
      </w:r>
      <w:r>
        <w:t xml:space="preserve"> </w:t>
      </w:r>
      <w:r>
        <w:t xml:space="preserve">The two technologies load on</w:t>
      </w:r>
      <w:r>
        <w:t xml:space="preserve"> </w:t>
      </w:r>
      <w:r>
        <w:rPr>
          <w:i/>
          <w:iCs/>
        </w:rPr>
        <w:t xml:space="preserve">different</w:t>
      </w:r>
      <w:r>
        <w:t xml:space="preserve"> </w:t>
      </w:r>
      <w:r>
        <w:t xml:space="preserve">margins: AI on employment,</w:t>
      </w:r>
      <w:r>
        <w:t xml:space="preserve"> </w:t>
      </w:r>
      <w:r>
        <w:t xml:space="preserve">robotics on value. A pooled</w:t>
      </w:r>
      <w:r>
        <w:t xml:space="preserve"> </w:t>
      </w:r>
      <w:r>
        <w:t xml:space="preserve">“automation”</w:t>
      </w:r>
      <w:r>
        <w:t xml:space="preserve"> </w:t>
      </w:r>
      <w:r>
        <w:t xml:space="preserve">measure would blur a real distinction.</w:t>
      </w:r>
    </w:p>
    <w:p>
      <w:pPr>
        <w:pStyle w:val="FirstParagraph"/>
      </w:pPr>
      <w:r>
        <w:t xml:space="preserve">Our evidence supports all three. The sharper test—whether robotics that a human reader codes as</w:t>
      </w:r>
      <w:r>
        <w:t xml:space="preserve"> </w:t>
      </w:r>
      <w:r>
        <w:t xml:space="preserve">labor-</w:t>
      </w:r>
      <w:r>
        <w:rPr>
          <w:i/>
          <w:iCs/>
        </w:rPr>
        <w:t xml:space="preserve">replacing</w:t>
      </w:r>
      <w:r>
        <w:t xml:space="preserve"> </w:t>
      </w:r>
      <w:r>
        <w:t xml:space="preserve">displaces own-firm labor while labor-</w:t>
      </w:r>
      <w:r>
        <w:rPr>
          <w:i/>
          <w:iCs/>
        </w:rPr>
        <w:t xml:space="preserve">augmenting</w:t>
      </w:r>
      <w:r>
        <w:t xml:space="preserve"> </w:t>
      </w:r>
      <w:r>
        <w:t xml:space="preserve">robotics does</w:t>
      </w:r>
      <w:r>
        <w:t xml:space="preserve"> </w:t>
      </w:r>
      <w:r>
        <w:t xml:space="preserve">not—requires the hand-coding reserved for the student co-author (Section </w:t>
      </w:r>
      <w:hyperlink w:anchor="sec:concl">
        <w:r>
          <w:rPr>
            <w:rStyle w:val="Hyperlink"/>
          </w:rPr>
          <w:t xml:space="preserve">9</w:t>
        </w:r>
      </w:hyperlink>
      <w:r>
        <w:t xml:space="preserve">) and is</w:t>
      </w:r>
      <w:r>
        <w:t xml:space="preserve"> </w:t>
      </w:r>
      <w:r>
        <w:t xml:space="preserve">deliberately</w:t>
      </w:r>
      <w:r>
        <w:t xml:space="preserve"> </w:t>
      </w:r>
      <w:r>
        <w:rPr>
          <w:i/>
          <w:iCs/>
        </w:rPr>
        <w:t xml:space="preserve">not</w:t>
      </w:r>
      <w:r>
        <w:t xml:space="preserve"> </w:t>
      </w:r>
      <w:r>
        <w:t xml:space="preserve">attempted with the observable moderators we use in Section </w:t>
      </w:r>
      <w:hyperlink w:anchor="sec:het">
        <w:r>
          <w:rPr>
            <w:rStyle w:val="Hyperlink"/>
          </w:rPr>
          <w:t xml:space="preserve">6</w:t>
        </w:r>
      </w:hyperlink>
      <w:r>
        <w:t xml:space="preserve">.</w:t>
      </w:r>
    </w:p>
    <w:bookmarkEnd w:id="14"/>
    <w:bookmarkEnd w:id="15"/>
    <w:bookmarkStart w:id="16" w:name="sec:lit"/>
    <w:p>
      <w:pPr>
        <w:pStyle w:val="Heading1"/>
      </w:pPr>
      <w:r>
        <w:t xml:space="preserve">Related Literature</w:t>
      </w:r>
    </w:p>
    <w:p>
      <w:pPr>
        <w:pStyle w:val="FirstParagraph"/>
      </w:pPr>
      <w:r>
        <w:t xml:space="preserve">This paper connects three strands. The first is the economics of automation and labor. The</w:t>
      </w:r>
      <w:r>
        <w:t xml:space="preserve"> </w:t>
      </w:r>
      <w:r>
        <w:t xml:space="preserve">robots-and-jobs literature finds that industrial-robot adoption reduces employment and wages in</w:t>
      </w:r>
      <w:r>
        <w:t xml:space="preserve"> </w:t>
      </w:r>
      <w:r>
        <w:t xml:space="preserve">exposed local labor markets</w:t>
      </w:r>
      <w:r>
        <w:t xml:space="preserve"> </w:t>
      </w:r>
      <w:r>
        <w:t xml:space="preserve">, and the task-based framework</w:t>
      </w:r>
      <w:r>
        <w:t xml:space="preserve"> </w:t>
      </w:r>
      <w:r>
        <w:t xml:space="preserve"> </w:t>
      </w:r>
      <w:r>
        <w:t xml:space="preserve">explains why: robots displace routine manual tasks faster than</w:t>
      </w:r>
      <w:r>
        <w:t xml:space="preserve"> </w:t>
      </w:r>
      <w:r>
        <w:t xml:space="preserve">they reinstate new ones. The AI-and-labor literature is younger and less settled. Occupation-level</w:t>
      </w:r>
      <w:r>
        <w:t xml:space="preserve"> </w:t>
      </w:r>
      <w:r>
        <w:t xml:space="preserve">exposure measures</w:t>
      </w:r>
      <w:r>
        <w:t xml:space="preserve"> </w:t>
      </w:r>
      <w:r>
        <w:t xml:space="preserve"> </w:t>
      </w:r>
      <w:r>
        <w:t xml:space="preserve">and vacancy-based evidence</w:t>
      </w:r>
      <w:r>
        <w:t xml:space="preserve"> </w:t>
      </w:r>
      <w:r>
        <w:t xml:space="preserve"> </w:t>
      </w:r>
      <w:r>
        <w:t xml:space="preserve">suggest AI</w:t>
      </w:r>
      <w:r>
        <w:t xml:space="preserve"> </w:t>
      </w:r>
      <w:r>
        <w:t xml:space="preserve">substitutes for a different, more cognitive task bundle, with effects that are so far smaller and</w:t>
      </w:r>
      <w:r>
        <w:t xml:space="preserve"> </w:t>
      </w:r>
      <w:r>
        <w:t xml:space="preserve">more heterogeneous than those of robotics.</w:t>
      </w:r>
      <w:r>
        <w:t xml:space="preserve"> </w:t>
      </w:r>
      <w:r>
        <w:t xml:space="preserve"> </w:t>
      </w:r>
      <w:r>
        <w:t xml:space="preserve">move the question inside the firm</w:t>
      </w:r>
      <w:r>
        <w:t xml:space="preserve"> </w:t>
      </w:r>
      <w:r>
        <w:t xml:space="preserve">and find that firms investing in AI grow—in sales, employment, and product scope—which is the</w:t>
      </w:r>
      <w:r>
        <w:t xml:space="preserve"> </w:t>
      </w:r>
      <w:r>
        <w:t xml:space="preserve">closest antecedent to our AI–employment result. Our contribution to this strand is to place</w:t>
      </w:r>
      <w:r>
        <w:t xml:space="preserve"> </w:t>
      </w:r>
      <w:r>
        <w:t xml:space="preserve">cognitive and physical automation in the</w:t>
      </w:r>
      <w:r>
        <w:t xml:space="preserve"> </w:t>
      </w:r>
      <w:r>
        <w:rPr>
          <w:i/>
          <w:iCs/>
        </w:rPr>
        <w:t xml:space="preserve">same</w:t>
      </w:r>
      <w:r>
        <w:t xml:space="preserve"> </w:t>
      </w:r>
      <w:r>
        <w:t xml:space="preserve">firm-level panel, measured symmetrically</w:t>
      </w:r>
      <w:r>
        <w:t xml:space="preserve"> </w:t>
      </w:r>
      <w:r>
        <w:t xml:space="preserve">from patents, so that the jobs-versus-value contrast is identified off a single specification</w:t>
      </w:r>
      <w:r>
        <w:t xml:space="preserve"> </w:t>
      </w:r>
      <w:r>
        <w:t xml:space="preserve">rather than pieced together across studies with different units and designs.</w:t>
      </w:r>
    </w:p>
    <w:p>
      <w:pPr>
        <w:pStyle w:val="BodyText"/>
      </w:pPr>
      <w:r>
        <w:t xml:space="preserve">The second strand is innovation and firm value.</w:t>
      </w:r>
      <w:r>
        <w:t xml:space="preserve"> </w:t>
      </w:r>
      <w:r>
        <w:t xml:space="preserve"> </w:t>
      </w:r>
      <w:r>
        <w:t xml:space="preserve">construct stock-market-based</w:t>
      </w:r>
      <w:r>
        <w:t xml:space="preserve"> </w:t>
      </w:r>
      <w:r>
        <w:t xml:space="preserve">estimates of the private value of each patent and show that patent value forecasts firm growth</w:t>
      </w:r>
      <w:r>
        <w:t xml:space="preserve"> </w:t>
      </w:r>
      <w:r>
        <w:t xml:space="preserve">and reallocation. We use their crosswalk both to link patents to firms and, implicitly, to</w:t>
      </w:r>
      <w:r>
        <w:t xml:space="preserve"> </w:t>
      </w:r>
      <w:r>
        <w:t xml:space="preserve">motivate Tobin’s Q as the value margin on which robotics loads. Our finding that robotics</w:t>
      </w:r>
      <w:r>
        <w:t xml:space="preserve"> </w:t>
      </w:r>
      <w:r>
        <w:t xml:space="preserve">capability capitalizes into value while AI capability travels with headcount refines the</w:t>
      </w:r>
      <w:r>
        <w:t xml:space="preserve"> </w:t>
      </w:r>
      <w:r>
        <w:t xml:space="preserve">innovation-value mapping by technology type.</w:t>
      </w:r>
    </w:p>
    <w:p>
      <w:pPr>
        <w:pStyle w:val="BodyText"/>
      </w:pPr>
      <w:r>
        <w:t xml:space="preserve">The third strand is design-based and finite-sample inference. Recent methodological work stresses</w:t>
      </w:r>
      <w:r>
        <w:t xml:space="preserve"> </w:t>
      </w:r>
      <w:r>
        <w:t xml:space="preserve">that inference with a moderate number of clusters, or off a treatment that is correlated across</w:t>
      </w:r>
      <w:r>
        <w:t xml:space="preserve"> </w:t>
      </w:r>
      <w:r>
        <w:t xml:space="preserve">units, benefits from permutation and randomization methods rather than asymptotic cluster-robust</w:t>
      </w:r>
      <w:r>
        <w:t xml:space="preserve"> </w:t>
      </w:r>
      <w:r>
        <w:t xml:space="preserve">standard errors</w:t>
      </w:r>
      <w:r>
        <w:t xml:space="preserve"> </w:t>
      </w:r>
      <w:r>
        <w:t xml:space="preserve">; that pre-trend tests have limited power and should be</w:t>
      </w:r>
      <w:r>
        <w:t xml:space="preserve"> </w:t>
      </w:r>
      <w:r>
        <w:t xml:space="preserve">interpreted cautiously</w:t>
      </w:r>
      <w:r>
        <w:t xml:space="preserve"> </w:t>
      </w:r>
      <w:r>
        <w:t xml:space="preserve">; that dynamic difference-in-differences and event-study</w:t>
      </w:r>
      <w:r>
        <w:t xml:space="preserve"> </w:t>
      </w:r>
      <w:r>
        <w:t xml:space="preserve">estimands are fragile under effect heterogeneity</w:t>
      </w:r>
      <w:r>
        <w:t xml:space="preserve"> </w:t>
      </w:r>
      <w:r>
        <w:t xml:space="preserve">; and that a statistically</w:t>
      </w:r>
      <w:r>
        <w:t xml:space="preserve"> </w:t>
      </w:r>
      <w:r>
        <w:t xml:space="preserve">insignificant estimate should be interpreted through its confidence interval and power rather than</w:t>
      </w:r>
      <w:r>
        <w:t xml:space="preserve"> </w:t>
      </w:r>
      <w:r>
        <w:t xml:space="preserve">treated as proof of no effect</w:t>
      </w:r>
      <w:r>
        <w:t xml:space="preserve"> </w:t>
      </w:r>
      <w:r>
        <w:t xml:space="preserve">. We use these tools constructively: randomization</w:t>
      </w:r>
      <w:r>
        <w:t xml:space="preserve"> </w:t>
      </w:r>
      <w:r>
        <w:t xml:space="preserve">inference to confirm that the AI–employment elasticity is not an artifact of cluster asymptotics</w:t>
      </w:r>
      <w:r>
        <w:t xml:space="preserve"> </w:t>
      </w:r>
      <w:r>
        <w:t xml:space="preserve">(Section </w:t>
      </w:r>
      <w:hyperlink w:anchor="sec:robust">
        <w:r>
          <w:rPr>
            <w:rStyle w:val="Hyperlink"/>
          </w:rPr>
          <w:t xml:space="preserve">7</w:t>
        </w:r>
      </w:hyperlink>
      <w:r>
        <w:t xml:space="preserve">), and a minimum-detectable-effect calculation to state the robotics</w:t>
      </w:r>
      <w:r>
        <w:t xml:space="preserve"> </w:t>
      </w:r>
      <w:r>
        <w:t xml:space="preserve">employment null as a quantitative bound (Section </w:t>
      </w:r>
      <w:hyperlink w:anchor="sec:power">
        <w:r>
          <w:rPr>
            <w:rStyle w:val="Hyperlink"/>
          </w:rPr>
          <w:t xml:space="preserve">8</w:t>
        </w:r>
      </w:hyperlink>
      <w:r>
        <w:t xml:space="preserve">).</w:t>
      </w:r>
    </w:p>
    <w:bookmarkEnd w:id="16"/>
    <w:bookmarkStart w:id="22" w:name="sec:data"/>
    <w:p>
      <w:pPr>
        <w:pStyle w:val="Heading1"/>
      </w:pPr>
      <w:r>
        <w:t xml:space="preserve">Data and Research Design</w:t>
      </w:r>
    </w:p>
    <w:bookmarkStart w:id="17" w:name="patents-to-firms."/>
    <w:p>
      <w:pPr>
        <w:pStyle w:val="Heading4"/>
      </w:pPr>
      <w:r>
        <w:t xml:space="preserve">Patents to firms.</w:t>
      </w:r>
    </w:p>
    <w:p>
      <w:pPr>
        <w:pStyle w:val="FirstParagraph"/>
      </w:pPr>
      <w:r>
        <w:t xml:space="preserve">We flag a granted patent as AI if the USPTO AIPD marks it</w:t>
      </w:r>
      <w:r>
        <w:t xml:space="preserve"> </w:t>
      </w:r>
      <w:r>
        <w:t xml:space="preserve">(</w:t>
      </w:r>
      <w:r>
        <w:rPr>
          <w:rStyle w:val="VerbatimChar"/>
        </w:rPr>
        <w:t xml:space="preserve">predict50_any_ai</w:t>
      </w:r>
      <w:r>
        <w:t xml:space="preserve">) and as robotics if any of its CPC subclasses is B25J (industrial</w:t>
      </w:r>
      <w:r>
        <w:t xml:space="preserve"> </w:t>
      </w:r>
      <w:r>
        <w:t xml:space="preserve">manipulators). The KPSS file links roughly 3.4 million patents to a CRSP</w:t>
      </w:r>
      <w:r>
        <w:t xml:space="preserve"> </w:t>
      </w:r>
      <w:r>
        <w:rPr>
          <w:rStyle w:val="VerbatimChar"/>
        </w:rPr>
        <w:t xml:space="preserve">permno</w:t>
      </w:r>
      <w:r>
        <w:t xml:space="preserve"> </w:t>
      </w:r>
      <w:r>
        <w:t xml:space="preserve">with a</w:t>
      </w:r>
      <w:r>
        <w:t xml:space="preserve"> </w:t>
      </w:r>
      <w:r>
        <w:t xml:space="preserve">market-value estimate; of the firm-matched patents, 632</w:t>
      </w:r>
      <w:r>
        <w:t xml:space="preserve">,</w:t>
      </w:r>
      <w:r>
        <w:t xml:space="preserve">817 are flagged AI and 7</w:t>
      </w:r>
      <w:r>
        <w:t xml:space="preserve">,</w:t>
      </w:r>
      <w:r>
        <w:t xml:space="preserve">626 are</w:t>
      </w:r>
      <w:r>
        <w:t xml:space="preserve"> </w:t>
      </w:r>
      <w:r>
        <w:t xml:space="preserve">flagged robotics. We aggregate to a firm-year panel of cumulative AI, robotics, and total patent</w:t>
      </w:r>
      <w:r>
        <w:t xml:space="preserve"> </w:t>
      </w:r>
      <w:r>
        <w:t xml:space="preserve">stocks (a stock is the running sum of a firm’s flagged grants through year</w:t>
      </w:r>
      <w:r>
        <w:t xml:space="preserve"> </w:t>
      </w:r>
      <m:oMath>
        <m:r>
          <m:t>t</m:t>
        </m:r>
      </m:oMath>
      <w:r>
        <w:t xml:space="preserve">), and merge to</w:t>
      </w:r>
      <w:r>
        <w:t xml:space="preserve"> </w:t>
      </w:r>
      <w:r>
        <w:t xml:space="preserve">Compustat annual fundamentals for every firm that ever patents and links to CRSP. The estimation</w:t>
      </w:r>
      <w:r>
        <w:t xml:space="preserve"> </w:t>
      </w:r>
      <w:r>
        <w:t xml:space="preserve">sample is 7</w:t>
      </w:r>
      <w:r>
        <w:t xml:space="preserve">,</w:t>
      </w:r>
      <w:r>
        <w:t xml:space="preserve">087 firms and 83</w:t>
      </w:r>
      <w:r>
        <w:t xml:space="preserve">,</w:t>
      </w:r>
      <w:r>
        <w:t xml:space="preserve">976 firm-years over 1995–2024.</w:t>
      </w:r>
    </w:p>
    <w:bookmarkEnd w:id="17"/>
    <w:bookmarkStart w:id="18" w:name="variables."/>
    <w:p>
      <w:pPr>
        <w:pStyle w:val="Heading4"/>
      </w:pPr>
      <w:r>
        <w:t xml:space="preserve">Variables.</w:t>
      </w:r>
    </w:p>
    <w:p>
      <w:pPr>
        <w:pStyle w:val="FirstParagraph"/>
      </w:pPr>
      <w:r>
        <w:t xml:space="preserve">The treatment variables are</w:t>
      </w:r>
      <w:r>
        <w:t xml:space="preserve"> </w:t>
      </w:r>
      <m:oMath>
        <m:r>
          <m:rPr>
            <m:sty m:val="p"/>
          </m:rPr>
          <m:t>ln</m:t>
        </m:r>
        <m:r>
          <m:rPr>
            <m:sty m:val="p"/>
          </m:rPr>
          <m:t>(</m:t>
        </m:r>
        <m:r>
          <m:t>1</m:t>
        </m:r>
        <m:r>
          <m:rPr>
            <m:sty m:val="p"/>
          </m:rPr>
          <m:t>+</m:t>
        </m:r>
        <m:r>
          <m:rPr>
            <m:nor/>
            <m:sty m:val="p"/>
          </m:rPr>
          <m:t>AI stock</m:t>
        </m:r>
        <m:r>
          <m:rPr>
            <m:sty m:val="p"/>
          </m:rPr>
          <m:t>)</m:t>
        </m:r>
      </m:oMath>
      <w:r>
        <w:t xml:space="preserve"> </w:t>
      </w:r>
      <w:r>
        <w:t xml:space="preserve">and</w:t>
      </w:r>
      <w:r>
        <w:t xml:space="preserve"> </w:t>
      </w:r>
      <m:oMath>
        <m:r>
          <m:rPr>
            <m:sty m:val="p"/>
          </m:rPr>
          <m:t>ln</m:t>
        </m:r>
        <m:r>
          <m:rPr>
            <m:sty m:val="p"/>
          </m:rPr>
          <m:t>(</m:t>
        </m:r>
        <m:r>
          <m:t>1</m:t>
        </m:r>
        <m:r>
          <m:rPr>
            <m:sty m:val="p"/>
          </m:rPr>
          <m:t>+</m:t>
        </m:r>
        <m:r>
          <m:rPr>
            <m:nor/>
            <m:sty m:val="p"/>
          </m:rPr>
          <m:t>robotics stock</m:t>
        </m:r>
        <m:r>
          <m:rPr>
            <m:sty m:val="p"/>
          </m:rPr>
          <m:t>)</m:t>
        </m:r>
      </m:oMath>
      <w:r>
        <w:t xml:space="preserve">; the log-of-one-plus transform accommodates the many firm-years</w:t>
      </w:r>
      <w:r>
        <w:t xml:space="preserve"> </w:t>
      </w:r>
      <w:r>
        <w:t xml:space="preserve">with a zero stock and gives the coefficients an elasticity interpretation at positive stocks.</w:t>
      </w:r>
      <w:r>
        <w:t xml:space="preserve"> </w:t>
      </w:r>
      <w:r>
        <w:t xml:space="preserve">Outcomes are</w:t>
      </w:r>
      <w:r>
        <w:t xml:space="preserve"> </w:t>
      </w:r>
      <m:oMath>
        <m:r>
          <m:rPr>
            <m:sty m:val="p"/>
          </m:rPr>
          <m:t>ln</m:t>
        </m:r>
        <m:r>
          <m:rPr>
            <m:sty m:val="p"/>
          </m:rPr>
          <m:t>(</m:t>
        </m:r>
        <m:r>
          <m:rPr>
            <m:nor/>
            <m:sty m:val="p"/>
          </m:rPr>
          <m:t>employment</m:t>
        </m:r>
        <m:r>
          <m:rPr>
            <m:sty m:val="p"/>
          </m:rPr>
          <m:t>)</m:t>
        </m:r>
      </m:oMath>
      <w:r>
        <w:t xml:space="preserve">,</w:t>
      </w:r>
      <w:r>
        <w:t xml:space="preserve"> </w:t>
      </w:r>
      <m:oMath>
        <m:r>
          <m:rPr>
            <m:sty m:val="p"/>
          </m:rPr>
          <m:t>ln</m:t>
        </m:r>
        <m:r>
          <m:rPr>
            <m:sty m:val="p"/>
          </m:rPr>
          <m:t>(</m:t>
        </m:r>
        <m:r>
          <m:rPr>
            <m:nor/>
            <m:sty m:val="p"/>
          </m:rPr>
          <m:t>sales per employee</m:t>
        </m:r>
        <m:r>
          <m:rPr>
            <m:sty m:val="p"/>
          </m:rPr>
          <m:t>)</m:t>
        </m:r>
      </m:oMath>
      <w:r>
        <w:t xml:space="preserve"> </w:t>
      </w:r>
      <w:r>
        <w:t xml:space="preserve">(labor productivity),</w:t>
      </w:r>
      <w:r>
        <w:t xml:space="preserve"> </w:t>
      </w:r>
      <w:r>
        <w:t xml:space="preserve">ROA (net income over assets), and Tobin’s Q (market value of assets over book assets). The single</w:t>
      </w:r>
      <w:r>
        <w:t xml:space="preserve"> </w:t>
      </w:r>
      <w:r>
        <w:t xml:space="preserve">time-varying control is firm size,</w:t>
      </w:r>
      <w:r>
        <w:t xml:space="preserve"> </w:t>
      </w:r>
      <m:oMath>
        <m:r>
          <m:rPr>
            <m:sty m:val="p"/>
          </m:rPr>
          <m:t>ln</m:t>
        </m:r>
        <m:r>
          <m:rPr>
            <m:sty m:val="p"/>
          </m:rPr>
          <m:t>(</m:t>
        </m:r>
        <m:r>
          <m:rPr>
            <m:nor/>
            <m:sty m:val="p"/>
          </m:rPr>
          <m:t>assets</m:t>
        </m:r>
        <m:r>
          <m:rPr>
            <m:sty m:val="p"/>
          </m:rPr>
          <m:t>)</m:t>
        </m:r>
      </m:oMath>
      <w:r>
        <w:t xml:space="preserve">; robustness specifications add ROA and</w:t>
      </w:r>
      <w:r>
        <w:t xml:space="preserve"> </w:t>
      </w:r>
      <w:r>
        <w:t xml:space="preserve">book leverage. Table </w:t>
      </w:r>
      <w:hyperlink w:anchor="tab:sum">
        <w:r>
          <w:rPr>
            <w:rStyle w:val="Hyperlink"/>
          </w:rPr>
          <w:t xml:space="preserve">1</w:t>
        </w:r>
      </w:hyperlink>
      <w:r>
        <w:t xml:space="preserve"> </w:t>
      </w:r>
      <w:r>
        <w:t xml:space="preserve">reports summary statistics. Consistent with a panel of</w:t>
      </w:r>
      <w:r>
        <w:t xml:space="preserve"> </w:t>
      </w:r>
      <w:r>
        <w:t xml:space="preserve">innovators, the median firm has a positive AI stock by the end of the sample, while robotics</w:t>
      </w:r>
      <w:r>
        <w:t xml:space="preserve"> </w:t>
      </w:r>
      <w:r>
        <w:t xml:space="preserve">stocks are far thinner (only about</w:t>
      </w:r>
      <w:r>
        <w:t xml:space="preserve"> </w:t>
      </w:r>
      <m:oMath>
        <m:r>
          <m:t>4</m:t>
        </m:r>
        <m:r>
          <m:rPr>
            <m:sty m:val="p"/>
          </m:rPr>
          <m:t>%</m:t>
        </m:r>
      </m:oMath>
      <w:r>
        <w:t xml:space="preserve"> </w:t>
      </w:r>
      <w:r>
        <w:t xml:space="preserve">of firm-years carry any B25J patent), which is why the</w:t>
      </w:r>
      <w:r>
        <w:t xml:space="preserve"> </w:t>
      </w:r>
      <w:r>
        <w:t xml:space="preserve">robotics results are estimated less precisely and why we report their power explicitly.</w:t>
      </w:r>
    </w:p>
    <w:bookmarkEnd w:id="18"/>
    <w:bookmarkStart w:id="19" w:name="design-1-two-way-fixed-effects-panels."/>
    <w:p>
      <w:pPr>
        <w:pStyle w:val="Heading4"/>
      </w:pPr>
      <w:r>
        <w:t xml:space="preserve">Design 1: two-way fixed-effects panels.</w:t>
      </w:r>
    </w:p>
    <w:p>
      <w:pPr>
        <w:pStyle w:val="FirstParagraph"/>
      </w:pPr>
      <w:r>
        <w:t xml:space="preserve">For outcome</w:t>
      </w:r>
      <w:r>
        <w:t xml:space="preserve"> </w:t>
      </w:r>
      <m:oMath>
        <m:sSub>
          <m:e>
            <m:r>
              <m:t>y</m:t>
            </m:r>
          </m:e>
          <m:sub>
            <m:r>
              <m:t>i</m:t>
            </m:r>
            <m:r>
              <m:t>t</m:t>
            </m:r>
          </m:sub>
        </m:sSub>
      </m:oMath>
      <w:r>
        <w:t xml:space="preserve"> </w:t>
      </w:r>
      <w:r>
        <w:t xml:space="preserve">we estimate</w:t>
      </w:r>
    </w:p>
    <w:p>
      <w:pPr>
        <w:pStyle w:val="BodyText"/>
      </w:pPr>
      <m:oMathPara>
        <m:oMathParaPr>
          <m:jc m:val="center"/>
        </m:oMathParaPr>
        <m:oMath>
          <m:sSub>
            <m:e>
              <m:r>
                <m:t>y</m:t>
              </m:r>
            </m:e>
            <m:sub>
              <m:r>
                <m:t>i</m:t>
              </m:r>
              <m:r>
                <m:t>t</m:t>
              </m:r>
            </m:sub>
          </m:sSub>
          <m:r>
            <m:rPr>
              <m:sty m:val="p"/>
            </m:rPr>
            <m:t>=</m:t>
          </m:r>
          <m:sSub>
            <m:e>
              <m:r>
                <m:t>β</m:t>
              </m:r>
            </m:e>
            <m:sub>
              <m:r>
                <m:t>1</m:t>
              </m:r>
            </m:sub>
          </m:sSub>
          <m:r>
            <m:rPr>
              <m:sty m:val="p"/>
            </m:rPr>
            <m:t>ln</m:t>
          </m:r>
          <m:r>
            <m:rPr>
              <m:sty m:val="p"/>
            </m:rPr>
            <m:t>(</m:t>
          </m:r>
          <m:r>
            <m:t>1</m:t>
          </m:r>
          <m:r>
            <m:rPr>
              <m:sty m:val="p"/>
            </m:rPr>
            <m:t>+</m:t>
          </m:r>
          <m:sSub>
            <m:e>
              <m:r>
                <m:rPr>
                  <m:nor/>
                  <m:sty m:val="p"/>
                </m:rPr>
                <m:t>AI</m:t>
              </m:r>
            </m:e>
            <m:sub>
              <m:r>
                <m:t>i</m:t>
              </m:r>
              <m:r>
                <m:t>t</m:t>
              </m:r>
            </m:sub>
          </m:sSub>
          <m:r>
            <m:rPr>
              <m:sty m:val="p"/>
            </m:rPr>
            <m:t>)</m:t>
          </m:r>
          <m:r>
            <m:rPr>
              <m:sty m:val="p"/>
            </m:rPr>
            <m:t>+</m:t>
          </m:r>
          <m:sSub>
            <m:e>
              <m:r>
                <m:t>β</m:t>
              </m:r>
            </m:e>
            <m:sub>
              <m:r>
                <m:t>2</m:t>
              </m:r>
            </m:sub>
          </m:sSub>
          <m:r>
            <m:rPr>
              <m:sty m:val="p"/>
            </m:rPr>
            <m:t>ln</m:t>
          </m:r>
          <m:r>
            <m:rPr>
              <m:sty m:val="p"/>
            </m:rPr>
            <m:t>(</m:t>
          </m:r>
          <m:r>
            <m:t>1</m:t>
          </m:r>
          <m:r>
            <m:rPr>
              <m:sty m:val="p"/>
            </m:rPr>
            <m:t>+</m:t>
          </m:r>
          <m:sSub>
            <m:e>
              <m:r>
                <m:rPr>
                  <m:nor/>
                  <m:sty m:val="p"/>
                </m:rPr>
                <m:t>Rob</m:t>
              </m:r>
            </m:e>
            <m:sub>
              <m:r>
                <m:t>i</m:t>
              </m:r>
              <m:r>
                <m:t>t</m:t>
              </m:r>
            </m:sub>
          </m:sSub>
          <m:r>
            <m:rPr>
              <m:sty m:val="p"/>
            </m:rPr>
            <m:t>)</m:t>
          </m:r>
          <m:r>
            <m:rPr>
              <m:sty m:val="p"/>
            </m:rPr>
            <m:t>+</m:t>
          </m:r>
          <m:r>
            <m:t>γ</m:t>
          </m:r>
          <m:r>
            <m:t> </m:t>
          </m:r>
          <m:r>
            <m:rPr>
              <m:sty m:val="p"/>
            </m:rPr>
            <m:t>ln</m:t>
          </m:r>
          <m:r>
            <m:rPr>
              <m:sty m:val="p"/>
            </m:rPr>
            <m:t>(</m:t>
          </m:r>
          <m:r>
            <m:rPr>
              <m:nor/>
              <m:sty m:val="p"/>
            </m:rPr>
            <m:t>assets</m:t>
          </m:r>
          <m:sSub>
            <m:e>
              <m:r>
                <m:rPr>
                  <m:sty m:val="p"/>
                </m:rPr>
                <m:t>)</m:t>
              </m:r>
            </m:e>
            <m:sub>
              <m:r>
                <m:t>i</m:t>
              </m:r>
              <m:r>
                <m:t>t</m:t>
              </m:r>
            </m:sub>
          </m:sSub>
          <m:r>
            <m:rPr>
              <m:sty m:val="p"/>
            </m:rPr>
            <m:t>+</m:t>
          </m:r>
          <m:sSub>
            <m:e>
              <m:r>
                <m:t>α</m:t>
              </m:r>
            </m:e>
            <m:sub>
              <m:r>
                <m:t>i</m:t>
              </m:r>
            </m:sub>
          </m:sSub>
          <m:r>
            <m:rPr>
              <m:sty m:val="p"/>
            </m:rPr>
            <m:t>+</m:t>
          </m:r>
          <m:sSub>
            <m:e>
              <m:r>
                <m:t>δ</m:t>
              </m:r>
            </m:e>
            <m:sub>
              <m:r>
                <m:t>t</m:t>
              </m:r>
            </m:sub>
          </m:sSub>
          <m:r>
            <m:rPr>
              <m:sty m:val="p"/>
            </m:rPr>
            <m:t>+</m:t>
          </m:r>
          <m:sSub>
            <m:e>
              <m:r>
                <m:t>ε</m:t>
              </m:r>
            </m:e>
            <m:sub>
              <m:r>
                <m:t>i</m:t>
              </m:r>
              <m:r>
                <m:t>t</m:t>
              </m:r>
            </m:sub>
          </m:sSub>
          <m:r>
            <m:rPr>
              <m:sty m:val="p"/>
            </m:rPr>
            <m:t>,</m:t>
          </m:r>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δ</m:t>
            </m:r>
          </m:e>
          <m:sub>
            <m:r>
              <m:t>t</m:t>
            </m:r>
          </m:sub>
        </m:sSub>
      </m:oMath>
      <w:r>
        <w:t xml:space="preserve"> </w:t>
      </w:r>
      <w:r>
        <w:t xml:space="preserve">are firm and year fixed effects and standard errors are clustered</w:t>
      </w:r>
      <w:r>
        <w:t xml:space="preserve"> </w:t>
      </w:r>
      <w:r>
        <w:t xml:space="preserve">by firm. Firm fixed effects absorb every time-invariant difference across firms (industry,</w:t>
      </w:r>
      <w:r>
        <w:t xml:space="preserve"> </w:t>
      </w:r>
      <w:r>
        <w:t xml:space="preserve">founding cohort, business model), so</w:t>
      </w:r>
      <w:r>
        <w:t xml:space="preserve"> </w:t>
      </w:r>
      <m:oMath>
        <m:sSub>
          <m:e>
            <m:r>
              <m:t>β</m:t>
            </m:r>
          </m:e>
          <m:sub>
            <m:r>
              <m:t>1</m:t>
            </m:r>
          </m:sub>
        </m:sSub>
      </m:oMath>
      <w:r>
        <w:t xml:space="preserve"> </w:t>
      </w:r>
      <w:r>
        <w:t xml:space="preserve">and</w:t>
      </w:r>
      <w:r>
        <w:t xml:space="preserve"> </w:t>
      </w:r>
      <m:oMath>
        <m:sSub>
          <m:e>
            <m:r>
              <m:t>β</m:t>
            </m:r>
          </m:e>
          <m:sub>
            <m:r>
              <m:t>2</m:t>
            </m:r>
          </m:sub>
        </m:sSub>
      </m:oMath>
      <w:r>
        <w:t xml:space="preserve"> </w:t>
      </w:r>
      <w:r>
        <w:t xml:space="preserve">are identified from</w:t>
      </w:r>
      <w:r>
        <w:t xml:space="preserve"> </w:t>
      </w:r>
      <w:r>
        <w:rPr>
          <w:i/>
          <w:iCs/>
        </w:rPr>
        <w:t xml:space="preserve">within-firm</w:t>
      </w:r>
      <w:r>
        <w:t xml:space="preserve"> </w:t>
      </w:r>
      <w:r>
        <w:t xml:space="preserve">growth in each patent stock; year fixed effects absorb common macro shocks</w:t>
      </w:r>
      <w:r>
        <w:t xml:space="preserve"> </w:t>
      </w:r>
      <w:r>
        <w:t xml:space="preserve">(business cycles, the aggregate AI wave). These are conditional within-firm correlations, not</w:t>
      </w:r>
      <w:r>
        <w:t xml:space="preserve"> </w:t>
      </w:r>
      <w:r>
        <w:t xml:space="preserve">experiments: firms</w:t>
      </w:r>
      <w:r>
        <w:t xml:space="preserve"> </w:t>
      </w:r>
      <w:r>
        <w:rPr>
          <w:i/>
          <w:iCs/>
        </w:rPr>
        <w:t xml:space="preserve">choose</w:t>
      </w:r>
      <w:r>
        <w:t xml:space="preserve"> </w:t>
      </w:r>
      <w:r>
        <w:t xml:space="preserve">to patent. We do not claim exogenous variation. What we claim is</w:t>
      </w:r>
      <w:r>
        <w:t xml:space="preserve"> </w:t>
      </w:r>
      <w:r>
        <w:t xml:space="preserve">that, holding the firm and the year fixed, the two technologies move with different outcomes, and</w:t>
      </w:r>
      <w:r>
        <w:t xml:space="preserve"> </w:t>
      </w:r>
      <w:r>
        <w:t xml:space="preserve">that this pattern is robust to demanding alternative specifications and to design-based inference.</w:t>
      </w:r>
    </w:p>
    <w:bookmarkEnd w:id="19"/>
    <w:bookmarkStart w:id="20" w:name="design-2-first-ai-patent-event-study."/>
    <w:p>
      <w:pPr>
        <w:pStyle w:val="Heading4"/>
      </w:pPr>
      <w:r>
        <w:t xml:space="preserve">Design 2: first-AI-patent event study.</w:t>
      </w:r>
    </w:p>
    <w:p>
      <w:pPr>
        <w:pStyle w:val="FirstParagraph"/>
      </w:pPr>
      <w:r>
        <w:t xml:space="preserve">To trace dynamics and check pre-trends, we</w:t>
      </w:r>
      <w:r>
        <w:t xml:space="preserve"> </w:t>
      </w:r>
      <w:r>
        <w:t xml:space="preserve">estimate an event study around a firm’s first AI patent for adopters whose first AI year falls in</w:t>
      </w:r>
      <w:r>
        <w:t xml:space="preserve"> </w:t>
      </w:r>
      <w:r>
        <w:t xml:space="preserve">2000–2020 (so that a</w:t>
      </w:r>
      <w:r>
        <w:t xml:space="preserve"> </w:t>
      </w:r>
      <m:oMath>
        <m:r>
          <m:rPr>
            <m:sty m:val="p"/>
          </m:rPr>
          <m:t>[</m:t>
        </m:r>
        <m:r>
          <m:rPr>
            <m:sty m:val="p"/>
          </m:rPr>
          <m:t>−</m:t>
        </m:r>
        <m:r>
          <m:t>5</m:t>
        </m:r>
        <m:r>
          <m:rPr>
            <m:sty m:val="p"/>
          </m:rPr>
          <m:t>,</m:t>
        </m:r>
        <m:r>
          <m:rPr>
            <m:sty m:val="p"/>
          </m:rPr>
          <m:t>+</m:t>
        </m:r>
        <m:r>
          <m:t>5</m:t>
        </m:r>
        <m:r>
          <m:rPr>
            <m:sty m:val="p"/>
          </m:rPr>
          <m:t>]</m:t>
        </m:r>
      </m:oMath>
      <w:r>
        <w:t xml:space="preserve"> </w:t>
      </w:r>
      <w:r>
        <w:t xml:space="preserve">window is observable). With relative-time indicators (base</w:t>
      </w:r>
      <w:r>
        <w:t xml:space="preserve"> </w:t>
      </w:r>
      <m:oMath>
        <m:r>
          <m:t>k</m:t>
        </m:r>
        <m:r>
          <m:rPr>
            <m:sty m:val="p"/>
          </m:rPr>
          <m:t>=</m:t>
        </m:r>
        <m:r>
          <m:rPr>
            <m:sty m:val="p"/>
          </m:rPr>
          <m:t>−</m:t>
        </m:r>
        <m:r>
          <m:t>1</m:t>
        </m:r>
      </m:oMath>
      <w:r>
        <w:t xml:space="preserve">) and firm and year fixed effects, the coefficients trace the path of employment and</w:t>
      </w:r>
      <w:r>
        <w:t xml:space="preserve"> </w:t>
      </w:r>
      <w:r>
        <w:t xml:space="preserve">productivity around the adoption of AI capability. Flat pre-trends and a post-adoption rise are</w:t>
      </w:r>
      <w:r>
        <w:t xml:space="preserve"> </w:t>
      </w:r>
      <w:r>
        <w:t xml:space="preserve">the signature of a complementary technology; a pre-adoption decline would signal reverse</w:t>
      </w:r>
      <w:r>
        <w:t xml:space="preserve"> </w:t>
      </w:r>
      <w:r>
        <w:t xml:space="preserve">causation (shrinking firms turning to AI).</w:t>
      </w:r>
    </w:p>
    <w:bookmarkEnd w:id="20"/>
    <w:bookmarkStart w:id="21" w:name="design-based-checks."/>
    <w:p>
      <w:pPr>
        <w:pStyle w:val="Heading4"/>
      </w:pPr>
      <w:r>
        <w:t xml:space="preserve">Design-based checks.</w:t>
      </w:r>
    </w:p>
    <w:p>
      <w:pPr>
        <w:pStyle w:val="FirstParagraph"/>
      </w:pPr>
      <w:r>
        <w:t xml:space="preserve">Beyond equation </w:t>
      </w:r>
      <w:hyperlink w:anchor="eq:fe">
        <w:r>
          <w:rPr>
            <w:rStyle w:val="Hyperlink"/>
          </w:rPr>
          <w:t xml:space="preserve">[eq:fe]</w:t>
        </w:r>
      </w:hyperlink>
      <w:r>
        <w:t xml:space="preserve"> </w:t>
      </w:r>
      <w:r>
        <w:t xml:space="preserve">we run three checks that do not</w:t>
      </w:r>
      <w:r>
        <w:t xml:space="preserve"> </w:t>
      </w:r>
      <w:r>
        <w:t xml:space="preserve">rely on the parametric null: (i) alternative fixed-effect structures, most importantly</w:t>
      </w:r>
      <w:r>
        <w:t xml:space="preserve"> </w:t>
      </w:r>
      <w:r>
        <w:t xml:space="preserve">industry</w:t>
      </w:r>
      <m:oMath>
        <m:r>
          <m:rPr>
            <m:sty m:val="p"/>
          </m:rPr>
          <m:t>×</m:t>
        </m:r>
      </m:oMath>
      <w:r>
        <w:t xml:space="preserve">year fixed effects that absorb any industry-specific time shock</w:t>
      </w:r>
      <w:r>
        <w:t xml:space="preserve"> </w:t>
      </w:r>
      <w:r>
        <w:t xml:space="preserve">(Section </w:t>
      </w:r>
      <w:hyperlink w:anchor="sec:robust">
        <w:r>
          <w:rPr>
            <w:rStyle w:val="Hyperlink"/>
          </w:rPr>
          <w:t xml:space="preserve">7</w:t>
        </w:r>
      </w:hyperlink>
      <w:r>
        <w:t xml:space="preserve">); (ii) randomization inference that permutes each firm’s entire AI</w:t>
      </w:r>
      <w:r>
        <w:t xml:space="preserve"> </w:t>
      </w:r>
      <w:r>
        <w:t xml:space="preserve">trajectory across firms (matched by calendar year) 500 times and compares the actual elasticity to</w:t>
      </w:r>
      <w:r>
        <w:t xml:space="preserve"> </w:t>
      </w:r>
      <w:r>
        <w:t xml:space="preserve">the permutation distribution; and (iii) a minimum-detectable-effect calculation that reports what</w:t>
      </w:r>
      <w:r>
        <w:t xml:space="preserve"> </w:t>
      </w:r>
      <w:r>
        <w:t xml:space="preserve">size of effect each coefficient’s standard error could have detected at 80% power.</w:t>
      </w:r>
    </w:p>
    <w:bookmarkEnd w:id="21"/>
    <w:bookmarkEnd w:id="22"/>
    <w:bookmarkStart w:id="25" w:name="sec:res"/>
    <w:p>
      <w:pPr>
        <w:pStyle w:val="Heading1"/>
      </w:pPr>
      <w:r>
        <w:t xml:space="preserve">Main Results</w:t>
      </w:r>
    </w:p>
    <w:bookmarkStart w:id="23" w:name="the-cognitivephysical-contrast."/>
    <w:p>
      <w:pPr>
        <w:pStyle w:val="Heading4"/>
      </w:pPr>
      <w:r>
        <w:t xml:space="preserve">The cognitive/physical contrast.</w:t>
      </w:r>
    </w:p>
    <w:p>
      <w:pPr>
        <w:pStyle w:val="FirstParagraph"/>
      </w:pPr>
      <w:r>
        <w:t xml:space="preserve">Table </w:t>
      </w:r>
      <w:hyperlink w:anchor="tab:fe">
        <w:r>
          <w:rPr>
            <w:rStyle w:val="Hyperlink"/>
          </w:rPr>
          <w:t xml:space="preserve">2</w:t>
        </w:r>
      </w:hyperlink>
      <w:r>
        <w:t xml:space="preserve"> </w:t>
      </w:r>
      <w:r>
        <w:t xml:space="preserve">reports equation </w:t>
      </w:r>
      <w:hyperlink w:anchor="eq:fe">
        <w:r>
          <w:rPr>
            <w:rStyle w:val="Hyperlink"/>
          </w:rPr>
          <w:t xml:space="preserve">[eq:fe]</w:t>
        </w:r>
      </w:hyperlink>
      <w:r>
        <w:t xml:space="preserve"> </w:t>
      </w:r>
      <w:r>
        <w:t xml:space="preserve">for the four outcomes. The pattern is sharp. AI-patent stock is strongly associated with higher</w:t>
      </w:r>
      <w:r>
        <w:t xml:space="preserve"> </w:t>
      </w:r>
      <w:r>
        <w:t xml:space="preserve">employment (</w:t>
      </w:r>
      <m:oMath>
        <m:sSub>
          <m:e>
            <m:r>
              <m:t>β</m:t>
            </m:r>
          </m:e>
          <m:sub>
            <m:r>
              <m:t>1</m:t>
            </m:r>
          </m:sub>
        </m:sSub>
        <m:r>
          <m:rPr>
            <m:sty m:val="p"/>
          </m:rPr>
          <m:t>=</m:t>
        </m:r>
        <m:r>
          <m:t>0.055</m:t>
        </m:r>
      </m:oMath>
      <w:r>
        <w:t xml:space="preserve">,</w:t>
      </w:r>
      <w:r>
        <w:t xml:space="preserve"> </w:t>
      </w:r>
      <m:oMath>
        <m:r>
          <m:t>t</m:t>
        </m:r>
        <m:r>
          <m:rPr>
            <m:sty m:val="p"/>
          </m:rPr>
          <m:t>=</m:t>
        </m:r>
        <m:r>
          <m:t>7.5</m:t>
        </m:r>
      </m:oMath>
      <w:r>
        <w:t xml:space="preserve">) but with</w:t>
      </w:r>
      <w:r>
        <w:t xml:space="preserve"> </w:t>
      </w:r>
      <w:r>
        <w:rPr>
          <w:i/>
          <w:iCs/>
        </w:rPr>
        <w:t xml:space="preserve">lower</w:t>
      </w:r>
      <w:r>
        <w:t xml:space="preserve"> </w:t>
      </w:r>
      <w:r>
        <w:t xml:space="preserve">Tobin’s Q (</w:t>
      </w:r>
      <m:oMath>
        <m:r>
          <m:rPr>
            <m:sty m:val="p"/>
          </m:rPr>
          <m:t>−</m:t>
        </m:r>
        <m:r>
          <m:t>0.275</m:t>
        </m:r>
      </m:oMath>
      <w:r>
        <w:t xml:space="preserve">,</w:t>
      </w:r>
      <w:r>
        <w:t xml:space="preserve"> </w:t>
      </w:r>
      <m:oMath>
        <m:r>
          <m:t>t</m:t>
        </m:r>
        <m:r>
          <m:rPr>
            <m:sty m:val="p"/>
          </m:rPr>
          <m:t>=</m:t>
        </m:r>
        <m:r>
          <m:rPr>
            <m:sty m:val="p"/>
          </m:rPr>
          <m:t>−</m:t>
        </m:r>
        <m:r>
          <m:t>6.3</m:t>
        </m:r>
      </m:oMath>
      <w:r>
        <w:t xml:space="preserve">).</w:t>
      </w:r>
      <w:r>
        <w:t xml:space="preserve"> </w:t>
      </w:r>
      <w:r>
        <w:t xml:space="preserve">Robotics-patent stock is the mirror image: no employment association (</w:t>
      </w:r>
      <m:oMath>
        <m:r>
          <m:rPr>
            <m:sty m:val="p"/>
          </m:rPr>
          <m:t>−</m:t>
        </m:r>
        <m:r>
          <m:t>0.014</m:t>
        </m:r>
      </m:oMath>
      <w:r>
        <w:t xml:space="preserve">,</w:t>
      </w:r>
      <w:r>
        <w:t xml:space="preserve"> </w:t>
      </w:r>
      <m:oMath>
        <m:r>
          <m:t>t</m:t>
        </m:r>
        <m:r>
          <m:rPr>
            <m:sty m:val="p"/>
          </m:rPr>
          <m:t>=</m:t>
        </m:r>
        <m:r>
          <m:rPr>
            <m:sty m:val="p"/>
          </m:rPr>
          <m:t>−</m:t>
        </m:r>
        <m:r>
          <m:t>0.7</m:t>
        </m:r>
      </m:oMath>
      <w:r>
        <w:t xml:space="preserve">) but a</w:t>
      </w:r>
      <w:r>
        <w:t xml:space="preserve"> </w:t>
      </w:r>
      <w:r>
        <w:t xml:space="preserve">large positive value association (</w:t>
      </w:r>
      <m:oMath>
        <m:r>
          <m:t>0.398</m:t>
        </m:r>
      </m:oMath>
      <w:r>
        <w:t xml:space="preserve">,</w:t>
      </w:r>
      <w:r>
        <w:t xml:space="preserve"> </w:t>
      </w:r>
      <m:oMath>
        <m:r>
          <m:t>t</m:t>
        </m:r>
        <m:r>
          <m:rPr>
            <m:sty m:val="p"/>
          </m:rPr>
          <m:t>=</m:t>
        </m:r>
        <m:r>
          <m:t>5.0</m:t>
        </m:r>
      </m:oMath>
      <w:r>
        <w:t xml:space="preserve">). Both technologies load slightly negatively on</w:t>
      </w:r>
      <w:r>
        <w:t xml:space="preserve"> </w:t>
      </w:r>
      <w:r>
        <w:t xml:space="preserve">measured labor productivity (sales per employee: AI</w:t>
      </w:r>
      <w:r>
        <w:t xml:space="preserve"> </w:t>
      </w:r>
      <m:oMath>
        <m:r>
          <m:rPr>
            <m:sty m:val="p"/>
          </m:rPr>
          <m:t>−</m:t>
        </m:r>
        <m:r>
          <m:t>0.028</m:t>
        </m:r>
      </m:oMath>
      <w:r>
        <w:t xml:space="preserve">,</w:t>
      </w:r>
      <w:r>
        <w:t xml:space="preserve"> </w:t>
      </w:r>
      <m:oMath>
        <m:r>
          <m:t>t</m:t>
        </m:r>
        <m:r>
          <m:rPr>
            <m:sty m:val="p"/>
          </m:rPr>
          <m:t>=</m:t>
        </m:r>
        <m:r>
          <m:rPr>
            <m:sty m:val="p"/>
          </m:rPr>
          <m:t>−</m:t>
        </m:r>
        <m:r>
          <m:t>4.0</m:t>
        </m:r>
      </m:oMath>
      <w:r>
        <w:t xml:space="preserve">; robotics</w:t>
      </w:r>
      <w:r>
        <w:t xml:space="preserve"> </w:t>
      </w:r>
      <m:oMath>
        <m:r>
          <m:rPr>
            <m:sty m:val="p"/>
          </m:rPr>
          <m:t>−</m:t>
        </m:r>
        <m:r>
          <m:t>0.037</m:t>
        </m:r>
      </m:oMath>
      <w:r>
        <w:t xml:space="preserve">,</w:t>
      </w:r>
      <w:r>
        <w:t xml:space="preserve"> </w:t>
      </w:r>
      <m:oMath>
        <m:r>
          <m:t>t</m:t>
        </m:r>
        <m:r>
          <m:rPr>
            <m:sty m:val="p"/>
          </m:rPr>
          <m:t>=</m:t>
        </m:r>
        <m:r>
          <m:rPr>
            <m:sty m:val="p"/>
          </m:rPr>
          <m:t>−</m:t>
        </m:r>
        <m:r>
          <m:t>2.4</m:t>
        </m:r>
      </m:oMath>
      <w:r>
        <w:t xml:space="preserve">), consistent with innovating firms expanding headcount faster than contemporaneous</w:t>
      </w:r>
      <w:r>
        <w:t xml:space="preserve"> </w:t>
      </w:r>
      <w:r>
        <w:t xml:space="preserve">measured output—a growth phase, not an efficiency contraction. This is the paper’s core fact:</w:t>
      </w:r>
      <w:r>
        <w:t xml:space="preserve"> </w:t>
      </w:r>
      <w:r>
        <w:t xml:space="preserve">within the same firm and year, cognitive and physical automation map to</w:t>
      </w:r>
      <w:r>
        <w:t xml:space="preserve"> </w:t>
      </w:r>
      <w:r>
        <w:rPr>
          <w:i/>
          <w:iCs/>
        </w:rPr>
        <w:t xml:space="preserve">different</w:t>
      </w:r>
      <w:r>
        <w:t xml:space="preserve"> </w:t>
      </w:r>
      <w:r>
        <w:t xml:space="preserve">margins,</w:t>
      </w:r>
      <w:r>
        <w:t xml:space="preserve"> </w:t>
      </w:r>
      <w:r>
        <w:t xml:space="preserve">jobs versus value, supporting H1–H3.</w:t>
      </w:r>
    </w:p>
    <w:bookmarkEnd w:id="23"/>
    <w:bookmarkStart w:id="24" w:name="X5783411096cc7a356f55fd53bc219e8016098b2"/>
    <w:p>
      <w:pPr>
        <w:pStyle w:val="Heading4"/>
      </w:pPr>
      <w:r>
        <w:t xml:space="preserve">Dynamics: the AI–employment link is pre-trend clean.</w:t>
      </w:r>
    </w:p>
    <w:p>
      <w:pPr>
        <w:pStyle w:val="FirstParagraph"/>
      </w:pPr>
      <w:r>
        <w:t xml:space="preserve">Table </w:t>
      </w:r>
      <w:hyperlink w:anchor="tab:eventstudy">
        <w:r>
          <w:rPr>
            <w:rStyle w:val="Hyperlink"/>
          </w:rPr>
          <w:t xml:space="preserve">3</w:t>
        </w:r>
      </w:hyperlink>
      <w:r>
        <w:t xml:space="preserve"> </w:t>
      </w:r>
      <w:r>
        <w:t xml:space="preserve">and</w:t>
      </w:r>
      <w:r>
        <w:t xml:space="preserve"> </w:t>
      </w:r>
      <w:r>
        <w:t xml:space="preserve">Figure </w:t>
      </w:r>
      <w:hyperlink w:anchor="fig:es">
        <w:r>
          <w:rPr>
            <w:rStyle w:val="Hyperlink"/>
          </w:rPr>
          <w:t xml:space="preserve">1</w:t>
        </w:r>
      </w:hyperlink>
      <w:r>
        <w:t xml:space="preserve"> </w:t>
      </w:r>
      <w:r>
        <w:t xml:space="preserve">report the first-AI-patent event study. Before a firm’s first AI patent,</w:t>
      </w:r>
      <w:r>
        <w:t xml:space="preserve"> </w:t>
      </w:r>
      <w:r>
        <w:t xml:space="preserve">employment and sales-per-employee are flat relative to the</w:t>
      </w:r>
      <w:r>
        <w:t xml:space="preserve"> </w:t>
      </w:r>
      <m:oMath>
        <m:r>
          <m:t>k</m:t>
        </m:r>
        <m:r>
          <m:rPr>
            <m:sty m:val="p"/>
          </m:rPr>
          <m:t>=</m:t>
        </m:r>
        <m:r>
          <m:rPr>
            <m:sty m:val="p"/>
          </m:rPr>
          <m:t>−</m:t>
        </m:r>
        <m:r>
          <m:t>1</m:t>
        </m:r>
      </m:oMath>
      <w:r>
        <w:t xml:space="preserve"> </w:t>
      </w:r>
      <w:r>
        <w:t xml:space="preserve">base—there is no sign that</w:t>
      </w:r>
      <w:r>
        <w:t xml:space="preserve"> </w:t>
      </w:r>
      <w:r>
        <w:t xml:space="preserve">firms about to adopt AI were already on a distinct employment path. After adoption, employment</w:t>
      </w:r>
      <w:r>
        <w:t xml:space="preserve"> </w:t>
      </w:r>
      <w:r>
        <w:t xml:space="preserve">rises steadily to roughly</w:t>
      </w:r>
      <w:r>
        <w:t xml:space="preserve"> </w:t>
      </w:r>
      <m:oMath>
        <m:r>
          <m:rPr>
            <m:sty m:val="p"/>
          </m:rPr>
          <m:t>+</m:t>
        </m:r>
        <m:r>
          <m:t>11</m:t>
        </m:r>
        <m:r>
          <m:rPr>
            <m:sty m:val="p"/>
          </m:rPr>
          <m:t>%</m:t>
        </m:r>
      </m:oMath>
      <w:r>
        <w:t xml:space="preserve"> </w:t>
      </w:r>
      <w:r>
        <w:t xml:space="preserve">by year four and sales-per-employee to roughly</w:t>
      </w:r>
      <w:r>
        <w:t xml:space="preserve"> </w:t>
      </w:r>
      <m:oMath>
        <m:r>
          <m:rPr>
            <m:sty m:val="p"/>
          </m:rPr>
          <m:t>+</m:t>
        </m:r>
        <m:r>
          <m:t>6</m:t>
        </m:r>
        <m:r>
          <m:rPr>
            <m:sty m:val="p"/>
          </m:rPr>
          <m:t>%</m:t>
        </m:r>
      </m:oMath>
      <w:r>
        <w:t xml:space="preserve">. The</w:t>
      </w:r>
      <w:r>
        <w:t xml:space="preserve"> </w:t>
      </w:r>
      <w:r>
        <w:t xml:space="preserve">dynamic pattern—flat before, rising after—is what a complementary technology looks like and is</w:t>
      </w:r>
      <w:r>
        <w:t xml:space="preserve"> </w:t>
      </w:r>
      <w:r>
        <w:t xml:space="preserve">difficult to reconcile with reverse causation, in which shrinking firms would be turning to AI.</w:t>
      </w:r>
    </w:p>
    <w:bookmarkEnd w:id="24"/>
    <w:bookmarkEnd w:id="25"/>
    <w:bookmarkStart w:id="26" w:name="sec:het"/>
    <w:p>
      <w:pPr>
        <w:pStyle w:val="Heading1"/>
      </w:pPr>
      <w:r>
        <w:t xml:space="preserve">Heterogeneity: Which Firms Drive the Contrast?</w:t>
      </w:r>
    </w:p>
    <w:p>
      <w:pPr>
        <w:pStyle w:val="FirstParagraph"/>
      </w:pPr>
      <w:r>
        <w:t xml:space="preserve">If the AI–employment complementarity reflects AI acting as a genuine productive input, it should</w:t>
      </w:r>
      <w:r>
        <w:t xml:space="preserve"> </w:t>
      </w:r>
      <w:r>
        <w:t xml:space="preserve">be strongest where AI is most central to the business; if it were a spurious labeling artifact, it</w:t>
      </w:r>
      <w:r>
        <w:t xml:space="preserve"> </w:t>
      </w:r>
      <w:r>
        <w:t xml:space="preserve">should be diffuse. Table </w:t>
      </w:r>
      <w:hyperlink w:anchor="tab:hetero">
        <w:r>
          <w:rPr>
            <w:rStyle w:val="Hyperlink"/>
          </w:rPr>
          <w:t xml:space="preserve">4</w:t>
        </w:r>
      </w:hyperlink>
      <w:r>
        <w:t xml:space="preserve"> </w:t>
      </w:r>
      <w:r>
        <w:t xml:space="preserve">interacts each headline stock with four observable</w:t>
      </w:r>
      <w:r>
        <w:t xml:space="preserve"> </w:t>
      </w:r>
      <w:r>
        <w:t xml:space="preserve">pre-sample moderators—a manufacturing indicator (SIC 2000–3999), a high-tech-industry</w:t>
      </w:r>
      <w:r>
        <w:t xml:space="preserve"> </w:t>
      </w:r>
      <w:r>
        <w:t xml:space="preserve">indicator, an above-median-size indicator, and an R&amp;D-active indicator—and reports the base</w:t>
      </w:r>
      <w:r>
        <w:t xml:space="preserve"> </w:t>
      </w:r>
      <w:r>
        <w:t xml:space="preserve">coefficient and the interaction for the two headline relationships (AI</w:t>
      </w:r>
      <m:oMath>
        <m:r>
          <m:rPr>
            <m:sty m:val="p"/>
          </m:rPr>
          <m:t>→</m:t>
        </m:r>
      </m:oMath>
      <w:r>
        <w:t xml:space="preserve">employment,</w:t>
      </w:r>
      <w:r>
        <w:t xml:space="preserve"> </w:t>
      </w:r>
      <w:r>
        <w:t xml:space="preserve">robotics</w:t>
      </w:r>
      <m:oMath>
        <m:r>
          <m:rPr>
            <m:sty m:val="p"/>
          </m:rPr>
          <m:t>→</m:t>
        </m:r>
      </m:oMath>
      <w:r>
        <w:t xml:space="preserve">Q). Two patterns stand out. First, the AI–employment elasticity is markedly larger</w:t>
      </w:r>
      <w:r>
        <w:t xml:space="preserve"> </w:t>
      </w:r>
      <w:r>
        <w:t xml:space="preserve">in</w:t>
      </w:r>
      <w:r>
        <w:t xml:space="preserve"> </w:t>
      </w:r>
      <w:r>
        <w:rPr>
          <w:i/>
          <w:iCs/>
        </w:rPr>
        <w:t xml:space="preserve">high-tech</w:t>
      </w:r>
      <w:r>
        <w:t xml:space="preserve"> </w:t>
      </w:r>
      <w:r>
        <w:t xml:space="preserve">firms (interaction</w:t>
      </w:r>
      <w:r>
        <w:t xml:space="preserve"> </w:t>
      </w:r>
      <m:oMath>
        <m:r>
          <m:rPr>
            <m:sty m:val="p"/>
          </m:rPr>
          <m:t>+</m:t>
        </m:r>
        <m:r>
          <m:t>0.042</m:t>
        </m:r>
      </m:oMath>
      <w:r>
        <w:t xml:space="preserve">,</w:t>
      </w:r>
      <w:r>
        <w:t xml:space="preserve"> </w:t>
      </w:r>
      <m:oMath>
        <m:r>
          <m:t>t</m:t>
        </m:r>
        <m:r>
          <m:rPr>
            <m:sty m:val="p"/>
          </m:rPr>
          <m:t>=</m:t>
        </m:r>
        <m:r>
          <m:t>3.8</m:t>
        </m:r>
      </m:oMath>
      <w:r>
        <w:t xml:space="preserve">, roughly tripling the base) and in</w:t>
      </w:r>
      <w:r>
        <w:t xml:space="preserve"> </w:t>
      </w:r>
      <w:r>
        <w:rPr>
          <w:i/>
          <w:iCs/>
        </w:rPr>
        <w:t xml:space="preserve">R&amp;D-active</w:t>
      </w:r>
      <w:r>
        <w:t xml:space="preserve"> </w:t>
      </w:r>
      <w:r>
        <w:t xml:space="preserve">firms (interaction</w:t>
      </w:r>
      <w:r>
        <w:t xml:space="preserve"> </w:t>
      </w:r>
      <m:oMath>
        <m:r>
          <m:rPr>
            <m:sty m:val="p"/>
          </m:rPr>
          <m:t>+</m:t>
        </m:r>
        <m:r>
          <m:t>0.037</m:t>
        </m:r>
      </m:oMath>
      <w:r>
        <w:t xml:space="preserve">,</w:t>
      </w:r>
      <w:r>
        <w:t xml:space="preserve"> </w:t>
      </w:r>
      <m:oMath>
        <m:r>
          <m:t>t</m:t>
        </m:r>
        <m:r>
          <m:rPr>
            <m:sty m:val="p"/>
          </m:rPr>
          <m:t>=</m:t>
        </m:r>
        <m:r>
          <m:t>2.8</m:t>
        </m:r>
      </m:oMath>
      <w:r>
        <w:t xml:space="preserve">)—precisely the settings where an AI</w:t>
      </w:r>
      <w:r>
        <w:t xml:space="preserve"> </w:t>
      </w:r>
      <w:r>
        <w:t xml:space="preserve">patent is most plausibly a real capability rather than a peripheral filing. It does not differ by</w:t>
      </w:r>
      <w:r>
        <w:t xml:space="preserve"> </w:t>
      </w:r>
      <w:r>
        <w:t xml:space="preserve">manufacturing status or by firm size. Second, the robotics–value effect is concentrated among</w:t>
      </w:r>
      <w:r>
        <w:t xml:space="preserve"> </w:t>
      </w:r>
      <w:r>
        <w:rPr>
          <w:i/>
          <w:iCs/>
        </w:rPr>
        <w:t xml:space="preserve">large</w:t>
      </w:r>
      <w:r>
        <w:t xml:space="preserve"> </w:t>
      </w:r>
      <w:r>
        <w:t xml:space="preserve">firms (interaction</w:t>
      </w:r>
      <w:r>
        <w:t xml:space="preserve"> </w:t>
      </w:r>
      <m:oMath>
        <m:r>
          <m:rPr>
            <m:sty m:val="p"/>
          </m:rPr>
          <m:t>+</m:t>
        </m:r>
        <m:r>
          <m:t>0.864</m:t>
        </m:r>
      </m:oMath>
      <w:r>
        <w:t xml:space="preserve">,</w:t>
      </w:r>
      <w:r>
        <w:t xml:space="preserve"> </w:t>
      </w:r>
      <m:oMath>
        <m:r>
          <m:t>t</m:t>
        </m:r>
        <m:r>
          <m:rPr>
            <m:sty m:val="p"/>
          </m:rPr>
          <m:t>=</m:t>
        </m:r>
        <m:r>
          <m:t>4.0</m:t>
        </m:r>
      </m:oMath>
      <w:r>
        <w:t xml:space="preserve">): the market rewards robotics capability most</w:t>
      </w:r>
      <w:r>
        <w:t xml:space="preserve"> </w:t>
      </w:r>
      <w:r>
        <w:t xml:space="preserve">where the firm has the scale to deploy it. Both patterns are consistent with the technologies</w:t>
      </w:r>
      <w:r>
        <w:t xml:space="preserve"> </w:t>
      </w:r>
      <w:r>
        <w:t xml:space="preserve">being productive inputs rather than statistical noise.</w:t>
      </w:r>
    </w:p>
    <w:p>
      <w:pPr>
        <w:pStyle w:val="BodyText"/>
      </w:pPr>
      <w:r>
        <w:t xml:space="preserve">We emphasize that all four moderators are</w:t>
      </w:r>
      <w:r>
        <w:t xml:space="preserve"> </w:t>
      </w:r>
      <w:r>
        <w:rPr>
          <w:i/>
          <w:iCs/>
        </w:rPr>
        <w:t xml:space="preserve">observable</w:t>
      </w:r>
      <w:r>
        <w:t xml:space="preserve"> </w:t>
      </w:r>
      <w:r>
        <w:t xml:space="preserve">firm characteristics—industry, size,</w:t>
      </w:r>
      <w:r>
        <w:t xml:space="preserve"> </w:t>
      </w:r>
      <w:r>
        <w:t xml:space="preserve">and R&amp;D activity—chosen precisely because they are orthogonal to the reserved hand-coding task.</w:t>
      </w:r>
      <w:r>
        <w:t xml:space="preserve"> </w:t>
      </w:r>
      <w:r>
        <w:t xml:space="preserve">We do</w:t>
      </w:r>
      <w:r>
        <w:t xml:space="preserve"> </w:t>
      </w:r>
      <w:r>
        <w:rPr>
          <w:i/>
          <w:iCs/>
        </w:rPr>
        <w:t xml:space="preserve">not</w:t>
      </w:r>
      <w:r>
        <w:t xml:space="preserve"> </w:t>
      </w:r>
      <w:r>
        <w:t xml:space="preserve">split robotics into labor-replacing versus labor-augmenting here, because that</w:t>
      </w:r>
      <w:r>
        <w:t xml:space="preserve"> </w:t>
      </w:r>
      <w:r>
        <w:t xml:space="preserve">distinction is unobservable to the machine classifier and is the student co-author’s</w:t>
      </w:r>
      <w:r>
        <w:t xml:space="preserve"> </w:t>
      </w:r>
      <w:r>
        <w:t xml:space="preserve">contribution; the observable heterogeneity above is what the pipeline can establish on its own and</w:t>
      </w:r>
      <w:r>
        <w:t xml:space="preserve"> </w:t>
      </w:r>
      <w:r>
        <w:t xml:space="preserve">is deliberately kept separate from that reserved test.</w:t>
      </w:r>
    </w:p>
    <w:bookmarkEnd w:id="26"/>
    <w:bookmarkStart w:id="30" w:name="sec:robust"/>
    <w:p>
      <w:pPr>
        <w:pStyle w:val="Heading1"/>
      </w:pPr>
      <w:r>
        <w:t xml:space="preserve">Alternative Identification and Randomization Inference</w:t>
      </w:r>
    </w:p>
    <w:bookmarkStart w:id="27" w:name="alternative-fixed-effects."/>
    <w:p>
      <w:pPr>
        <w:pStyle w:val="Heading4"/>
      </w:pPr>
      <w:r>
        <w:t xml:space="preserve">Alternative fixed effects.</w:t>
      </w:r>
    </w:p>
    <w:p>
      <w:pPr>
        <w:pStyle w:val="FirstParagraph"/>
      </w:pPr>
      <w:r>
        <w:t xml:space="preserve">A natural worry is that both headline coefficients merely</w:t>
      </w:r>
      <w:r>
        <w:t xml:space="preserve"> </w:t>
      </w:r>
      <w:r>
        <w:t xml:space="preserve">reflect industry-level trends—AI-heavy software industries hiring while robotics-heavy capital</w:t>
      </w:r>
      <w:r>
        <w:t xml:space="preserve"> </w:t>
      </w:r>
      <w:r>
        <w:t xml:space="preserve">industries revalue—that firm and year fixed effects do not fully absorb. Table </w:t>
      </w:r>
      <w:hyperlink w:anchor="tab:altfe">
        <w:r>
          <w:rPr>
            <w:rStyle w:val="Hyperlink"/>
          </w:rPr>
          <w:t xml:space="preserve">5</w:t>
        </w:r>
      </w:hyperlink>
      <w:r>
        <w:t xml:space="preserve"> </w:t>
      </w:r>
      <w:r>
        <w:t xml:space="preserve">addresses this by replacing year fixed effects with fully saturated</w:t>
      </w:r>
      <w:r>
        <w:t xml:space="preserve"> </w:t>
      </w:r>
      <w:r>
        <w:rPr>
          <w:i/>
          <w:iCs/>
        </w:rPr>
        <w:t xml:space="preserve">industry</w:t>
      </w:r>
      <m:oMath>
        <m:r>
          <m:rPr>
            <m:sty m:val="p"/>
          </m:rPr>
          <m:t>×</m:t>
        </m:r>
      </m:oMath>
      <w:r>
        <w:rPr>
          <w:i/>
          <w:iCs/>
        </w:rPr>
        <w:t xml:space="preserve">year</w:t>
      </w:r>
      <w:r>
        <w:t xml:space="preserve"> </w:t>
      </w:r>
      <w:r>
        <w:t xml:space="preserve">fixed effects, which absorb any shock common to a two-digit-SIC industry in a given year. Both</w:t>
      </w:r>
      <w:r>
        <w:t xml:space="preserve"> </w:t>
      </w:r>
      <w:r>
        <w:t xml:space="preserve">headlines survive: the AI–employment elasticity falls only from</w:t>
      </w:r>
      <w:r>
        <w:t xml:space="preserve"> </w:t>
      </w:r>
      <m:oMath>
        <m:r>
          <m:t>0.055</m:t>
        </m:r>
      </m:oMath>
      <w:r>
        <w:t xml:space="preserve"> </w:t>
      </w:r>
      <w:r>
        <w:t xml:space="preserve">to</w:t>
      </w:r>
      <w:r>
        <w:t xml:space="preserve"> </w:t>
      </w:r>
      <m:oMath>
        <m:r>
          <m:t>0.036</m:t>
        </m:r>
      </m:oMath>
      <w:r>
        <w:t xml:space="preserve"> </w:t>
      </w:r>
      <w:r>
        <w:t xml:space="preserve">(</w:t>
      </w:r>
      <m:oMath>
        <m:r>
          <m:t>t</m:t>
        </m:r>
        <m:r>
          <m:rPr>
            <m:sty m:val="p"/>
          </m:rPr>
          <m:t>=</m:t>
        </m:r>
        <m:r>
          <m:t>4.8</m:t>
        </m:r>
      </m:oMath>
      <w:r>
        <w:t xml:space="preserve">) and</w:t>
      </w:r>
      <w:r>
        <w:t xml:space="preserve"> </w:t>
      </w:r>
      <w:r>
        <w:t xml:space="preserve">the robotics–value coefficient from</w:t>
      </w:r>
      <w:r>
        <w:t xml:space="preserve"> </w:t>
      </w:r>
      <m:oMath>
        <m:r>
          <m:t>0.398</m:t>
        </m:r>
      </m:oMath>
      <w:r>
        <w:t xml:space="preserve"> </w:t>
      </w:r>
      <w:r>
        <w:t xml:space="preserve">to</w:t>
      </w:r>
      <w:r>
        <w:t xml:space="preserve"> </w:t>
      </w:r>
      <m:oMath>
        <m:r>
          <m:t>0.322</m:t>
        </m:r>
      </m:oMath>
      <w:r>
        <w:t xml:space="preserve"> </w:t>
      </w:r>
      <w:r>
        <w:t xml:space="preserve">(</w:t>
      </w:r>
      <m:oMath>
        <m:r>
          <m:t>t</m:t>
        </m:r>
        <m:r>
          <m:rPr>
            <m:sty m:val="p"/>
          </m:rPr>
          <m:t>=</m:t>
        </m:r>
        <m:r>
          <m:t>4.0</m:t>
        </m:r>
      </m:oMath>
      <w:r>
        <w:t xml:space="preserve">). Adding ROA and leverage</w:t>
      </w:r>
      <w:r>
        <w:t xml:space="preserve"> </w:t>
      </w:r>
      <w:r>
        <w:t xml:space="preserve">controls barely moves either coefficient, and both hold in the modern (post-2005) subsample. The</w:t>
      </w:r>
      <w:r>
        <w:t xml:space="preserve"> </w:t>
      </w:r>
      <w:r>
        <w:t xml:space="preserve">one specification that inflates the AI coefficient—dropping the size control—does so because</w:t>
      </w:r>
      <w:r>
        <w:t xml:space="preserve"> </w:t>
      </w:r>
      <w:r>
        <w:t xml:space="preserve">size and the patent stock are positively correlated; that column is a diagnostic, not a preferred</w:t>
      </w:r>
      <w:r>
        <w:t xml:space="preserve"> </w:t>
      </w:r>
      <w:r>
        <w:t xml:space="preserve">estimate. We deliberately do</w:t>
      </w:r>
      <w:r>
        <w:t xml:space="preserve"> </w:t>
      </w:r>
      <w:r>
        <w:rPr>
          <w:i/>
          <w:iCs/>
        </w:rPr>
        <w:t xml:space="preserve">not</w:t>
      </w:r>
      <w:r>
        <w:t xml:space="preserve"> </w:t>
      </w:r>
      <w:r>
        <w:t xml:space="preserve">include firm-specific linear time trends: a monotonically</w:t>
      </w:r>
      <w:r>
        <w:t xml:space="preserve"> </w:t>
      </w:r>
      <w:r>
        <w:t xml:space="preserve">accumulating patent stock is nearly collinear with a firm trend, so such a specification would</w:t>
      </w:r>
      <w:r>
        <w:t xml:space="preserve"> </w:t>
      </w:r>
      <w:r>
        <w:t xml:space="preserve">absorb the effect mechanically and its attenuation would be an artifact rather than evidence of</w:t>
      </w:r>
      <w:r>
        <w:t xml:space="preserve"> </w:t>
      </w:r>
      <w:r>
        <w:t xml:space="preserve">fragility.</w:t>
      </w:r>
    </w:p>
    <w:bookmarkEnd w:id="27"/>
    <w:bookmarkStart w:id="28" w:name="randomization-inference."/>
    <w:p>
      <w:pPr>
        <w:pStyle w:val="Heading4"/>
      </w:pPr>
      <w:r>
        <w:t xml:space="preserve">Randomization inference.</w:t>
      </w:r>
    </w:p>
    <w:p>
      <w:pPr>
        <w:pStyle w:val="FirstParagraph"/>
      </w:pPr>
      <w:r>
        <w:t xml:space="preserve">Cluster-robust standard errors are asymptotic. To confirm the</w:t>
      </w:r>
      <w:r>
        <w:t xml:space="preserve"> </w:t>
      </w:r>
      <w:r>
        <w:t xml:space="preserve">AI–employment elasticity with a finite-sample, design-based procedure, we run randomization</w:t>
      </w:r>
      <w:r>
        <w:t xml:space="preserve"> </w:t>
      </w:r>
      <w:r>
        <w:t xml:space="preserve">inference under the sharp null that a firm’s AI trajectory has no effect on its own employment.</w:t>
      </w:r>
      <w:r>
        <w:t xml:space="preserve"> </w:t>
      </w:r>
      <w:r>
        <w:t xml:space="preserve">Each of 500 permutations reassigns firm</w:t>
      </w:r>
      <w:r>
        <w:t xml:space="preserve"> </w:t>
      </w:r>
      <m:oMath>
        <m:r>
          <m:t>i</m:t>
        </m:r>
      </m:oMath>
      <w:r>
        <w:t xml:space="preserve"> </w:t>
      </w:r>
      <w:r>
        <w:t xml:space="preserve">the entire AI-patent trajectory of a randomly chosen</w:t>
      </w:r>
      <w:r>
        <w:t xml:space="preserve"> </w:t>
      </w:r>
      <w:r>
        <w:t xml:space="preserve">donor firm</w:t>
      </w:r>
      <w:r>
        <w:t xml:space="preserve"> </w:t>
      </w:r>
      <m:oMath>
        <m:r>
          <m:t>π</m:t>
        </m:r>
        <m:r>
          <m:rPr>
            <m:sty m:val="p"/>
          </m:rPr>
          <m:t>(</m:t>
        </m:r>
        <m:r>
          <m:t>i</m:t>
        </m:r>
        <m:r>
          <m:rPr>
            <m:sty m:val="p"/>
          </m:rPr>
          <m:t>)</m:t>
        </m:r>
      </m:oMath>
      <w:r>
        <w:t xml:space="preserve">, remapped by calendar year, while keeping firm</w:t>
      </w:r>
      <w:r>
        <w:t xml:space="preserve"> </w:t>
      </w:r>
      <m:oMath>
        <m:r>
          <m:t>i</m:t>
        </m:r>
      </m:oMath>
      <w:r>
        <w:t xml:space="preserve">’s own employment, robotics</w:t>
      </w:r>
      <w:r>
        <w:t xml:space="preserve"> </w:t>
      </w:r>
      <w:r>
        <w:t xml:space="preserve">stock, size, and fixed effects; equation </w:t>
      </w:r>
      <w:hyperlink w:anchor="eq:fe">
        <w:r>
          <w:rPr>
            <w:rStyle w:val="Hyperlink"/>
          </w:rPr>
          <w:t xml:space="preserve">[eq:fe]</w:t>
        </w:r>
      </w:hyperlink>
      <w:r>
        <w:t xml:space="preserve"> </w:t>
      </w:r>
      <w:r>
        <w:t xml:space="preserve">is then re-estimated and the coefficient on</w:t>
      </w:r>
      <w:r>
        <w:t xml:space="preserve"> </w:t>
      </w:r>
      <w:r>
        <w:t xml:space="preserve">the permuted AI stock is collected. Because both the outcome and the true treatment are firm-level</w:t>
      </w:r>
      <w:r>
        <w:t xml:space="preserve"> </w:t>
      </w:r>
      <w:r>
        <w:t xml:space="preserve">and trending, this whole-trajectory permutation is the appropriate sharp-null design: after</w:t>
      </w:r>
      <w:r>
        <w:t xml:space="preserve"> </w:t>
      </w:r>
      <w:r>
        <w:t xml:space="preserve">two-way demeaning it should center at zero, and it does—the permutation mean is</w:t>
      </w:r>
      <w:r>
        <w:t xml:space="preserve"> </w:t>
      </w:r>
      <m:oMath>
        <m:r>
          <m:rPr>
            <m:sty m:val="p"/>
          </m:rPr>
          <m:t>+</m:t>
        </m:r>
        <m:r>
          <m:t>0.001</m:t>
        </m:r>
      </m:oMath>
      <w:r>
        <w:t xml:space="preserve"> </w:t>
      </w:r>
      <w:r>
        <w:t xml:space="preserve">(Table </w:t>
      </w:r>
      <w:hyperlink w:anchor="tab:ri">
        <w:r>
          <w:rPr>
            <w:rStyle w:val="Hyperlink"/>
          </w:rPr>
          <w:t xml:space="preserve">7</w:t>
        </w:r>
      </w:hyperlink>
      <w:r>
        <w:t xml:space="preserve">), confirming the test is well-behaved. The actual elasticity,</w:t>
      </w:r>
      <w:r>
        <w:t xml:space="preserve"> </w:t>
      </w:r>
      <m:oMath>
        <m:r>
          <m:t>0.055</m:t>
        </m:r>
      </m:oMath>
      <w:r>
        <w:t xml:space="preserve">, lies</w:t>
      </w:r>
      <w:r>
        <w:t xml:space="preserve"> </w:t>
      </w:r>
      <w:r>
        <w:t xml:space="preserve">entirely outside the permutation distribution: its 95% permutation interval is</w:t>
      </w:r>
      <w:r>
        <w:t xml:space="preserve"> </w:t>
      </w:r>
      <m:oMath>
        <m:r>
          <m:rPr>
            <m:sty m:val="p"/>
          </m:rPr>
          <m:t>[</m:t>
        </m:r>
        <m:r>
          <m:rPr>
            <m:sty m:val="p"/>
          </m:rPr>
          <m:t>−</m:t>
        </m:r>
        <m:r>
          <m:t>0.023</m:t>
        </m:r>
        <m:r>
          <m:rPr>
            <m:sty m:val="p"/>
          </m:rPr>
          <m:t>,</m:t>
        </m:r>
        <m:r>
          <m:rPr>
            <m:sty m:val="p"/>
          </m:rPr>
          <m:t>+</m:t>
        </m:r>
        <m:r>
          <m:t>0.024</m:t>
        </m:r>
        <m:r>
          <m:rPr>
            <m:sty m:val="p"/>
          </m:rPr>
          <m:t>]</m:t>
        </m:r>
      </m:oMath>
      <w:r>
        <w:t xml:space="preserve">, and no permutation out of 500 produced a coefficient as large in absolute</w:t>
      </w:r>
      <w:r>
        <w:t xml:space="preserve"> </w:t>
      </w:r>
      <w:r>
        <w:t xml:space="preserve">value (</w:t>
      </w:r>
      <m:oMath>
        <m:r>
          <m:t>p</m:t>
        </m:r>
        <m:r>
          <m:rPr>
            <m:sty m:val="p"/>
          </m:rPr>
          <m:t>&lt;</m:t>
        </m:r>
        <m:r>
          <m:t>0.002</m:t>
        </m:r>
      </m:oMath>
      <w:r>
        <w:t xml:space="preserve">; Figure </w:t>
      </w:r>
      <w:hyperlink w:anchor="fig:ri">
        <w:r>
          <w:rPr>
            <w:rStyle w:val="Hyperlink"/>
          </w:rPr>
          <w:t xml:space="preserve">2</w:t>
        </w:r>
      </w:hyperlink>
      <w:r>
        <w:t xml:space="preserve">). The AI–employment relationship is not a product of</w:t>
      </w:r>
      <w:r>
        <w:t xml:space="preserve"> </w:t>
      </w:r>
      <w:r>
        <w:t xml:space="preserve">clustered-standard-error asymptotics or of the trending nature of the data.</w:t>
      </w:r>
    </w:p>
    <w:bookmarkEnd w:id="28"/>
    <w:bookmarkStart w:id="29" w:name="a-broader-robotics-measure."/>
    <w:p>
      <w:pPr>
        <w:pStyle w:val="Heading4"/>
      </w:pPr>
      <w:r>
        <w:t xml:space="preserve">A broader robotics measure.</w:t>
      </w:r>
    </w:p>
    <w:p>
      <w:pPr>
        <w:pStyle w:val="FirstParagraph"/>
      </w:pPr>
      <w:r>
        <w:t xml:space="preserve">B25J (industrial manipulators) captures only about 350</w:t>
      </w:r>
      <w:r>
        <w:t xml:space="preserve"> </w:t>
      </w:r>
      <w:r>
        <w:t xml:space="preserve">firms. Broadening</w:t>
      </w:r>
      <w:r>
        <w:t xml:space="preserve"> </w:t>
      </w:r>
      <w:r>
        <w:t xml:space="preserve">“robotics”</w:t>
      </w:r>
      <w:r>
        <w:t xml:space="preserve"> </w:t>
      </w:r>
      <w:r>
        <w:t xml:space="preserve">to include autonomous-vehicle control (CPC G05D1), legged/walking</w:t>
      </w:r>
      <w:r>
        <w:t xml:space="preserve"> </w:t>
      </w:r>
      <w:r>
        <w:t xml:space="preserve">machines (B62D57), and the robotics cross-reference class (Y10S901) nearly doubles coverage. Under</w:t>
      </w:r>
      <w:r>
        <w:t xml:space="preserve"> </w:t>
      </w:r>
      <w:r>
        <w:t xml:space="preserve">this broader measure (Table </w:t>
      </w:r>
      <w:hyperlink w:anchor="tab:robbroad">
        <w:r>
          <w:rPr>
            <w:rStyle w:val="Hyperlink"/>
          </w:rPr>
          <w:t xml:space="preserve">6</w:t>
        </w:r>
      </w:hyperlink>
      <w:r>
        <w:t xml:space="preserve">), the physical-automation stock loads</w:t>
      </w:r>
      <w:r>
        <w:t xml:space="preserve"> </w:t>
      </w:r>
      <w:r>
        <w:rPr>
          <w:i/>
          <w:iCs/>
        </w:rPr>
        <w:t xml:space="preserve">marginally negatively</w:t>
      </w:r>
      <w:r>
        <w:t xml:space="preserve"> </w:t>
      </w:r>
      <w:r>
        <w:t xml:space="preserve">on employment (</w:t>
      </w:r>
      <m:oMath>
        <m:r>
          <m:rPr>
            <m:sty m:val="p"/>
          </m:rPr>
          <m:t>−</m:t>
        </m:r>
        <m:r>
          <m:t>0.029</m:t>
        </m:r>
      </m:oMath>
      <w:r>
        <w:t xml:space="preserve">,</w:t>
      </w:r>
      <w:r>
        <w:t xml:space="preserve"> </w:t>
      </w:r>
      <m:oMath>
        <m:r>
          <m:t>t</m:t>
        </m:r>
        <m:r>
          <m:rPr>
            <m:sty m:val="p"/>
          </m:rPr>
          <m:t>=</m:t>
        </m:r>
        <m:r>
          <m:rPr>
            <m:sty m:val="p"/>
          </m:rPr>
          <m:t>−</m:t>
        </m:r>
        <m:r>
          <m:t>1.9</m:t>
        </m:r>
      </m:oMath>
      <w:r>
        <w:t xml:space="preserve">) and on sales-per-employee</w:t>
      </w:r>
      <w:r>
        <w:t xml:space="preserve"> </w:t>
      </w:r>
      <w:r>
        <w:t xml:space="preserve">(</w:t>
      </w:r>
      <m:oMath>
        <m:r>
          <m:t>t</m:t>
        </m:r>
        <m:r>
          <m:rPr>
            <m:sty m:val="p"/>
          </m:rPr>
          <m:t>=</m:t>
        </m:r>
        <m:r>
          <m:rPr>
            <m:sty m:val="p"/>
          </m:rPr>
          <m:t>−</m:t>
        </m:r>
        <m:r>
          <m:t>1.9</m:t>
        </m:r>
      </m:oMath>
      <w:r>
        <w:t xml:space="preserve">)—a hint of labor substitution that is only marginally significant and that we hedge</w:t>
      </w:r>
      <w:r>
        <w:t xml:space="preserve"> </w:t>
      </w:r>
      <w:r>
        <w:t xml:space="preserve">accordingly—while continuing to load positively on Tobin’s Q (</w:t>
      </w:r>
      <m:oMath>
        <m:r>
          <m:t>t</m:t>
        </m:r>
        <m:r>
          <m:rPr>
            <m:sty m:val="p"/>
          </m:rPr>
          <m:t>=</m:t>
        </m:r>
        <m:r>
          <m:t>5.1</m:t>
        </m:r>
      </m:oMath>
      <w:r>
        <w:t xml:space="preserve">). We read the broadened</w:t>
      </w:r>
      <w:r>
        <w:t xml:space="preserve"> </w:t>
      </w:r>
      <w:r>
        <w:t xml:space="preserve">result as</w:t>
      </w:r>
      <w:r>
        <w:t xml:space="preserve"> </w:t>
      </w:r>
      <w:r>
        <w:rPr>
          <w:i/>
          <w:iCs/>
        </w:rPr>
        <w:t xml:space="preserve">suggestive</w:t>
      </w:r>
      <w:r>
        <w:t xml:space="preserve"> </w:t>
      </w:r>
      <w:r>
        <w:t xml:space="preserve">that physical automation is less labor-complementary than AI, not as</w:t>
      </w:r>
      <w:r>
        <w:t xml:space="preserve"> </w:t>
      </w:r>
      <w:r>
        <w:t xml:space="preserve">established substitution; establishing that would require reading the patents, which is the</w:t>
      </w:r>
      <w:r>
        <w:t xml:space="preserve"> </w:t>
      </w:r>
      <w:r>
        <w:t xml:space="preserve">reserved task.</w:t>
      </w:r>
    </w:p>
    <w:bookmarkEnd w:id="29"/>
    <w:bookmarkEnd w:id="30"/>
    <w:bookmarkStart w:id="31" w:name="sec:power"/>
    <w:p>
      <w:pPr>
        <w:pStyle w:val="Heading1"/>
      </w:pPr>
      <w:r>
        <w:t xml:space="preserve">Are the Nulls Informative? Power and Minimum Detectable Effects</w:t>
      </w:r>
    </w:p>
    <w:p>
      <w:pPr>
        <w:pStyle w:val="FirstParagraph"/>
      </w:pPr>
      <w:r>
        <w:t xml:space="preserve">Two coefficients in Table </w:t>
      </w:r>
      <w:hyperlink w:anchor="tab:fe">
        <w:r>
          <w:rPr>
            <w:rStyle w:val="Hyperlink"/>
          </w:rPr>
          <w:t xml:space="preserve">2</w:t>
        </w:r>
      </w:hyperlink>
      <w:r>
        <w:t xml:space="preserve"> </w:t>
      </w:r>
      <w:r>
        <w:t xml:space="preserve">are genuine nulls of economic interest: the firm-level</w:t>
      </w:r>
      <w:r>
        <w:t xml:space="preserve"> </w:t>
      </w:r>
      <w:r>
        <w:rPr>
          <w:i/>
          <w:iCs/>
        </w:rPr>
        <w:t xml:space="preserve">robotics–employment</w:t>
      </w:r>
      <w:r>
        <w:t xml:space="preserve"> </w:t>
      </w:r>
      <w:r>
        <w:t xml:space="preserve">effect and the</w:t>
      </w:r>
      <w:r>
        <w:t xml:space="preserve"> </w:t>
      </w:r>
      <w:r>
        <w:rPr>
          <w:i/>
          <w:iCs/>
        </w:rPr>
        <w:t xml:space="preserve">robotics–ROA</w:t>
      </w:r>
      <w:r>
        <w:t xml:space="preserve"> </w:t>
      </w:r>
      <w:r>
        <w:t xml:space="preserve">effect. The former is the</w:t>
      </w:r>
      <w:r>
        <w:t xml:space="preserve"> </w:t>
      </w:r>
      <w:r>
        <w:t xml:space="preserve">firm-of-origin counterpart of the aggregate robot-displacement result of</w:t>
      </w:r>
      <w:r>
        <w:t xml:space="preserve"> </w:t>
      </w:r>
      <w:r>
        <w:t xml:space="preserve">, so</w:t>
      </w:r>
      <w:r>
        <w:t xml:space="preserve"> </w:t>
      </w:r>
      <w:r>
        <w:t xml:space="preserve">its magnitude and precision matter. Table </w:t>
      </w:r>
      <w:hyperlink w:anchor="tab:power">
        <w:r>
          <w:rPr>
            <w:rStyle w:val="Hyperlink"/>
          </w:rPr>
          <w:t xml:space="preserve">8</w:t>
        </w:r>
      </w:hyperlink>
      <w:r>
        <w:t xml:space="preserve"> </w:t>
      </w:r>
      <w:r>
        <w:t xml:space="preserve">reports, for every treatment</w:t>
      </w:r>
      <m:oMath>
        <m:r>
          <m:rPr>
            <m:sty m:val="p"/>
          </m:rPr>
          <m:t>×</m:t>
        </m:r>
      </m:oMath>
      <w:r>
        <w:t xml:space="preserve"> </w:t>
      </w:r>
      <w:r>
        <w:t xml:space="preserve">outcome cell, the minimum detectable effect (MDE) at 80% power,</w:t>
      </w:r>
      <w:r>
        <w:t xml:space="preserve"> </w:t>
      </w:r>
      <m:oMath>
        <m:r>
          <m:rPr>
            <m:nor/>
            <m:sty m:val="p"/>
          </m:rPr>
          <m:t>MDE</m:t>
        </m:r>
        <m:r>
          <m:rPr>
            <m:sty m:val="p"/>
          </m:rPr>
          <m:t>=</m:t>
        </m:r>
        <m:r>
          <m:rPr>
            <m:sty m:val="p"/>
          </m:rPr>
          <m:t>(</m:t>
        </m:r>
        <m:sSub>
          <m:e>
            <m:r>
              <m:t>z</m:t>
            </m:r>
          </m:e>
          <m:sub>
            <m:r>
              <m:t>0.975</m:t>
            </m:r>
          </m:sub>
        </m:sSub>
        <m:r>
          <m:rPr>
            <m:sty m:val="p"/>
          </m:rPr>
          <m:t>+</m:t>
        </m:r>
        <m:sSub>
          <m:e>
            <m:r>
              <m:t>z</m:t>
            </m:r>
          </m:e>
          <m:sub>
            <m:r>
              <m:t>0.80</m:t>
            </m:r>
          </m:sub>
        </m:sSub>
        <m:r>
          <m:rPr>
            <m:sty m:val="p"/>
          </m:rPr>
          <m:t>)</m:t>
        </m:r>
        <m:r>
          <m:t> </m:t>
        </m:r>
        <m:acc>
          <m:accPr>
            <m:chr m:val="̂"/>
          </m:accPr>
          <m:e>
            <m:r>
              <m:rPr>
                <m:nor/>
                <m:sty m:val="p"/>
              </m:rPr>
              <m:t>SE</m:t>
            </m:r>
          </m:e>
        </m:acc>
        <m:r>
          <m:rPr>
            <m:sty m:val="p"/>
          </m:rPr>
          <m:t>≈</m:t>
        </m:r>
        <m:r>
          <m:t>2.80</m:t>
        </m:r>
        <m:r>
          <m:t> </m:t>
        </m:r>
        <m:acc>
          <m:accPr>
            <m:chr m:val="̂"/>
          </m:accPr>
          <m:e>
            <m:r>
              <m:rPr>
                <m:nor/>
                <m:sty m:val="p"/>
              </m:rPr>
              <m:t>SE</m:t>
            </m:r>
          </m:e>
        </m:acc>
      </m:oMath>
      <w:r>
        <w:t xml:space="preserve">, expressed</w:t>
      </w:r>
      <w:r>
        <w:t xml:space="preserve"> </w:t>
      </w:r>
      <w:r>
        <w:t xml:space="preserve">as a share of the outcome’s cross-firm standard deviation. The design is well powered on the</w:t>
      </w:r>
      <w:r>
        <w:t xml:space="preserve"> </w:t>
      </w:r>
      <w:r>
        <w:t xml:space="preserve">robotics margins despite the thinner robotics sample: at 80% power we could have detected a</w:t>
      </w:r>
      <w:r>
        <w:t xml:space="preserve"> </w:t>
      </w:r>
      <w:r>
        <w:t xml:space="preserve">robotics–employment elasticity of</w:t>
      </w:r>
      <w:r>
        <w:t xml:space="preserve"> </w:t>
      </w:r>
      <m:oMath>
        <m:r>
          <m:t>2.3</m:t>
        </m:r>
        <m:r>
          <m:rPr>
            <m:sty m:val="p"/>
          </m:rPr>
          <m:t>%</m:t>
        </m:r>
      </m:oMath>
      <w:r>
        <w:t xml:space="preserve"> </w:t>
      </w:r>
      <w:r>
        <w:t xml:space="preserve">of the employment standard deviation and a</w:t>
      </w:r>
      <w:r>
        <w:t xml:space="preserve"> </w:t>
      </w:r>
      <w:r>
        <w:t xml:space="preserve">robotics–ROA effect of</w:t>
      </w:r>
      <w:r>
        <w:t xml:space="preserve"> </w:t>
      </w:r>
      <m:oMath>
        <m:r>
          <m:t>3.5</m:t>
        </m:r>
        <m:r>
          <m:rPr>
            <m:sty m:val="p"/>
          </m:rPr>
          <m:t>%</m:t>
        </m:r>
      </m:oMath>
      <w:r>
        <w:t xml:space="preserve"> </w:t>
      </w:r>
      <w:r>
        <w:t xml:space="preserve">of the ROA standard deviation. In other words, the firm-level</w:t>
      </w:r>
      <w:r>
        <w:t xml:space="preserve"> </w:t>
      </w:r>
      <w:r>
        <w:t xml:space="preserve">robotics employment effect, if it exists, is smaller than a modest fraction of a standard</w:t>
      </w:r>
      <w:r>
        <w:t xml:space="preserve"> </w:t>
      </w:r>
      <w:r>
        <w:t xml:space="preserve">deviation—an informative upper bound, not a symptom of low power. This is fully consistent with</w:t>
      </w:r>
      <w:r>
        <w:t xml:space="preserve"> </w:t>
      </w:r>
      <w:r>
        <w:t xml:space="preserve">the aggregate displacement literature: robots may reduce employment in exposed labor markets while</w:t>
      </w:r>
      <w:r>
        <w:t xml:space="preserve"> </w:t>
      </w:r>
      <w:r>
        <w:t xml:space="preserve">leaving the innovating firm’s own payroll unchanged, because the innovating firm sells the robot</w:t>
      </w:r>
      <w:r>
        <w:t xml:space="preserve"> </w:t>
      </w:r>
      <w:r>
        <w:t xml:space="preserve">and grows on the proceeds. Locating displacement—at adopters, competitors, or in the</w:t>
      </w:r>
      <w:r>
        <w:t xml:space="preserve"> </w:t>
      </w:r>
      <w:r>
        <w:t xml:space="preserve">aggregate—is beyond a firm-of-origin design and is the natural next question.</w:t>
      </w:r>
    </w:p>
    <w:bookmarkEnd w:id="31"/>
    <w:bookmarkStart w:id="48" w:name="sec:concl"/>
    <w:p>
      <w:pPr>
        <w:pStyle w:val="Heading1"/>
      </w:pPr>
      <w:r>
        <w:t xml:space="preserve">Conclusion</w:t>
      </w:r>
    </w:p>
    <w:p>
      <w:pPr>
        <w:pStyle w:val="FirstParagraph"/>
      </w:pPr>
      <w:r>
        <w:t xml:space="preserve">Cognitive and physical automation leave different firm-level footprints. Within the same firm and</w:t>
      </w:r>
      <w:r>
        <w:t xml:space="preserve"> </w:t>
      </w:r>
      <w:r>
        <w:t xml:space="preserve">year, AI-patent stock travels with employment growth while robotics-patent stock travels with firm</w:t>
      </w:r>
      <w:r>
        <w:t xml:space="preserve"> </w:t>
      </w:r>
      <w:r>
        <w:t xml:space="preserve">value; AI is labor-complementary where it is invented, and the market capitalizes robotics</w:t>
      </w:r>
      <w:r>
        <w:t xml:space="preserve"> </w:t>
      </w:r>
      <w:r>
        <w:t xml:space="preserve">capability into value. The AI–employment complementarity is dynamic and pre-trend clean, survives</w:t>
      </w:r>
      <w:r>
        <w:t xml:space="preserve"> </w:t>
      </w:r>
      <w:r>
        <w:t xml:space="preserve">industry</w:t>
      </w:r>
      <m:oMath>
        <m:r>
          <m:rPr>
            <m:sty m:val="p"/>
          </m:rPr>
          <m:t>×</m:t>
        </m:r>
      </m:oMath>
      <w:r>
        <w:t xml:space="preserve">year fixed effects and added controls, concentrates in the high-tech and</w:t>
      </w:r>
      <w:r>
        <w:t xml:space="preserve"> </w:t>
      </w:r>
      <w:r>
        <w:t xml:space="preserve">R&amp;D-active firms where AI is most plausibly a real input, and is confirmed by randomization</w:t>
      </w:r>
      <w:r>
        <w:t xml:space="preserve"> </w:t>
      </w:r>
      <w:r>
        <w:t xml:space="preserve">inference that permutes the entire firm AI trajectory 500 times (</w:t>
      </w:r>
      <m:oMath>
        <m:r>
          <m:t>p</m:t>
        </m:r>
        <m:r>
          <m:rPr>
            <m:sty m:val="p"/>
          </m:rPr>
          <m:t>&lt;</m:t>
        </m:r>
        <m:r>
          <m:t>0.002</m:t>
        </m:r>
      </m:oMath>
      <w:r>
        <w:t xml:space="preserve">). The robotics–value</w:t>
      </w:r>
      <w:r>
        <w:t xml:space="preserve"> </w:t>
      </w:r>
      <w:r>
        <w:t xml:space="preserve">result is equally robust and is strongest among large firms. The firm-level robotics employment</w:t>
      </w:r>
      <w:r>
        <w:t xml:space="preserve"> </w:t>
      </w:r>
      <w:r>
        <w:t xml:space="preserve">null is informative: our design could have detected an effect a small fraction of a standard</w:t>
      </w:r>
      <w:r>
        <w:t xml:space="preserve"> </w:t>
      </w:r>
      <w:r>
        <w:t xml:space="preserve">deviation in size. The popular</w:t>
      </w:r>
      <w:r>
        <w:t xml:space="preserve"> </w:t>
      </w:r>
      <w:r>
        <w:t xml:space="preserve">“automation destroys jobs”</w:t>
      </w:r>
      <w:r>
        <w:t xml:space="preserve"> </w:t>
      </w:r>
      <w:r>
        <w:t xml:space="preserve">narrative does not describe the</w:t>
      </w:r>
      <w:r>
        <w:t xml:space="preserve"> </w:t>
      </w:r>
      <w:r>
        <w:t xml:space="preserve">innovating firm’s own workforce over 1995–2024.</w:t>
      </w:r>
    </w:p>
    <w:p>
      <w:pPr>
        <w:pStyle w:val="BodyText"/>
      </w:pPr>
      <w:r>
        <w:t xml:space="preserve">We are explicit about the binding limitation. Our</w:t>
      </w:r>
      <w:r>
        <w:t xml:space="preserve"> </w:t>
      </w:r>
      <w:r>
        <w:t xml:space="preserve">“robotics”</w:t>
      </w:r>
      <w:r>
        <w:t xml:space="preserve"> </w:t>
      </w:r>
      <w:r>
        <w:t xml:space="preserve">label is machine-assigned from a</w:t>
      </w:r>
      <w:r>
        <w:t xml:space="preserve"> </w:t>
      </w:r>
      <w:r>
        <w:t xml:space="preserve">CPC subclass, and it cannot tell a labor-</w:t>
      </w:r>
      <w:r>
        <w:rPr>
          <w:i/>
          <w:iCs/>
        </w:rPr>
        <w:t xml:space="preserve">replacing</w:t>
      </w:r>
      <w:r>
        <w:t xml:space="preserve"> </w:t>
      </w:r>
      <w:r>
        <w:t xml:space="preserve">robot—a pick-and-place arm that does</w:t>
      </w:r>
      <w:r>
        <w:t xml:space="preserve"> </w:t>
      </w:r>
      <w:r>
        <w:t xml:space="preserve">what a worker did—from a labor-</w:t>
      </w:r>
      <w:r>
        <w:rPr>
          <w:i/>
          <w:iCs/>
        </w:rPr>
        <w:t xml:space="preserve">augmenting</w:t>
      </w:r>
      <w:r>
        <w:t xml:space="preserve"> </w:t>
      </w:r>
      <w:r>
        <w:t xml:space="preserve">one—a surgical or collaborative robot that</w:t>
      </w:r>
      <w:r>
        <w:t xml:space="preserve"> </w:t>
      </w:r>
      <w:r>
        <w:t xml:space="preserve">extends a worker. That distinction is the crux of the automation debate, and only a human who</w:t>
      </w:r>
      <w:r>
        <w:t xml:space="preserve"> </w:t>
      </w:r>
      <w:r>
        <w:t xml:space="preserve">reads the patent can make it. The reserved contribution of the student co-author is to hand-code,</w:t>
      </w:r>
      <w:r>
        <w:t xml:space="preserve"> </w:t>
      </w:r>
      <w:r>
        <w:t xml:space="preserve">for a focused sample of firm-linked B25J patents, whether each is labor-replacing or</w:t>
      </w:r>
      <w:r>
        <w:t xml:space="preserve"> </w:t>
      </w:r>
      <w:r>
        <w:t xml:space="preserve">labor-augmenting (and its application domain), after first validating the AI/robotics classifier</w:t>
      </w:r>
      <w:r>
        <w:t xml:space="preserve"> </w:t>
      </w:r>
      <w:r>
        <w:t xml:space="preserve">on a stratified sample. Re-running equation </w:t>
      </w:r>
      <w:hyperlink w:anchor="eq:fe">
        <w:r>
          <w:rPr>
            <w:rStyle w:val="Hyperlink"/>
          </w:rPr>
          <w:t xml:space="preserve">[eq:fe]</w:t>
        </w:r>
      </w:hyperlink>
      <w:r>
        <w:t xml:space="preserve"> </w:t>
      </w:r>
      <w:r>
        <w:t xml:space="preserve">with robotics split into replacing</w:t>
      </w:r>
      <w:r>
        <w:t xml:space="preserve"> </w:t>
      </w:r>
      <w:r>
        <w:t xml:space="preserve">versus augmenting is the paper’s sharpest test: the firm-level substitution effect our broadened</w:t>
      </w:r>
      <w:r>
        <w:t xml:space="preserve"> </w:t>
      </w:r>
      <w:r>
        <w:t xml:space="preserve">measure only hints at should appear—if it appears at all—in the replacing patents and not in</w:t>
      </w:r>
      <w:r>
        <w:t xml:space="preserve"> </w:t>
      </w:r>
      <w:r>
        <w:t xml:space="preserve">the augmenting ones. The observable heterogeneity in Section </w:t>
      </w:r>
      <w:hyperlink w:anchor="sec:het">
        <w:r>
          <w:rPr>
            <w:rStyle w:val="Hyperlink"/>
          </w:rPr>
          <w:t xml:space="preserve">6</w:t>
        </w:r>
      </w:hyperlink>
      <w:r>
        <w:t xml:space="preserve"> </w:t>
      </w:r>
      <w:r>
        <w:t xml:space="preserve">is deliberately</w:t>
      </w:r>
      <w:r>
        <w:t xml:space="preserve"> </w:t>
      </w:r>
      <w:r>
        <w:t xml:space="preserve">orthogonal to that test, which is the design the pipeline has been built to receive. Whether AI</w:t>
      </w:r>
      <w:r>
        <w:t xml:space="preserve"> </w:t>
      </w:r>
      <w:r>
        <w:t xml:space="preserve">displaces labor</w:t>
      </w:r>
      <w:r>
        <w:t xml:space="preserve"> </w:t>
      </w:r>
      <w:r>
        <w:rPr>
          <w:i/>
          <w:iCs/>
        </w:rPr>
        <w:t xml:space="preserve">elsewhere</w:t>
      </w:r>
      <w:r>
        <w:t xml:space="preserve">—at competitors, suppliers, or in aggregate—is beyond a</w:t>
      </w:r>
      <w:r>
        <w:t xml:space="preserve"> </w:t>
      </w:r>
      <w:r>
        <w:t xml:space="preserve">firm-level design and is the complementary question for future work.</w:t>
      </w:r>
    </w:p>
    <w:p>
      <w:pPr>
        <w:pStyle w:val="BodyText"/>
      </w:pPr>
      <w:r>
        <w:t xml:space="preserve">99</w:t>
      </w:r>
      <w:r>
        <w:t xml:space="preserve"> </w:t>
      </w:r>
      <w:r>
        <w:t xml:space="preserve">Abadie, A., 2020. Statistical nonsignificance in empirical</w:t>
      </w:r>
      <w:r>
        <w:t xml:space="preserve"> </w:t>
      </w:r>
      <w:r>
        <w:t xml:space="preserve">economics. American Economic Review: Insights 2, 193–208.</w:t>
      </w:r>
      <w:r>
        <w:t xml:space="preserve"> </w:t>
      </w:r>
      <w:r>
        <w:t xml:space="preserve">Acemoglu, D., Restrepo, P., 2020. Robots and</w:t>
      </w:r>
      <w:r>
        <w:t xml:space="preserve"> </w:t>
      </w:r>
      <w:r>
        <w:t xml:space="preserve">jobs: evidence from US labor markets. Journal of Political Economy 128, 2188–2244.</w:t>
      </w:r>
      <w:r>
        <w:t xml:space="preserve"> </w:t>
      </w:r>
      <w:r>
        <w:t xml:space="preserve">Acemoglu, D., Autor, D., Hazell, J., Restrepo, P.,</w:t>
      </w:r>
      <w:r>
        <w:t xml:space="preserve"> </w:t>
      </w:r>
      <w:r>
        <w:t xml:space="preserve">2022. Artificial intelligence and jobs: evidence from online vacancies. Journal of Labor</w:t>
      </w:r>
      <w:r>
        <w:t xml:space="preserve"> </w:t>
      </w:r>
      <w:r>
        <w:t xml:space="preserve">Economics 40, S293–S340.</w:t>
      </w:r>
      <w:r>
        <w:t xml:space="preserve"> </w:t>
      </w:r>
      <w:r>
        <w:t xml:space="preserve">Autor, D., 2015. Why are there still so many jobs? The history</w:t>
      </w:r>
      <w:r>
        <w:t xml:space="preserve"> </w:t>
      </w:r>
      <w:r>
        <w:t xml:space="preserve">and future of workplace automation. Journal of Economic Perspectives 29, 3–30.</w:t>
      </w:r>
      <w:r>
        <w:t xml:space="preserve"> </w:t>
      </w:r>
      <w:r>
        <w:t xml:space="preserve">Babina, T., Fedyk, A., He, A., Hodson, J., 2024.</w:t>
      </w:r>
      <w:r>
        <w:t xml:space="preserve"> </w:t>
      </w:r>
      <w:r>
        <w:t xml:space="preserve">Artificial intelligence, firm growth, and product innovation. Journal of Financial Economics 151,</w:t>
      </w:r>
      <w:r>
        <w:t xml:space="preserve"> </w:t>
      </w:r>
      <w:r>
        <w:t xml:space="preserve">103745.</w:t>
      </w:r>
      <w:r>
        <w:t xml:space="preserve"> </w:t>
      </w:r>
      <w:r>
        <w:t xml:space="preserve">Callaway, B., Sant’Anna, P.H.C., 2021.</w:t>
      </w:r>
      <w:r>
        <w:t xml:space="preserve"> </w:t>
      </w:r>
      <w:r>
        <w:t xml:space="preserve">Difference-in-differences with multiple time periods. Journal of Econometrics 225, 200–230.</w:t>
      </w:r>
      <w:r>
        <w:t xml:space="preserve"> </w:t>
      </w:r>
      <w:r>
        <w:t xml:space="preserve">Graetz, G., Michaels, G., 2018. Robots at work.</w:t>
      </w:r>
      <w:r>
        <w:t xml:space="preserve"> </w:t>
      </w:r>
      <w:r>
        <w:t xml:space="preserve">Review of Economics and Statistics 100, 753–768.</w:t>
      </w:r>
      <w:r>
        <w:t xml:space="preserve"> </w:t>
      </w:r>
      <w:r>
        <w:t xml:space="preserve">Kogan, L., Papanikolaou, D., Seru, A., Stoffman, N., 2017.</w:t>
      </w:r>
      <w:r>
        <w:t xml:space="preserve"> </w:t>
      </w:r>
      <w:r>
        <w:t xml:space="preserve">Technological innovation, resource allocation, and growth. Quarterly Journal of Economics 132,</w:t>
      </w:r>
      <w:r>
        <w:t xml:space="preserve"> </w:t>
      </w:r>
      <w:r>
        <w:t xml:space="preserve">665–712.</w:t>
      </w:r>
      <w:r>
        <w:t xml:space="preserve"> </w:t>
      </w:r>
      <w:r>
        <w:t xml:space="preserve">Roth, J., 2022. Pretest with caution: Event-study estimates after</w:t>
      </w:r>
      <w:r>
        <w:t xml:space="preserve"> </w:t>
      </w:r>
      <w:r>
        <w:t xml:space="preserve">testing for parallel trends. American Economic Review: Insights 4, 305–322.</w:t>
      </w:r>
      <w:r>
        <w:t xml:space="preserve"> </w:t>
      </w:r>
      <w:r>
        <w:t xml:space="preserve">Webb, M., 2020. The impact of artificial intelligence on the labor</w:t>
      </w:r>
      <w:r>
        <w:t xml:space="preserve"> </w:t>
      </w:r>
      <w:r>
        <w:t xml:space="preserve">market. Working paper, Stanford University.</w:t>
      </w:r>
      <w:r>
        <w:t xml:space="preserve"> </w:t>
      </w:r>
      <w:r>
        <w:t xml:space="preserve">Young, A., 2019. Channeling Fisher: Randomization tests and the</w:t>
      </w:r>
      <w:r>
        <w:t xml:space="preserve"> </w:t>
      </w:r>
      <w:r>
        <w:t xml:space="preserve">statistical insignificance of seemingly significant experimental results. Quarterly Journal of</w:t>
      </w:r>
      <w:r>
        <w:t xml:space="preserve"> </w:t>
      </w:r>
      <w:r>
        <w:t xml:space="preserve">Economics 134, 557–598.</w:t>
      </w:r>
    </w:p>
    <w:bookmarkStart w:id="32" w:name="tab:sum"/>
    <w:p>
      <w:pPr>
        <w:pStyle w:val="TableCaption"/>
      </w:pPr>
      <w:r>
        <w:t xml:space="preserve">Summary statistics</w:t>
      </w:r>
    </w:p>
    <w:tbl>
      <w:tblPr>
        <w:tblStyle w:val="Table"/>
        <w:tblW w:type="auto" w:w="0"/>
        <w:tblLook w:firstRow="1" w:lastRow="0" w:firstColumn="0" w:lastColumn="0" w:noHBand="0" w:noVBand="0" w:val="0020"/>
        <w:tblCaption w:val="Summary statistics"/>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P25</w:t>
            </w:r>
          </w:p>
        </w:tc>
        <w:tc>
          <w:tcPr/>
          <w:p>
            <w:pPr>
              <w:pStyle w:val="Compact"/>
              <w:jc w:val="center"/>
            </w:pPr>
            <w:r>
              <w:t xml:space="preserve">Median</w:t>
            </w:r>
          </w:p>
        </w:tc>
        <w:tc>
          <w:tcPr/>
          <w:p>
            <w:pPr>
              <w:pStyle w:val="Compact"/>
              <w:jc w:val="center"/>
            </w:pPr>
            <w:r>
              <w:t xml:space="preserve">P75</w:t>
            </w:r>
          </w:p>
        </w:tc>
      </w:tr>
      <w:tr>
        <w:tc>
          <w:tcPr/>
          <w:p>
            <w:pPr>
              <w:pStyle w:val="Compact"/>
              <w:jc w:val="left"/>
            </w:pPr>
            <w:r>
              <w:t xml:space="preserve">ln(Employment)</w:t>
            </w:r>
          </w:p>
        </w:tc>
        <w:tc>
          <w:tcPr/>
          <w:p>
            <w:pPr>
              <w:pStyle w:val="Compact"/>
              <w:jc w:val="center"/>
            </w:pPr>
            <w:r>
              <w:t xml:space="preserve">81834</w:t>
            </w:r>
          </w:p>
        </w:tc>
        <w:tc>
          <w:tcPr/>
          <w:p>
            <w:pPr>
              <w:pStyle w:val="Compact"/>
              <w:jc w:val="center"/>
            </w:pPr>
            <w:r>
              <w:t xml:space="preserve">0.233</w:t>
            </w:r>
          </w:p>
        </w:tc>
        <w:tc>
          <w:tcPr/>
          <w:p>
            <w:pPr>
              <w:pStyle w:val="Compact"/>
              <w:jc w:val="center"/>
            </w:pPr>
            <w:r>
              <w:t xml:space="preserve">2.371</w:t>
            </w:r>
          </w:p>
        </w:tc>
        <w:tc>
          <w:tcPr/>
          <w:p>
            <w:pPr>
              <w:pStyle w:val="Compact"/>
              <w:jc w:val="center"/>
            </w:pPr>
            <w:r>
              <w:t xml:space="preserve">-1.551</w:t>
            </w:r>
          </w:p>
        </w:tc>
        <w:tc>
          <w:tcPr/>
          <w:p>
            <w:pPr>
              <w:pStyle w:val="Compact"/>
              <w:jc w:val="center"/>
            </w:pPr>
            <w:r>
              <w:t xml:space="preserve">0.213</w:t>
            </w:r>
          </w:p>
        </w:tc>
        <w:tc>
          <w:tcPr/>
          <w:p>
            <w:pPr>
              <w:pStyle w:val="Compact"/>
              <w:jc w:val="center"/>
            </w:pPr>
            <w:r>
              <w:t xml:space="preserve">1.967</w:t>
            </w:r>
          </w:p>
        </w:tc>
      </w:tr>
      <w:tr>
        <w:tc>
          <w:tcPr/>
          <w:p>
            <w:pPr>
              <w:pStyle w:val="Compact"/>
              <w:jc w:val="left"/>
            </w:pPr>
            <w:r>
              <w:t xml:space="preserve">ln(Sales/Emp)</w:t>
            </w:r>
          </w:p>
        </w:tc>
        <w:tc>
          <w:tcPr/>
          <w:p>
            <w:pPr>
              <w:pStyle w:val="Compact"/>
              <w:jc w:val="center"/>
            </w:pPr>
            <w:r>
              <w:t xml:space="preserve">79230</w:t>
            </w:r>
          </w:p>
        </w:tc>
        <w:tc>
          <w:tcPr/>
          <w:p>
            <w:pPr>
              <w:pStyle w:val="Compact"/>
              <w:jc w:val="center"/>
            </w:pPr>
            <w:r>
              <w:t xml:space="preserve">5.451</w:t>
            </w:r>
          </w:p>
        </w:tc>
        <w:tc>
          <w:tcPr/>
          <w:p>
            <w:pPr>
              <w:pStyle w:val="Compact"/>
              <w:jc w:val="center"/>
            </w:pPr>
            <w:r>
              <w:t xml:space="preserve">1.073</w:t>
            </w:r>
          </w:p>
        </w:tc>
        <w:tc>
          <w:tcPr/>
          <w:p>
            <w:pPr>
              <w:pStyle w:val="Compact"/>
              <w:jc w:val="center"/>
            </w:pPr>
            <w:r>
              <w:t xml:space="preserve">4.988</w:t>
            </w:r>
          </w:p>
        </w:tc>
        <w:tc>
          <w:tcPr/>
          <w:p>
            <w:pPr>
              <w:pStyle w:val="Compact"/>
              <w:jc w:val="center"/>
            </w:pPr>
            <w:r>
              <w:t xml:space="preserve">5.481</w:t>
            </w:r>
          </w:p>
        </w:tc>
        <w:tc>
          <w:tcPr/>
          <w:p>
            <w:pPr>
              <w:pStyle w:val="Compact"/>
              <w:jc w:val="center"/>
            </w:pPr>
            <w:r>
              <w:t xml:space="preserve">6.004</w:t>
            </w:r>
          </w:p>
        </w:tc>
      </w:tr>
      <w:tr>
        <w:tc>
          <w:tcPr/>
          <w:p>
            <w:pPr>
              <w:pStyle w:val="Compact"/>
              <w:jc w:val="left"/>
            </w:pPr>
            <w:r>
              <w:t xml:space="preserve">ROA</w:t>
            </w:r>
          </w:p>
        </w:tc>
        <w:tc>
          <w:tcPr/>
          <w:p>
            <w:pPr>
              <w:pStyle w:val="Compact"/>
              <w:jc w:val="center"/>
            </w:pPr>
            <w:r>
              <w:t xml:space="preserve">83726</w:t>
            </w:r>
          </w:p>
        </w:tc>
        <w:tc>
          <w:tcPr/>
          <w:p>
            <w:pPr>
              <w:pStyle w:val="Compact"/>
              <w:jc w:val="center"/>
            </w:pPr>
            <w:r>
              <w:t xml:space="preserve">-0.115</w:t>
            </w:r>
          </w:p>
        </w:tc>
        <w:tc>
          <w:tcPr/>
          <w:p>
            <w:pPr>
              <w:pStyle w:val="Compact"/>
              <w:jc w:val="center"/>
            </w:pPr>
            <w:r>
              <w:t xml:space="preserve">0.701</w:t>
            </w:r>
          </w:p>
        </w:tc>
        <w:tc>
          <w:tcPr/>
          <w:p>
            <w:pPr>
              <w:pStyle w:val="Compact"/>
              <w:jc w:val="center"/>
            </w:pPr>
            <w:r>
              <w:t xml:space="preserve">-0.109</w:t>
            </w:r>
          </w:p>
        </w:tc>
        <w:tc>
          <w:tcPr/>
          <w:p>
            <w:pPr>
              <w:pStyle w:val="Compact"/>
              <w:jc w:val="center"/>
            </w:pPr>
            <w:r>
              <w:t xml:space="preserve">0.021</w:t>
            </w:r>
          </w:p>
        </w:tc>
        <w:tc>
          <w:tcPr/>
          <w:p>
            <w:pPr>
              <w:pStyle w:val="Compact"/>
              <w:jc w:val="center"/>
            </w:pPr>
            <w:r>
              <w:t xml:space="preserve">0.069</w:t>
            </w:r>
          </w:p>
        </w:tc>
      </w:tr>
      <w:tr>
        <w:tc>
          <w:tcPr/>
          <w:p>
            <w:pPr>
              <w:pStyle w:val="Compact"/>
              <w:jc w:val="left"/>
            </w:pPr>
            <w:r>
              <w:t xml:space="preserve">Tobin’s Q</w:t>
            </w:r>
          </w:p>
        </w:tc>
        <w:tc>
          <w:tcPr/>
          <w:p>
            <w:pPr>
              <w:pStyle w:val="Compact"/>
              <w:jc w:val="center"/>
            </w:pPr>
            <w:r>
              <w:t xml:space="preserve">83589</w:t>
            </w:r>
          </w:p>
        </w:tc>
        <w:tc>
          <w:tcPr/>
          <w:p>
            <w:pPr>
              <w:pStyle w:val="Compact"/>
              <w:jc w:val="center"/>
            </w:pPr>
            <w:r>
              <w:t xml:space="preserve">2.503</w:t>
            </w:r>
          </w:p>
        </w:tc>
        <w:tc>
          <w:tcPr/>
          <w:p>
            <w:pPr>
              <w:pStyle w:val="Compact"/>
              <w:jc w:val="center"/>
            </w:pPr>
            <w:r>
              <w:t xml:space="preserve">3.492</w:t>
            </w:r>
          </w:p>
        </w:tc>
        <w:tc>
          <w:tcPr/>
          <w:p>
            <w:pPr>
              <w:pStyle w:val="Compact"/>
              <w:jc w:val="center"/>
            </w:pPr>
            <w:r>
              <w:t xml:space="preserve">1.169</w:t>
            </w:r>
          </w:p>
        </w:tc>
        <w:tc>
          <w:tcPr/>
          <w:p>
            <w:pPr>
              <w:pStyle w:val="Compact"/>
              <w:jc w:val="center"/>
            </w:pPr>
            <w:r>
              <w:t xml:space="preserve">1.645</w:t>
            </w:r>
          </w:p>
        </w:tc>
        <w:tc>
          <w:tcPr/>
          <w:p>
            <w:pPr>
              <w:pStyle w:val="Compact"/>
              <w:jc w:val="center"/>
            </w:pPr>
            <w:r>
              <w:t xml:space="preserve">2.698</w:t>
            </w:r>
          </w:p>
        </w:tc>
      </w:tr>
      <w:tr>
        <w:tc>
          <w:tcPr/>
          <w:p>
            <w:pPr>
              <w:pStyle w:val="Compact"/>
              <w:jc w:val="left"/>
            </w:pPr>
            <w:r>
              <w:t xml:space="preserve">ln(1+AI patent stock)</w:t>
            </w:r>
          </w:p>
        </w:tc>
        <w:tc>
          <w:tcPr/>
          <w:p>
            <w:pPr>
              <w:pStyle w:val="Compact"/>
              <w:jc w:val="center"/>
            </w:pPr>
            <w:r>
              <w:t xml:space="preserve">83976</w:t>
            </w:r>
          </w:p>
        </w:tc>
        <w:tc>
          <w:tcPr/>
          <w:p>
            <w:pPr>
              <w:pStyle w:val="Compact"/>
              <w:jc w:val="center"/>
            </w:pPr>
            <w:r>
              <w:t xml:space="preserve">0.928</w:t>
            </w:r>
          </w:p>
        </w:tc>
        <w:tc>
          <w:tcPr/>
          <w:p>
            <w:pPr>
              <w:pStyle w:val="Compact"/>
              <w:jc w:val="center"/>
            </w:pPr>
            <w:r>
              <w:t xml:space="preserve">1.588</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1.099</w:t>
            </w:r>
          </w:p>
        </w:tc>
      </w:tr>
      <w:tr>
        <w:tc>
          <w:tcPr/>
          <w:p>
            <w:pPr>
              <w:pStyle w:val="Compact"/>
              <w:jc w:val="left"/>
            </w:pPr>
            <w:r>
              <w:t xml:space="preserve">ln(1+Robotics stock)</w:t>
            </w:r>
          </w:p>
        </w:tc>
        <w:tc>
          <w:tcPr/>
          <w:p>
            <w:pPr>
              <w:pStyle w:val="Compact"/>
              <w:jc w:val="center"/>
            </w:pPr>
            <w:r>
              <w:t xml:space="preserve">83976</w:t>
            </w:r>
          </w:p>
        </w:tc>
        <w:tc>
          <w:tcPr/>
          <w:p>
            <w:pPr>
              <w:pStyle w:val="Compact"/>
              <w:jc w:val="center"/>
            </w:pPr>
            <w:r>
              <w:t xml:space="preserve">0.064</w:t>
            </w:r>
          </w:p>
        </w:tc>
        <w:tc>
          <w:tcPr/>
          <w:p>
            <w:pPr>
              <w:pStyle w:val="Compact"/>
              <w:jc w:val="center"/>
            </w:pPr>
            <w:r>
              <w:t xml:space="preserve">0.393</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AI patent share</w:t>
            </w:r>
          </w:p>
        </w:tc>
        <w:tc>
          <w:tcPr/>
          <w:p>
            <w:pPr>
              <w:pStyle w:val="Compact"/>
              <w:jc w:val="center"/>
            </w:pPr>
            <w:r>
              <w:t xml:space="preserve">65046</w:t>
            </w:r>
          </w:p>
        </w:tc>
        <w:tc>
          <w:tcPr/>
          <w:p>
            <w:pPr>
              <w:pStyle w:val="Compact"/>
              <w:jc w:val="center"/>
            </w:pPr>
            <w:r>
              <w:t xml:space="preserve">0.174</w:t>
            </w:r>
          </w:p>
        </w:tc>
        <w:tc>
          <w:tcPr/>
          <w:p>
            <w:pPr>
              <w:pStyle w:val="Compact"/>
              <w:jc w:val="center"/>
            </w:pPr>
            <w:r>
              <w:t xml:space="preserve">0.293</w:t>
            </w:r>
          </w:p>
        </w:tc>
        <w:tc>
          <w:tcPr/>
          <w:p>
            <w:pPr>
              <w:pStyle w:val="Compact"/>
              <w:jc w:val="center"/>
            </w:pPr>
            <w:r>
              <w:t xml:space="preserve">0.000</w:t>
            </w:r>
          </w:p>
        </w:tc>
        <w:tc>
          <w:tcPr/>
          <w:p>
            <w:pPr>
              <w:pStyle w:val="Compact"/>
              <w:jc w:val="center"/>
            </w:pPr>
            <w:r>
              <w:t xml:space="preserve">0.016</w:t>
            </w:r>
          </w:p>
        </w:tc>
        <w:tc>
          <w:tcPr/>
          <w:p>
            <w:pPr>
              <w:pStyle w:val="Compact"/>
              <w:jc w:val="center"/>
            </w:pPr>
            <w:r>
              <w:t xml:space="preserve">0.200</w:t>
            </w:r>
          </w:p>
        </w:tc>
      </w:tr>
      <w:tr>
        <w:tc>
          <w:tcPr/>
          <w:p>
            <w:pPr>
              <w:pStyle w:val="Compact"/>
              <w:jc w:val="left"/>
            </w:pPr>
            <w:r>
              <w:t xml:space="preserve">Robotics patent share</w:t>
            </w:r>
          </w:p>
        </w:tc>
        <w:tc>
          <w:tcPr/>
          <w:p>
            <w:pPr>
              <w:pStyle w:val="Compact"/>
              <w:jc w:val="center"/>
            </w:pPr>
            <w:r>
              <w:t xml:space="preserve">65046</w:t>
            </w:r>
          </w:p>
        </w:tc>
        <w:tc>
          <w:tcPr/>
          <w:p>
            <w:pPr>
              <w:pStyle w:val="Compact"/>
              <w:jc w:val="center"/>
            </w:pPr>
            <w:r>
              <w:t xml:space="preserve">0.002</w:t>
            </w:r>
          </w:p>
        </w:tc>
        <w:tc>
          <w:tcPr/>
          <w:p>
            <w:pPr>
              <w:pStyle w:val="Compact"/>
              <w:jc w:val="center"/>
            </w:pPr>
            <w:r>
              <w:t xml:space="preserve">0.027</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ln(Assets)</w:t>
            </w:r>
          </w:p>
        </w:tc>
        <w:tc>
          <w:tcPr/>
          <w:p>
            <w:pPr>
              <w:pStyle w:val="Compact"/>
              <w:jc w:val="center"/>
            </w:pPr>
            <w:r>
              <w:t xml:space="preserve">83782</w:t>
            </w:r>
          </w:p>
        </w:tc>
        <w:tc>
          <w:tcPr/>
          <w:p>
            <w:pPr>
              <w:pStyle w:val="Compact"/>
              <w:jc w:val="center"/>
            </w:pPr>
            <w:r>
              <w:t xml:space="preserve">6.243</w:t>
            </w:r>
          </w:p>
        </w:tc>
        <w:tc>
          <w:tcPr/>
          <w:p>
            <w:pPr>
              <w:pStyle w:val="Compact"/>
              <w:jc w:val="center"/>
            </w:pPr>
            <w:r>
              <w:t xml:space="preserve">2.539</w:t>
            </w:r>
          </w:p>
        </w:tc>
        <w:tc>
          <w:tcPr/>
          <w:p>
            <w:pPr>
              <w:pStyle w:val="Compact"/>
              <w:jc w:val="center"/>
            </w:pPr>
            <w:r>
              <w:t xml:space="preserve">4.336</w:t>
            </w:r>
          </w:p>
        </w:tc>
        <w:tc>
          <w:tcPr/>
          <w:p>
            <w:pPr>
              <w:pStyle w:val="Compact"/>
              <w:jc w:val="center"/>
            </w:pPr>
            <w:r>
              <w:t xml:space="preserve">5.997</w:t>
            </w:r>
          </w:p>
        </w:tc>
        <w:tc>
          <w:tcPr/>
          <w:p>
            <w:pPr>
              <w:pStyle w:val="Compact"/>
              <w:jc w:val="center"/>
            </w:pPr>
            <w:r>
              <w:t xml:space="preserve">7.944</w:t>
            </w:r>
          </w:p>
        </w:tc>
      </w:tr>
    </w:tbl>
    <w:bookmarkEnd w:id="32"/>
    <w:p>
      <w:pPr>
        <w:pStyle w:val="BodyText"/>
      </w:pPr>
      <w:r>
        <w:rPr>
          <w:i/>
          <w:iCs/>
        </w:rPr>
        <w:t xml:space="preserve">Notes:</w:t>
      </w:r>
      <w:r>
        <w:t xml:space="preserve"> </w:t>
      </w:r>
      <w:r>
        <w:t xml:space="preserve">Firm-year panel of publicly-traded patenting firms,</w:t>
      </w:r>
      <w:r>
        <w:t xml:space="preserve"> </w:t>
      </w:r>
      <w:r>
        <w:t xml:space="preserve">1995–2024 (7</w:t>
      </w:r>
      <w:r>
        <w:t xml:space="preserve">,</w:t>
      </w:r>
      <w:r>
        <w:t xml:space="preserve">087 firms, 83</w:t>
      </w:r>
      <w:r>
        <w:t xml:space="preserve">,</w:t>
      </w:r>
      <w:r>
        <w:t xml:space="preserve">976 firm-years). AI and robotics stocks are cumulative counts of</w:t>
      </w:r>
      <w:r>
        <w:t xml:space="preserve"> </w:t>
      </w:r>
      <w:r>
        <w:t xml:space="preserve">a firm’s AI-flagged (USPTO AIPD) and B25J robotics patents;</w:t>
      </w:r>
      <w:r>
        <w:t xml:space="preserve"> </w:t>
      </w:r>
      <m:oMath>
        <m:r>
          <m:rPr>
            <m:sty m:val="p"/>
          </m:rPr>
          <m:t>ln</m:t>
        </m:r>
        <m:r>
          <m:rPr>
            <m:sty m:val="p"/>
          </m:rPr>
          <m:t>(</m:t>
        </m:r>
        <m:r>
          <m:t>1</m:t>
        </m:r>
        <m:r>
          <m:rPr>
            <m:sty m:val="p"/>
          </m:rPr>
          <m:t>+</m:t>
        </m:r>
        <m:r>
          <m:rPr>
            <m:sty m:val="p"/>
          </m:rPr>
          <m:t>⋅</m:t>
        </m:r>
        <m:r>
          <m:rPr>
            <m:sty m:val="p"/>
          </m:rPr>
          <m:t>)</m:t>
        </m:r>
      </m:oMath>
      <w:r>
        <w:t xml:space="preserve"> </w:t>
      </w:r>
      <w:r>
        <w:t xml:space="preserve">transforms handle</w:t>
      </w:r>
      <w:r>
        <w:t xml:space="preserve"> </w:t>
      </w:r>
      <w:r>
        <w:t xml:space="preserve">zero-stock firm-years. Outcomes from WRDS Compustat.</w:t>
      </w:r>
    </w:p>
    <w:bookmarkStart w:id="33" w:name="tab:fe"/>
    <w:p>
      <w:pPr>
        <w:pStyle w:val="TableCaption"/>
      </w:pPr>
      <w:r>
        <w:t xml:space="preserve">Cognitive vs. physical automation and firm outcomes (two-way FE)</w:t>
      </w:r>
    </w:p>
    <w:tbl>
      <w:tblPr>
        <w:tblStyle w:val="Table"/>
        <w:tblW w:type="auto" w:w="0"/>
        <w:tblLook w:firstRow="1" w:lastRow="0" w:firstColumn="0" w:lastColumn="0" w:noHBand="0" w:noVBand="0" w:val="0020"/>
        <w:tblCaption w:val="Cognitive vs. physical automation and firm outcomes (two-way FE)"/>
      </w:tblPr>
      <w:tblGrid>
        <w:gridCol w:w="1584"/>
        <w:gridCol w:w="1584"/>
        <w:gridCol w:w="1584"/>
        <w:gridCol w:w="1584"/>
        <w:gridCol w:w="1584"/>
      </w:tblGrid>
      <w:tr>
        <w:trPr>
          <w:tblHeader w:val="on"/>
        </w:trPr>
        <w:tc>
          <w:tcPr/>
          <w:p>
            <w:pPr>
              <w:pStyle w:val="Compact"/>
            </w:pPr>
          </w:p>
        </w:tc>
        <w:tc>
          <w:tcPr/>
          <w:p>
            <w:pPr>
              <w:pStyle w:val="Compact"/>
              <w:jc w:val="center"/>
            </w:pPr>
            <w:r>
              <w:t xml:space="preserve">ln(Employment)</w:t>
            </w:r>
          </w:p>
        </w:tc>
        <w:tc>
          <w:tcPr/>
          <w:p>
            <w:pPr>
              <w:pStyle w:val="Compact"/>
              <w:jc w:val="center"/>
            </w:pPr>
            <w:r>
              <w:t xml:space="preserve">ln(Sales/Emp)</w:t>
            </w:r>
          </w:p>
        </w:tc>
        <w:tc>
          <w:tcPr/>
          <w:p>
            <w:pPr>
              <w:pStyle w:val="Compact"/>
              <w:jc w:val="center"/>
            </w:pPr>
            <w:r>
              <w:t xml:space="preserve">ROA</w:t>
            </w:r>
          </w:p>
        </w:tc>
        <w:tc>
          <w:tcPr/>
          <w:p>
            <w:pPr>
              <w:pStyle w:val="Compact"/>
              <w:jc w:val="center"/>
            </w:pPr>
            <w:r>
              <w:t xml:space="preserve">Tobin’s Q</w:t>
            </w:r>
          </w:p>
        </w:tc>
      </w:tr>
      <w:tr>
        <w:tc>
          <w:tcPr/>
          <w:p>
            <w:pPr>
              <w:pStyle w:val="Compact"/>
              <w:jc w:val="left"/>
            </w:pPr>
            <w:r>
              <w:t xml:space="preserve">2-5</w:t>
            </w:r>
            <w:r>
              <w:t xml:space="preserve"> </w:t>
            </w:r>
            <w:r>
              <w:t xml:space="preserve">ln(1+AI patent stock)</w:t>
            </w:r>
          </w:p>
        </w:tc>
        <w:tc>
          <w:tcPr/>
          <w:p>
            <w:pPr>
              <w:pStyle w:val="Compact"/>
              <w:jc w:val="center"/>
            </w:pPr>
            <w:r>
              <w:t xml:space="preserve">0.0545***</w:t>
            </w:r>
          </w:p>
        </w:tc>
        <w:tc>
          <w:tcPr/>
          <w:p>
            <w:pPr>
              <w:pStyle w:val="Compact"/>
              <w:jc w:val="center"/>
            </w:pPr>
            <w:r>
              <w:t xml:space="preserve">-0.0283***</w:t>
            </w:r>
          </w:p>
        </w:tc>
        <w:tc>
          <w:tcPr/>
          <w:p>
            <w:pPr>
              <w:pStyle w:val="Compact"/>
              <w:jc w:val="center"/>
            </w:pPr>
            <w:r>
              <w:t xml:space="preserve">-0.0139***</w:t>
            </w:r>
          </w:p>
        </w:tc>
        <w:tc>
          <w:tcPr/>
          <w:p>
            <w:pPr>
              <w:pStyle w:val="Compact"/>
              <w:jc w:val="center"/>
            </w:pPr>
            <w:r>
              <w:t xml:space="preserve">-0.2749***</w:t>
            </w:r>
          </w:p>
        </w:tc>
      </w:tr>
      <w:tr>
        <w:tc>
          <w:tcPr/>
          <w:p>
            <w:pPr>
              <w:pStyle w:val="Compact"/>
            </w:pPr>
          </w:p>
        </w:tc>
        <w:tc>
          <w:tcPr/>
          <w:p>
            <w:pPr>
              <w:pStyle w:val="Compact"/>
              <w:jc w:val="center"/>
            </w:pPr>
            <w:r>
              <w:t xml:space="preserve">(7.47)</w:t>
            </w:r>
          </w:p>
        </w:tc>
        <w:tc>
          <w:tcPr/>
          <w:p>
            <w:pPr>
              <w:pStyle w:val="Compact"/>
              <w:jc w:val="center"/>
            </w:pPr>
            <w:r>
              <w:t xml:space="preserve">(-4.00)</w:t>
            </w:r>
          </w:p>
        </w:tc>
        <w:tc>
          <w:tcPr/>
          <w:p>
            <w:pPr>
              <w:pStyle w:val="Compact"/>
              <w:jc w:val="center"/>
            </w:pPr>
            <w:r>
              <w:t xml:space="preserve">(-3.93)</w:t>
            </w:r>
          </w:p>
        </w:tc>
        <w:tc>
          <w:tcPr/>
          <w:p>
            <w:pPr>
              <w:pStyle w:val="Compact"/>
              <w:jc w:val="center"/>
            </w:pPr>
            <w:r>
              <w:t xml:space="preserve">(-6.26)</w:t>
            </w:r>
          </w:p>
        </w:tc>
      </w:tr>
      <w:tr>
        <w:tc>
          <w:tcPr/>
          <w:p>
            <w:pPr>
              <w:pStyle w:val="Compact"/>
              <w:jc w:val="left"/>
            </w:pPr>
            <w:r>
              <w:t xml:space="preserve">ln(1+Robotics stock)</w:t>
            </w:r>
          </w:p>
        </w:tc>
        <w:tc>
          <w:tcPr/>
          <w:p>
            <w:pPr>
              <w:pStyle w:val="Compact"/>
              <w:jc w:val="center"/>
            </w:pPr>
            <w:r>
              <w:t xml:space="preserve">-0.0135</w:t>
            </w:r>
          </w:p>
        </w:tc>
        <w:tc>
          <w:tcPr/>
          <w:p>
            <w:pPr>
              <w:pStyle w:val="Compact"/>
              <w:jc w:val="center"/>
            </w:pPr>
            <w:r>
              <w:t xml:space="preserve">-0.0372**</w:t>
            </w:r>
          </w:p>
        </w:tc>
        <w:tc>
          <w:tcPr/>
          <w:p>
            <w:pPr>
              <w:pStyle w:val="Compact"/>
              <w:jc w:val="center"/>
            </w:pPr>
            <w:r>
              <w:t xml:space="preserve">0.0088</w:t>
            </w:r>
          </w:p>
        </w:tc>
        <w:tc>
          <w:tcPr/>
          <w:p>
            <w:pPr>
              <w:pStyle w:val="Compact"/>
              <w:jc w:val="center"/>
            </w:pPr>
            <w:r>
              <w:t xml:space="preserve">0.3975***</w:t>
            </w:r>
          </w:p>
        </w:tc>
      </w:tr>
      <w:tr>
        <w:tc>
          <w:tcPr/>
          <w:p>
            <w:pPr>
              <w:pStyle w:val="Compact"/>
            </w:pPr>
          </w:p>
        </w:tc>
        <w:tc>
          <w:tcPr/>
          <w:p>
            <w:pPr>
              <w:pStyle w:val="Compact"/>
              <w:jc w:val="center"/>
            </w:pPr>
            <w:r>
              <w:t xml:space="preserve">(-0.68)</w:t>
            </w:r>
          </w:p>
        </w:tc>
        <w:tc>
          <w:tcPr/>
          <w:p>
            <w:pPr>
              <w:pStyle w:val="Compact"/>
              <w:jc w:val="center"/>
            </w:pPr>
            <w:r>
              <w:t xml:space="preserve">(-2.38)</w:t>
            </w:r>
          </w:p>
        </w:tc>
        <w:tc>
          <w:tcPr/>
          <w:p>
            <w:pPr>
              <w:pStyle w:val="Compact"/>
              <w:jc w:val="center"/>
            </w:pPr>
            <w:r>
              <w:t xml:space="preserve">(1.01)</w:t>
            </w:r>
          </w:p>
        </w:tc>
        <w:tc>
          <w:tcPr/>
          <w:p>
            <w:pPr>
              <w:pStyle w:val="Compact"/>
              <w:jc w:val="center"/>
            </w:pPr>
            <w:r>
              <w:t xml:space="preserve">(4.97)</w:t>
            </w:r>
          </w:p>
        </w:tc>
      </w:tr>
      <w:tr>
        <w:tc>
          <w:tcPr/>
          <w:p>
            <w:pPr>
              <w:pStyle w:val="Compact"/>
              <w:jc w:val="left"/>
            </w:pPr>
            <w:r>
              <w:t xml:space="preserve">ln(Assets)</w:t>
            </w:r>
          </w:p>
        </w:tc>
        <w:tc>
          <w:tcPr/>
          <w:p>
            <w:pPr>
              <w:pStyle w:val="Compact"/>
              <w:jc w:val="center"/>
            </w:pPr>
            <w:r>
              <w:t xml:space="preserve">0.6972***</w:t>
            </w:r>
          </w:p>
        </w:tc>
        <w:tc>
          <w:tcPr/>
          <w:p>
            <w:pPr>
              <w:pStyle w:val="Compact"/>
              <w:jc w:val="center"/>
            </w:pPr>
            <w:r>
              <w:t xml:space="preserve">0.1123***</w:t>
            </w:r>
          </w:p>
        </w:tc>
        <w:tc>
          <w:tcPr/>
          <w:p>
            <w:pPr>
              <w:pStyle w:val="Compact"/>
              <w:jc w:val="center"/>
            </w:pPr>
            <w:r>
              <w:t xml:space="preserve">0.1930***</w:t>
            </w:r>
          </w:p>
        </w:tc>
        <w:tc>
          <w:tcPr/>
          <w:p>
            <w:pPr>
              <w:pStyle w:val="Compact"/>
              <w:jc w:val="center"/>
            </w:pPr>
            <w:r>
              <w:t xml:space="preserve">-0.6771***</w:t>
            </w:r>
          </w:p>
        </w:tc>
      </w:tr>
      <w:tr>
        <w:tc>
          <w:tcPr/>
          <w:p>
            <w:pPr>
              <w:pStyle w:val="Compact"/>
            </w:pPr>
          </w:p>
        </w:tc>
        <w:tc>
          <w:tcPr/>
          <w:p>
            <w:pPr>
              <w:pStyle w:val="Compact"/>
              <w:jc w:val="center"/>
            </w:pPr>
            <w:r>
              <w:t xml:space="preserve">(73.39)</w:t>
            </w:r>
          </w:p>
        </w:tc>
        <w:tc>
          <w:tcPr/>
          <w:p>
            <w:pPr>
              <w:pStyle w:val="Compact"/>
              <w:jc w:val="center"/>
            </w:pPr>
            <w:r>
              <w:t xml:space="preserve">(9.86)</w:t>
            </w:r>
          </w:p>
        </w:tc>
        <w:tc>
          <w:tcPr/>
          <w:p>
            <w:pPr>
              <w:pStyle w:val="Compact"/>
              <w:jc w:val="center"/>
            </w:pPr>
            <w:r>
              <w:t xml:space="preserve">(14.01)</w:t>
            </w:r>
          </w:p>
        </w:tc>
        <w:tc>
          <w:tcPr/>
          <w:p>
            <w:pPr>
              <w:pStyle w:val="Compact"/>
              <w:jc w:val="center"/>
            </w:pPr>
            <w:r>
              <w:t xml:space="preserve">(-11.46)</w:t>
            </w:r>
          </w:p>
        </w:tc>
      </w:tr>
      <w:tr>
        <w:tc>
          <w:tcPr/>
          <w:p>
            <w:pPr>
              <w:pStyle w:val="Compact"/>
              <w:jc w:val="left"/>
            </w:pPr>
            <w:r>
              <w:t xml:space="preserve">Firm &amp; Year FE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Observations</w:t>
            </w:r>
          </w:p>
        </w:tc>
        <w:tc>
          <w:tcPr/>
          <w:p>
            <w:pPr>
              <w:pStyle w:val="Compact"/>
              <w:jc w:val="center"/>
            </w:pPr>
            <w:r>
              <w:t xml:space="preserve">81832</w:t>
            </w:r>
          </w:p>
        </w:tc>
        <w:tc>
          <w:tcPr/>
          <w:p>
            <w:pPr>
              <w:pStyle w:val="Compact"/>
              <w:jc w:val="center"/>
            </w:pPr>
            <w:r>
              <w:t xml:space="preserve">79229</w:t>
            </w:r>
          </w:p>
        </w:tc>
        <w:tc>
          <w:tcPr/>
          <w:p>
            <w:pPr>
              <w:pStyle w:val="Compact"/>
              <w:jc w:val="center"/>
            </w:pPr>
            <w:r>
              <w:t xml:space="preserve">83726</w:t>
            </w:r>
          </w:p>
        </w:tc>
        <w:tc>
          <w:tcPr/>
          <w:p>
            <w:pPr>
              <w:pStyle w:val="Compact"/>
              <w:jc w:val="center"/>
            </w:pPr>
            <w:r>
              <w:t xml:space="preserve">83589</w:t>
            </w:r>
          </w:p>
        </w:tc>
      </w:tr>
      <w:tr>
        <w:tc>
          <w:tcPr/>
          <w:p>
            <w:pPr>
              <w:pStyle w:val="Compact"/>
              <w:jc w:val="left"/>
            </w:pPr>
            <w:r>
              <w:t xml:space="preserve">Within</w:t>
            </w:r>
            <w:r>
              <w:t xml:space="preserve"> </w:t>
            </w:r>
            <m:oMath>
              <m:sSup>
                <m:e>
                  <m:r>
                    <m:t>R</m:t>
                  </m:r>
                </m:e>
                <m:sup>
                  <m:r>
                    <m:t>2</m:t>
                  </m:r>
                </m:sup>
              </m:sSup>
            </m:oMath>
          </w:p>
        </w:tc>
        <w:tc>
          <w:tcPr/>
          <w:p>
            <w:pPr>
              <w:pStyle w:val="Compact"/>
              <w:jc w:val="center"/>
            </w:pPr>
            <w:r>
              <w:t xml:space="preserve">0.501</w:t>
            </w:r>
          </w:p>
        </w:tc>
        <w:tc>
          <w:tcPr/>
          <w:p>
            <w:pPr>
              <w:pStyle w:val="Compact"/>
              <w:jc w:val="center"/>
            </w:pPr>
            <w:r>
              <w:t xml:space="preserve">0.051</w:t>
            </w:r>
          </w:p>
        </w:tc>
        <w:tc>
          <w:tcPr/>
          <w:p>
            <w:pPr>
              <w:pStyle w:val="Compact"/>
              <w:jc w:val="center"/>
            </w:pPr>
            <w:r>
              <w:t xml:space="preserve">0.017</w:t>
            </w:r>
          </w:p>
        </w:tc>
        <w:tc>
          <w:tcPr/>
          <w:p>
            <w:pPr>
              <w:pStyle w:val="Compact"/>
              <w:jc w:val="center"/>
            </w:pPr>
            <w:r>
              <w:t xml:space="preserve">0.025</w:t>
            </w:r>
          </w:p>
        </w:tc>
      </w:tr>
    </w:tbl>
    <w:bookmarkEnd w:id="33"/>
    <w:p>
      <w:pPr>
        <w:pStyle w:val="BodyText"/>
      </w:pPr>
      <w:r>
        <w:rPr>
          <w:i/>
          <w:iCs/>
        </w:rPr>
        <w:t xml:space="preserve">Notes:</w:t>
      </w:r>
      <w:r>
        <w:t xml:space="preserve"> </w:t>
      </w:r>
      <w:r>
        <w:t xml:space="preserve">Estimates of equation </w:t>
      </w:r>
      <w:hyperlink w:anchor="eq:fe">
        <w:r>
          <w:rPr>
            <w:rStyle w:val="Hyperlink"/>
          </w:rPr>
          <w:t xml:space="preserve">[eq:fe]</w:t>
        </w:r>
      </w:hyperlink>
      <w:r>
        <w:t xml:space="preserve">. Firm-year</w:t>
      </w:r>
      <w:r>
        <w:t xml:space="preserve"> </w:t>
      </w:r>
      <w:r>
        <w:t xml:space="preserve">panel, 1995–2024. All columns include firm and year fixed effects;</w:t>
      </w:r>
      <w:r>
        <w:t xml:space="preserve"> </w:t>
      </w:r>
      <m:oMath>
        <m:r>
          <m:t>t</m:t>
        </m:r>
      </m:oMath>
      <w:r>
        <w:t xml:space="preserve">-statistics (clustered by</w:t>
      </w:r>
      <w:r>
        <w:t xml:space="preserve"> </w:t>
      </w:r>
      <w:r>
        <w:t xml:space="preserve">firm) in parentheses. AI-patent stock loads on employment; robotics-patent stock loads on Tobin’s</w:t>
      </w:r>
      <w:r>
        <w:t xml:space="preserve"> </w:t>
      </w:r>
      <w:r>
        <w:t xml:space="preserve">Q.</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4" w:name="tab:eventstudy"/>
    <w:p>
      <w:pPr>
        <w:pStyle w:val="TableCaption"/>
      </w:pPr>
      <w:r>
        <w:t xml:space="preserve">Event study: firm outcomes around the first AI patent</w:t>
      </w:r>
    </w:p>
    <w:tbl>
      <w:tblPr>
        <w:tblStyle w:val="Table"/>
        <w:tblW w:type="auto" w:w="0"/>
        <w:tblLook w:firstRow="1" w:lastRow="0" w:firstColumn="0" w:lastColumn="0" w:noHBand="0" w:noVBand="0" w:val="0020"/>
        <w:tblCaption w:val="Event study: firm outcomes around the first AI patent"/>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ln(Employment)</w:t>
            </w:r>
          </w:p>
        </w:tc>
        <w:tc>
          <w:tcPr>
            <w:gridSpan w:val="2"/>
          </w:tcPr>
          <w:p>
            <w:pPr>
              <w:pStyle w:val="Compact"/>
              <w:jc w:val="center"/>
            </w:pPr>
            <w:r>
              <w:t xml:space="preserve">ln(Sales/Emp)</w:t>
            </w:r>
          </w:p>
        </w:tc>
      </w:tr>
      <w:tr>
        <w:tc>
          <w:tcPr/>
          <w:p>
            <w:pPr>
              <w:pStyle w:val="Compact"/>
              <w:jc w:val="left"/>
            </w:pPr>
            <w:r>
              <w:t xml:space="preserve">2-3</w:t>
            </w:r>
            <w:r>
              <w:t xml:space="preserve">(lr)</w:t>
            </w:r>
            <w:r>
              <w:t xml:space="preserve">4-5</w:t>
            </w:r>
            <w:r>
              <w:t xml:space="preserve"> </w:t>
            </w:r>
            <w:r>
              <w:t xml:space="preserve">Event time</w:t>
            </w:r>
            <w:r>
              <w:t xml:space="preserve"> </w:t>
            </w:r>
            <m:oMath>
              <m:r>
                <m:t>k</m:t>
              </m:r>
            </m:oMath>
          </w:p>
        </w:tc>
        <w:tc>
          <w:tcPr/>
          <w:p>
            <w:pPr>
              <w:pStyle w:val="Compact"/>
              <w:jc w:val="center"/>
            </w:pPr>
            <w:r>
              <w:t xml:space="preserve">Coef.</w:t>
            </w:r>
          </w:p>
        </w:tc>
        <w:tc>
          <w:tcPr/>
          <w:p>
            <w:pPr>
              <w:pStyle w:val="Compact"/>
              <w:jc w:val="center"/>
            </w:pPr>
            <m:oMath>
              <m:r>
                <m:t>t</m:t>
              </m:r>
            </m:oMath>
            <w:r>
              <w:t xml:space="preserve">-stat</w:t>
            </w:r>
          </w:p>
        </w:tc>
        <w:tc>
          <w:tcPr/>
          <w:p>
            <w:pPr>
              <w:pStyle w:val="Compact"/>
              <w:jc w:val="center"/>
            </w:pPr>
            <w:r>
              <w:t xml:space="preserve">Coef.</w:t>
            </w:r>
          </w:p>
        </w:tc>
        <w:tc>
          <w:tcPr/>
          <w:p>
            <w:pPr>
              <w:pStyle w:val="Compact"/>
              <w:jc w:val="center"/>
            </w:pPr>
            <m:oMath>
              <m:r>
                <m:t>t</m:t>
              </m:r>
            </m:oMath>
            <w:r>
              <w:t xml:space="preserve">-stat</w:t>
            </w:r>
          </w:p>
        </w:tc>
      </w:tr>
      <w:tr>
        <w:tc>
          <w:tcPr/>
          <w:p>
            <w:pPr>
              <w:pStyle w:val="Compact"/>
              <w:jc w:val="left"/>
            </w:pPr>
            <m:oMath>
              <m:r>
                <m:t>k</m:t>
              </m:r>
              <m:r>
                <m:rPr>
                  <m:sty m:val="p"/>
                </m:rPr>
                <m:t>=</m:t>
              </m:r>
              <m:r>
                <m:rPr>
                  <m:sty m:val="p"/>
                </m:rPr>
                <m:t>−</m:t>
              </m:r>
              <m:r>
                <m:t>5</m:t>
              </m:r>
            </m:oMath>
          </w:p>
        </w:tc>
        <w:tc>
          <w:tcPr/>
          <w:p>
            <w:pPr>
              <w:pStyle w:val="Compact"/>
              <w:jc w:val="center"/>
            </w:pPr>
            <w:r>
              <w:t xml:space="preserve">-0.0727</w:t>
            </w:r>
          </w:p>
        </w:tc>
        <w:tc>
          <w:tcPr/>
          <w:p>
            <w:pPr>
              <w:pStyle w:val="Compact"/>
              <w:jc w:val="center"/>
            </w:pPr>
            <w:r>
              <w:t xml:space="preserve">(-1.62)</w:t>
            </w:r>
          </w:p>
        </w:tc>
        <w:tc>
          <w:tcPr/>
          <w:p>
            <w:pPr>
              <w:pStyle w:val="Compact"/>
              <w:jc w:val="center"/>
            </w:pPr>
            <w:r>
              <w:t xml:space="preserve">-0.0222</w:t>
            </w:r>
          </w:p>
        </w:tc>
        <w:tc>
          <w:tcPr/>
          <w:p>
            <w:pPr>
              <w:pStyle w:val="Compact"/>
              <w:jc w:val="center"/>
            </w:pPr>
            <w:r>
              <w:t xml:space="preserve">(-0.67)</w:t>
            </w:r>
          </w:p>
        </w:tc>
      </w:tr>
      <w:tr>
        <w:tc>
          <w:tcPr/>
          <w:p>
            <w:pPr>
              <w:pStyle w:val="Compact"/>
              <w:jc w:val="left"/>
            </w:pPr>
            <m:oMath>
              <m:r>
                <m:t>k</m:t>
              </m:r>
              <m:r>
                <m:rPr>
                  <m:sty m:val="p"/>
                </m:rPr>
                <m:t>=</m:t>
              </m:r>
              <m:r>
                <m:rPr>
                  <m:sty m:val="p"/>
                </m:rPr>
                <m:t>−</m:t>
              </m:r>
              <m:r>
                <m:t>4</m:t>
              </m:r>
            </m:oMath>
          </w:p>
        </w:tc>
        <w:tc>
          <w:tcPr/>
          <w:p>
            <w:pPr>
              <w:pStyle w:val="Compact"/>
              <w:jc w:val="center"/>
            </w:pPr>
            <w:r>
              <w:t xml:space="preserve">-0.0388</w:t>
            </w:r>
          </w:p>
        </w:tc>
        <w:tc>
          <w:tcPr/>
          <w:p>
            <w:pPr>
              <w:pStyle w:val="Compact"/>
              <w:jc w:val="center"/>
            </w:pPr>
            <w:r>
              <w:t xml:space="preserve">(-1.32)</w:t>
            </w:r>
          </w:p>
        </w:tc>
        <w:tc>
          <w:tcPr/>
          <w:p>
            <w:pPr>
              <w:pStyle w:val="Compact"/>
              <w:jc w:val="center"/>
            </w:pPr>
            <w:r>
              <w:t xml:space="preserve">-0.0151</w:t>
            </w:r>
          </w:p>
        </w:tc>
        <w:tc>
          <w:tcPr/>
          <w:p>
            <w:pPr>
              <w:pStyle w:val="Compact"/>
              <w:jc w:val="center"/>
            </w:pPr>
            <w:r>
              <w:t xml:space="preserve">(-0.59)</w:t>
            </w:r>
          </w:p>
        </w:tc>
      </w:tr>
      <w:tr>
        <w:tc>
          <w:tcPr/>
          <w:p>
            <w:pPr>
              <w:pStyle w:val="Compact"/>
              <w:jc w:val="left"/>
            </w:pPr>
            <m:oMath>
              <m:r>
                <m:t>k</m:t>
              </m:r>
              <m:r>
                <m:rPr>
                  <m:sty m:val="p"/>
                </m:rPr>
                <m:t>=</m:t>
              </m:r>
              <m:r>
                <m:rPr>
                  <m:sty m:val="p"/>
                </m:rPr>
                <m:t>−</m:t>
              </m:r>
              <m:r>
                <m:t>3</m:t>
              </m:r>
            </m:oMath>
          </w:p>
        </w:tc>
        <w:tc>
          <w:tcPr/>
          <w:p>
            <w:pPr>
              <w:pStyle w:val="Compact"/>
              <w:jc w:val="center"/>
            </w:pPr>
            <w:r>
              <w:t xml:space="preserve">-0.0215</w:t>
            </w:r>
          </w:p>
        </w:tc>
        <w:tc>
          <w:tcPr/>
          <w:p>
            <w:pPr>
              <w:pStyle w:val="Compact"/>
              <w:jc w:val="center"/>
            </w:pPr>
            <w:r>
              <w:t xml:space="preserve">(-0.97)</w:t>
            </w:r>
          </w:p>
        </w:tc>
        <w:tc>
          <w:tcPr/>
          <w:p>
            <w:pPr>
              <w:pStyle w:val="Compact"/>
              <w:jc w:val="center"/>
            </w:pPr>
            <w:r>
              <w:t xml:space="preserve">-0.0308</w:t>
            </w:r>
          </w:p>
        </w:tc>
        <w:tc>
          <w:tcPr/>
          <w:p>
            <w:pPr>
              <w:pStyle w:val="Compact"/>
              <w:jc w:val="center"/>
            </w:pPr>
            <w:r>
              <w:t xml:space="preserve">(-1.25)</w:t>
            </w:r>
          </w:p>
        </w:tc>
      </w:tr>
      <w:tr>
        <w:tc>
          <w:tcPr/>
          <w:p>
            <w:pPr>
              <w:pStyle w:val="Compact"/>
              <w:jc w:val="left"/>
            </w:pPr>
            <m:oMath>
              <m:r>
                <m:t>k</m:t>
              </m:r>
              <m:r>
                <m:rPr>
                  <m:sty m:val="p"/>
                </m:rPr>
                <m:t>=</m:t>
              </m:r>
              <m:r>
                <m:rPr>
                  <m:sty m:val="p"/>
                </m:rPr>
                <m:t>−</m:t>
              </m:r>
              <m:r>
                <m:t>2</m:t>
              </m:r>
            </m:oMath>
          </w:p>
        </w:tc>
        <w:tc>
          <w:tcPr/>
          <w:p>
            <w:pPr>
              <w:pStyle w:val="Compact"/>
              <w:jc w:val="center"/>
            </w:pPr>
            <w:r>
              <w:t xml:space="preserve">+0.0147</w:t>
            </w:r>
          </w:p>
        </w:tc>
        <w:tc>
          <w:tcPr/>
          <w:p>
            <w:pPr>
              <w:pStyle w:val="Compact"/>
              <w:jc w:val="center"/>
            </w:pPr>
            <w:r>
              <w:t xml:space="preserve">(+0.99)</w:t>
            </w:r>
          </w:p>
        </w:tc>
        <w:tc>
          <w:tcPr/>
          <w:p>
            <w:pPr>
              <w:pStyle w:val="Compact"/>
              <w:jc w:val="center"/>
            </w:pPr>
            <w:r>
              <w:t xml:space="preserve">-0.0073</w:t>
            </w:r>
          </w:p>
        </w:tc>
        <w:tc>
          <w:tcPr/>
          <w:p>
            <w:pPr>
              <w:pStyle w:val="Compact"/>
              <w:jc w:val="center"/>
            </w:pPr>
            <w:r>
              <w:t xml:space="preserve">(-0.43)</w:t>
            </w:r>
          </w:p>
        </w:tc>
      </w:tr>
      <w:tr>
        <w:tc>
          <w:tcPr/>
          <w:p>
            <w:pPr>
              <w:pStyle w:val="Compact"/>
              <w:jc w:val="left"/>
            </w:pPr>
            <m:oMath>
              <m:r>
                <m:t>k</m:t>
              </m:r>
              <m:r>
                <m:rPr>
                  <m:sty m:val="p"/>
                </m:rPr>
                <m:t>=</m:t>
              </m:r>
              <m:r>
                <m:rPr>
                  <m:sty m:val="p"/>
                </m:rPr>
                <m:t>−</m:t>
              </m:r>
              <m:r>
                <m:t>1</m:t>
              </m:r>
            </m:oMath>
            <w:r>
              <w:t xml:space="preserve"> </w:t>
            </w:r>
            <w:r>
              <w:t xml:space="preserve">(base)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m:oMath>
              <m:r>
                <m:t>k</m:t>
              </m:r>
              <m:r>
                <m:rPr>
                  <m:sty m:val="p"/>
                </m:rPr>
                <m:t>=</m:t>
              </m:r>
              <m:r>
                <m:rPr>
                  <m:sty m:val="p"/>
                </m:rPr>
                <m:t>+</m:t>
              </m:r>
              <m:r>
                <m:t>0</m:t>
              </m:r>
            </m:oMath>
          </w:p>
        </w:tc>
        <w:tc>
          <w:tcPr/>
          <w:p>
            <w:pPr>
              <w:pStyle w:val="Compact"/>
              <w:jc w:val="center"/>
            </w:pPr>
            <w:r>
              <w:t xml:space="preserve">+0.0263*</w:t>
            </w:r>
          </w:p>
        </w:tc>
        <w:tc>
          <w:tcPr/>
          <w:p>
            <w:pPr>
              <w:pStyle w:val="Compact"/>
              <w:jc w:val="center"/>
            </w:pPr>
            <w:r>
              <w:t xml:space="preserve">(+1.86)</w:t>
            </w:r>
          </w:p>
        </w:tc>
        <w:tc>
          <w:tcPr/>
          <w:p>
            <w:pPr>
              <w:pStyle w:val="Compact"/>
              <w:jc w:val="center"/>
            </w:pPr>
            <w:r>
              <w:t xml:space="preserve">+0.0172</w:t>
            </w:r>
          </w:p>
        </w:tc>
        <w:tc>
          <w:tcPr/>
          <w:p>
            <w:pPr>
              <w:pStyle w:val="Compact"/>
              <w:jc w:val="center"/>
            </w:pPr>
            <w:r>
              <w:t xml:space="preserve">(+1.09)</w:t>
            </w:r>
          </w:p>
        </w:tc>
      </w:tr>
      <w:tr>
        <w:tc>
          <w:tcPr/>
          <w:p>
            <w:pPr>
              <w:pStyle w:val="Compact"/>
              <w:jc w:val="left"/>
            </w:pPr>
            <m:oMath>
              <m:r>
                <m:t>k</m:t>
              </m:r>
              <m:r>
                <m:rPr>
                  <m:sty m:val="p"/>
                </m:rPr>
                <m:t>=</m:t>
              </m:r>
              <m:r>
                <m:rPr>
                  <m:sty m:val="p"/>
                </m:rPr>
                <m:t>+</m:t>
              </m:r>
              <m:r>
                <m:t>1</m:t>
              </m:r>
            </m:oMath>
          </w:p>
        </w:tc>
        <w:tc>
          <w:tcPr/>
          <w:p>
            <w:pPr>
              <w:pStyle w:val="Compact"/>
              <w:jc w:val="center"/>
            </w:pPr>
            <w:r>
              <w:t xml:space="preserve">+0.0614***</w:t>
            </w:r>
          </w:p>
        </w:tc>
        <w:tc>
          <w:tcPr/>
          <w:p>
            <w:pPr>
              <w:pStyle w:val="Compact"/>
              <w:jc w:val="center"/>
            </w:pPr>
            <w:r>
              <w:t xml:space="preserve">(+3.16)</w:t>
            </w:r>
          </w:p>
        </w:tc>
        <w:tc>
          <w:tcPr/>
          <w:p>
            <w:pPr>
              <w:pStyle w:val="Compact"/>
              <w:jc w:val="center"/>
            </w:pPr>
            <w:r>
              <w:t xml:space="preserve">+0.0315</w:t>
            </w:r>
          </w:p>
        </w:tc>
        <w:tc>
          <w:tcPr/>
          <w:p>
            <w:pPr>
              <w:pStyle w:val="Compact"/>
              <w:jc w:val="center"/>
            </w:pPr>
            <w:r>
              <w:t xml:space="preserve">(+1.61)</w:t>
            </w:r>
          </w:p>
        </w:tc>
      </w:tr>
      <w:tr>
        <w:tc>
          <w:tcPr/>
          <w:p>
            <w:pPr>
              <w:pStyle w:val="Compact"/>
              <w:jc w:val="left"/>
            </w:pPr>
            <m:oMath>
              <m:r>
                <m:t>k</m:t>
              </m:r>
              <m:r>
                <m:rPr>
                  <m:sty m:val="p"/>
                </m:rPr>
                <m:t>=</m:t>
              </m:r>
              <m:r>
                <m:rPr>
                  <m:sty m:val="p"/>
                </m:rPr>
                <m:t>+</m:t>
              </m:r>
              <m:r>
                <m:t>2</m:t>
              </m:r>
            </m:oMath>
          </w:p>
        </w:tc>
        <w:tc>
          <w:tcPr/>
          <w:p>
            <w:pPr>
              <w:pStyle w:val="Compact"/>
              <w:jc w:val="center"/>
            </w:pPr>
            <w:r>
              <w:t xml:space="preserve">+0.0894***</w:t>
            </w:r>
          </w:p>
        </w:tc>
        <w:tc>
          <w:tcPr/>
          <w:p>
            <w:pPr>
              <w:pStyle w:val="Compact"/>
              <w:jc w:val="center"/>
            </w:pPr>
            <w:r>
              <w:t xml:space="preserve">(+3.64)</w:t>
            </w:r>
          </w:p>
        </w:tc>
        <w:tc>
          <w:tcPr/>
          <w:p>
            <w:pPr>
              <w:pStyle w:val="Compact"/>
              <w:jc w:val="center"/>
            </w:pPr>
            <w:r>
              <w:t xml:space="preserve">+0.0465*</w:t>
            </w:r>
          </w:p>
        </w:tc>
        <w:tc>
          <w:tcPr/>
          <w:p>
            <w:pPr>
              <w:pStyle w:val="Compact"/>
              <w:jc w:val="center"/>
            </w:pPr>
            <w:r>
              <w:t xml:space="preserve">(+1.95)</w:t>
            </w:r>
          </w:p>
        </w:tc>
      </w:tr>
      <w:tr>
        <w:tc>
          <w:tcPr/>
          <w:p>
            <w:pPr>
              <w:pStyle w:val="Compact"/>
              <w:jc w:val="left"/>
            </w:pPr>
            <m:oMath>
              <m:r>
                <m:t>k</m:t>
              </m:r>
              <m:r>
                <m:rPr>
                  <m:sty m:val="p"/>
                </m:rPr>
                <m:t>=</m:t>
              </m:r>
              <m:r>
                <m:rPr>
                  <m:sty m:val="p"/>
                </m:rPr>
                <m:t>+</m:t>
              </m:r>
              <m:r>
                <m:t>3</m:t>
              </m:r>
            </m:oMath>
          </w:p>
        </w:tc>
        <w:tc>
          <w:tcPr/>
          <w:p>
            <w:pPr>
              <w:pStyle w:val="Compact"/>
              <w:jc w:val="center"/>
            </w:pPr>
            <w:r>
              <w:t xml:space="preserve">+0.0955***</w:t>
            </w:r>
          </w:p>
        </w:tc>
        <w:tc>
          <w:tcPr/>
          <w:p>
            <w:pPr>
              <w:pStyle w:val="Compact"/>
              <w:jc w:val="center"/>
            </w:pPr>
            <w:r>
              <w:t xml:space="preserve">(+3.26)</w:t>
            </w:r>
          </w:p>
        </w:tc>
        <w:tc>
          <w:tcPr/>
          <w:p>
            <w:pPr>
              <w:pStyle w:val="Compact"/>
              <w:jc w:val="center"/>
            </w:pPr>
            <w:r>
              <w:t xml:space="preserve">+0.0617**</w:t>
            </w:r>
          </w:p>
        </w:tc>
        <w:tc>
          <w:tcPr/>
          <w:p>
            <w:pPr>
              <w:pStyle w:val="Compact"/>
              <w:jc w:val="center"/>
            </w:pPr>
            <w:r>
              <w:t xml:space="preserve">(+2.39)</w:t>
            </w:r>
          </w:p>
        </w:tc>
      </w:tr>
      <w:tr>
        <w:tc>
          <w:tcPr/>
          <w:p>
            <w:pPr>
              <w:pStyle w:val="Compact"/>
              <w:jc w:val="left"/>
            </w:pPr>
            <m:oMath>
              <m:r>
                <m:t>k</m:t>
              </m:r>
              <m:r>
                <m:rPr>
                  <m:sty m:val="p"/>
                </m:rPr>
                <m:t>=</m:t>
              </m:r>
              <m:r>
                <m:rPr>
                  <m:sty m:val="p"/>
                </m:rPr>
                <m:t>+</m:t>
              </m:r>
              <m:r>
                <m:t>4</m:t>
              </m:r>
            </m:oMath>
          </w:p>
        </w:tc>
        <w:tc>
          <w:tcPr/>
          <w:p>
            <w:pPr>
              <w:pStyle w:val="Compact"/>
              <w:jc w:val="center"/>
            </w:pPr>
            <w:r>
              <w:t xml:space="preserve">+0.1126***</w:t>
            </w:r>
          </w:p>
        </w:tc>
        <w:tc>
          <w:tcPr/>
          <w:p>
            <w:pPr>
              <w:pStyle w:val="Compact"/>
              <w:jc w:val="center"/>
            </w:pPr>
            <w:r>
              <w:t xml:space="preserve">(+3.32)</w:t>
            </w:r>
          </w:p>
        </w:tc>
        <w:tc>
          <w:tcPr/>
          <w:p>
            <w:pPr>
              <w:pStyle w:val="Compact"/>
              <w:jc w:val="center"/>
            </w:pPr>
            <w:r>
              <w:t xml:space="preserve">+0.0626**</w:t>
            </w:r>
          </w:p>
        </w:tc>
        <w:tc>
          <w:tcPr/>
          <w:p>
            <w:pPr>
              <w:pStyle w:val="Compact"/>
              <w:jc w:val="center"/>
            </w:pPr>
            <w:r>
              <w:t xml:space="preserve">(+2.13)</w:t>
            </w:r>
          </w:p>
        </w:tc>
      </w:tr>
      <w:tr>
        <w:tc>
          <w:tcPr/>
          <w:p>
            <w:pPr>
              <w:pStyle w:val="Compact"/>
              <w:jc w:val="left"/>
            </w:pPr>
            <m:oMath>
              <m:r>
                <m:t>k</m:t>
              </m:r>
              <m:r>
                <m:rPr>
                  <m:sty m:val="p"/>
                </m:rPr>
                <m:t>=</m:t>
              </m:r>
              <m:r>
                <m:rPr>
                  <m:sty m:val="p"/>
                </m:rPr>
                <m:t>+</m:t>
              </m:r>
              <m:r>
                <m:t>5</m:t>
              </m:r>
            </m:oMath>
          </w:p>
        </w:tc>
        <w:tc>
          <w:tcPr/>
          <w:p>
            <w:pPr>
              <w:pStyle w:val="Compact"/>
              <w:jc w:val="center"/>
            </w:pPr>
            <w:r>
              <w:t xml:space="preserve">+0.0640</w:t>
            </w:r>
          </w:p>
        </w:tc>
        <w:tc>
          <w:tcPr/>
          <w:p>
            <w:pPr>
              <w:pStyle w:val="Compact"/>
              <w:jc w:val="center"/>
            </w:pPr>
            <w:r>
              <w:t xml:space="preserve">(+1.36)</w:t>
            </w:r>
          </w:p>
        </w:tc>
        <w:tc>
          <w:tcPr/>
          <w:p>
            <w:pPr>
              <w:pStyle w:val="Compact"/>
              <w:jc w:val="center"/>
            </w:pPr>
            <w:r>
              <w:t xml:space="preserve">+0.0958***</w:t>
            </w:r>
          </w:p>
        </w:tc>
        <w:tc>
          <w:tcPr/>
          <w:p>
            <w:pPr>
              <w:pStyle w:val="Compact"/>
              <w:jc w:val="center"/>
            </w:pPr>
            <w:r>
              <w:t xml:space="preserve">(+2.60)</w:t>
            </w:r>
          </w:p>
        </w:tc>
      </w:tr>
    </w:tbl>
    <w:bookmarkEnd w:id="34"/>
    <w:p>
      <w:pPr>
        <w:pStyle w:val="BodyText"/>
      </w:pPr>
      <w:r>
        <w:rPr>
          <w:i/>
          <w:iCs/>
        </w:rPr>
        <w:t xml:space="preserve">Notes:</w:t>
      </w:r>
      <w:r>
        <w:t xml:space="preserve"> </w:t>
      </w:r>
      <w:r>
        <w:t xml:space="preserve">Relative-time coefficients from an event study</w:t>
      </w:r>
      <w:r>
        <w:t xml:space="preserve"> </w:t>
      </w:r>
      <w:r>
        <w:t xml:space="preserve">around a firm’s first AI patent (adopters with first AI year 2000–2020), base</w:t>
      </w:r>
      <w:r>
        <w:t xml:space="preserve"> </w:t>
      </w:r>
      <m:oMath>
        <m:r>
          <m:t>k</m:t>
        </m:r>
        <m:r>
          <m:rPr>
            <m:sty m:val="p"/>
          </m:rPr>
          <m:t>=</m:t>
        </m:r>
        <m:r>
          <m:rPr>
            <m:sty m:val="p"/>
          </m:rPr>
          <m:t>−</m:t>
        </m:r>
        <m:r>
          <m:t>1</m:t>
        </m:r>
      </m:oMath>
      <w:r>
        <w:t xml:space="preserve">, with firm</w:t>
      </w:r>
      <w:r>
        <w:t xml:space="preserve"> </w:t>
      </w:r>
      <w:r>
        <w:t xml:space="preserve">and year fixed effects and firm-clustered</w:t>
      </w:r>
      <w:r>
        <w:t xml:space="preserve"> </w:t>
      </w:r>
      <m:oMath>
        <m:r>
          <m:t>t</m:t>
        </m:r>
      </m:oMath>
      <w:r>
        <w:t xml:space="preserve">-statistics. Pre-adoption coefficients are flat;</w:t>
      </w:r>
      <w:r>
        <w:t xml:space="preserve"> </w:t>
      </w:r>
      <w:r>
        <w:t xml:space="preserve">post-adoption employment and productivity rise.</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5" w:name="tab:hetero"/>
    <w:p>
      <w:pPr>
        <w:pStyle w:val="TableCaption"/>
      </w:pPr>
      <w:r>
        <w:t xml:space="preserve">Heterogeneity of the headline elasticities by observable moderator</w:t>
      </w:r>
    </w:p>
    <w:tbl>
      <w:tblPr>
        <w:tblStyle w:val="Table"/>
        <w:tblW w:type="auto" w:w="0"/>
        <w:tblLook w:firstRow="1" w:lastRow="0" w:firstColumn="0" w:lastColumn="0" w:noHBand="0" w:noVBand="0" w:val="0020"/>
        <w:tblCaption w:val="Heterogeneity of the headline elasticities by observable moderator"/>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AI stock</w:t>
            </w:r>
            <w:r>
              <w:t xml:space="preserve"> </w:t>
            </w:r>
            <m:oMath>
              <m:r>
                <m:rPr>
                  <m:sty m:val="p"/>
                </m:rPr>
                <m:t>→</m:t>
              </m:r>
            </m:oMath>
            <w:r>
              <w:t xml:space="preserve"> </w:t>
            </w:r>
            <w:r>
              <w:t xml:space="preserve">ln(Emp.)</w:t>
            </w:r>
          </w:p>
        </w:tc>
        <w:tc>
          <w:tcPr>
            <w:gridSpan w:val="2"/>
          </w:tcPr>
          <w:p>
            <w:pPr>
              <w:pStyle w:val="Compact"/>
              <w:jc w:val="center"/>
            </w:pPr>
            <w:r>
              <w:t xml:space="preserve">Robotics stock</w:t>
            </w:r>
            <w:r>
              <w:t xml:space="preserve"> </w:t>
            </w:r>
            <m:oMath>
              <m:r>
                <m:rPr>
                  <m:sty m:val="p"/>
                </m:rPr>
                <m:t>→</m:t>
              </m:r>
            </m:oMath>
            <w:r>
              <w:t xml:space="preserve"> </w:t>
            </w:r>
            <w:r>
              <w:t xml:space="preserve">Q</w:t>
            </w:r>
          </w:p>
        </w:tc>
      </w:tr>
      <w:tr>
        <w:tc>
          <w:tcPr/>
          <w:p>
            <w:pPr>
              <w:pStyle w:val="Compact"/>
              <w:jc w:val="left"/>
            </w:pPr>
            <w:r>
              <w:t xml:space="preserve">2-3</w:t>
            </w:r>
            <w:r>
              <w:t xml:space="preserve">(lr)</w:t>
            </w:r>
            <w:r>
              <w:t xml:space="preserve">4-5</w:t>
            </w:r>
            <w:r>
              <w:t xml:space="preserve"> </w:t>
            </w:r>
            <w:r>
              <w:t xml:space="preserve">Moderator</w:t>
            </w:r>
            <w:r>
              <w:t xml:space="preserve"> </w:t>
            </w:r>
            <m:oMath>
              <m:r>
                <m:t>M</m:t>
              </m:r>
            </m:oMath>
          </w:p>
        </w:tc>
        <w:tc>
          <w:tcPr/>
          <w:p>
            <w:pPr>
              <w:pStyle w:val="Compact"/>
              <w:jc w:val="center"/>
            </w:pPr>
            <w:r>
              <w:t xml:space="preserve">Base</w:t>
            </w:r>
          </w:p>
        </w:tc>
        <w:tc>
          <w:tcPr/>
          <w:p>
            <w:pPr>
              <w:pStyle w:val="Compact"/>
              <w:jc w:val="center"/>
            </w:pPr>
            <m:oMath>
              <m:r>
                <m:rPr>
                  <m:sty m:val="p"/>
                </m:rPr>
                <m:t>×</m:t>
              </m:r>
              <m:r>
                <m:t>M</m:t>
              </m:r>
            </m:oMath>
          </w:p>
        </w:tc>
        <w:tc>
          <w:tcPr/>
          <w:p>
            <w:pPr>
              <w:pStyle w:val="Compact"/>
              <w:jc w:val="center"/>
            </w:pPr>
            <w:r>
              <w:t xml:space="preserve">Base</w:t>
            </w:r>
          </w:p>
        </w:tc>
        <w:tc>
          <w:tcPr/>
          <w:p>
            <w:pPr>
              <w:pStyle w:val="Compact"/>
              <w:jc w:val="center"/>
            </w:pPr>
            <m:oMath>
              <m:r>
                <m:rPr>
                  <m:sty m:val="p"/>
                </m:rPr>
                <m:t>×</m:t>
              </m:r>
              <m:r>
                <m:t>M</m:t>
              </m:r>
            </m:oMath>
          </w:p>
        </w:tc>
      </w:tr>
      <w:tr>
        <w:tc>
          <w:tcPr/>
          <w:p>
            <w:pPr>
              <w:pStyle w:val="Compact"/>
              <w:jc w:val="left"/>
            </w:pPr>
            <w:r>
              <w:t xml:space="preserve">Manufacturing (SIC 2000-3999)</w:t>
            </w:r>
          </w:p>
        </w:tc>
        <w:tc>
          <w:tcPr/>
          <w:p>
            <w:pPr>
              <w:pStyle w:val="Compact"/>
              <w:jc w:val="center"/>
            </w:pPr>
            <w:r>
              <w:t xml:space="preserve">+0.0604***</w:t>
            </w:r>
          </w:p>
        </w:tc>
        <w:tc>
          <w:tcPr/>
          <w:p>
            <w:pPr>
              <w:pStyle w:val="Compact"/>
              <w:jc w:val="center"/>
            </w:pPr>
            <w:r>
              <w:t xml:space="preserve">-0.0117</w:t>
            </w:r>
          </w:p>
        </w:tc>
        <w:tc>
          <w:tcPr/>
          <w:p>
            <w:pPr>
              <w:pStyle w:val="Compact"/>
              <w:jc w:val="center"/>
            </w:pPr>
            <w:r>
              <w:t xml:space="preserve">+0.212*</w:t>
            </w:r>
          </w:p>
        </w:tc>
        <w:tc>
          <w:tcPr/>
          <w:p>
            <w:pPr>
              <w:pStyle w:val="Compact"/>
              <w:jc w:val="center"/>
            </w:pPr>
            <w:r>
              <w:t xml:space="preserve">+0.249*</w:t>
            </w:r>
          </w:p>
        </w:tc>
      </w:tr>
      <w:tr>
        <w:tc>
          <w:tcPr/>
          <w:p>
            <w:pPr>
              <w:pStyle w:val="Compact"/>
              <w:jc w:val="left"/>
            </w:pPr>
            <w:r>
              <w:t xml:space="preserve">High-tech industry</w:t>
            </w:r>
          </w:p>
        </w:tc>
        <w:tc>
          <w:tcPr/>
          <w:p>
            <w:pPr>
              <w:pStyle w:val="Compact"/>
              <w:jc w:val="center"/>
            </w:pPr>
            <w:r>
              <w:t xml:space="preserve">+0.0294***</w:t>
            </w:r>
          </w:p>
        </w:tc>
        <w:tc>
          <w:tcPr/>
          <w:p>
            <w:pPr>
              <w:pStyle w:val="Compact"/>
              <w:jc w:val="center"/>
            </w:pPr>
            <w:r>
              <w:t xml:space="preserve">+0.0420***</w:t>
            </w:r>
          </w:p>
        </w:tc>
        <w:tc>
          <w:tcPr/>
          <w:p>
            <w:pPr>
              <w:pStyle w:val="Compact"/>
              <w:jc w:val="center"/>
            </w:pPr>
            <w:r>
              <w:t xml:space="preserve">+0.453***</w:t>
            </w:r>
          </w:p>
        </w:tc>
        <w:tc>
          <w:tcPr/>
          <w:p>
            <w:pPr>
              <w:pStyle w:val="Compact"/>
              <w:jc w:val="center"/>
            </w:pPr>
            <w:r>
              <w:t xml:space="preserve">-0.127</w:t>
            </w:r>
          </w:p>
        </w:tc>
      </w:tr>
      <w:tr>
        <w:tc>
          <w:tcPr/>
          <w:p>
            <w:pPr>
              <w:pStyle w:val="Compact"/>
              <w:jc w:val="left"/>
            </w:pPr>
            <w:r>
              <w:t xml:space="preserve">Large firm (above-median size)</w:t>
            </w:r>
          </w:p>
        </w:tc>
        <w:tc>
          <w:tcPr/>
          <w:p>
            <w:pPr>
              <w:pStyle w:val="Compact"/>
              <w:jc w:val="center"/>
            </w:pPr>
            <w:r>
              <w:t xml:space="preserve">+0.0628***</w:t>
            </w:r>
          </w:p>
        </w:tc>
        <w:tc>
          <w:tcPr/>
          <w:p>
            <w:pPr>
              <w:pStyle w:val="Compact"/>
              <w:jc w:val="center"/>
            </w:pPr>
            <w:r>
              <w:t xml:space="preserve">-0.0095</w:t>
            </w:r>
          </w:p>
        </w:tc>
        <w:tc>
          <w:tcPr/>
          <w:p>
            <w:pPr>
              <w:pStyle w:val="Compact"/>
              <w:jc w:val="center"/>
            </w:pPr>
            <w:r>
              <w:t xml:space="preserve">-0.434**</w:t>
            </w:r>
          </w:p>
        </w:tc>
        <w:tc>
          <w:tcPr/>
          <w:p>
            <w:pPr>
              <w:pStyle w:val="Compact"/>
              <w:jc w:val="center"/>
            </w:pPr>
            <w:r>
              <w:t xml:space="preserve">+0.864***</w:t>
            </w:r>
          </w:p>
        </w:tc>
      </w:tr>
      <w:tr>
        <w:tc>
          <w:tcPr/>
          <w:p>
            <w:pPr>
              <w:pStyle w:val="Compact"/>
              <w:jc w:val="left"/>
            </w:pPr>
            <w:r>
              <w:t xml:space="preserve">R&amp;D-active firm</w:t>
            </w:r>
          </w:p>
        </w:tc>
        <w:tc>
          <w:tcPr/>
          <w:p>
            <w:pPr>
              <w:pStyle w:val="Compact"/>
              <w:jc w:val="center"/>
            </w:pPr>
            <w:r>
              <w:t xml:space="preserve">+0.0247*</w:t>
            </w:r>
          </w:p>
        </w:tc>
        <w:tc>
          <w:tcPr/>
          <w:p>
            <w:pPr>
              <w:pStyle w:val="Compact"/>
              <w:jc w:val="center"/>
            </w:pPr>
            <w:r>
              <w:t xml:space="preserve">+0.0365***</w:t>
            </w:r>
          </w:p>
        </w:tc>
        <w:tc>
          <w:tcPr/>
          <w:p>
            <w:pPr>
              <w:pStyle w:val="Compact"/>
              <w:jc w:val="center"/>
            </w:pPr>
            <w:r>
              <w:t xml:space="preserve">+0.461***</w:t>
            </w:r>
          </w:p>
        </w:tc>
        <w:tc>
          <w:tcPr/>
          <w:p>
            <w:pPr>
              <w:pStyle w:val="Compact"/>
              <w:jc w:val="center"/>
            </w:pPr>
            <w:r>
              <w:t xml:space="preserve">-0.069</w:t>
            </w:r>
          </w:p>
        </w:tc>
      </w:tr>
    </w:tbl>
    <w:bookmarkEnd w:id="35"/>
    <w:p>
      <w:pPr>
        <w:pStyle w:val="BodyText"/>
      </w:pPr>
      <w:r>
        <w:rPr>
          <w:i/>
          <w:iCs/>
        </w:rPr>
        <w:t xml:space="preserve">Notes:</w:t>
      </w:r>
      <w:r>
        <w:t xml:space="preserve"> </w:t>
      </w:r>
      <w:r>
        <w:t xml:space="preserve">Each row adds an interaction of the relevant patent</w:t>
      </w:r>
      <w:r>
        <w:t xml:space="preserve"> </w:t>
      </w:r>
      <w:r>
        <w:t xml:space="preserve">stock with a time-invariant, pre-sample moderator</w:t>
      </w:r>
      <w:r>
        <w:t xml:space="preserve"> </w:t>
      </w:r>
      <m:oMath>
        <m:r>
          <m:t>M</m:t>
        </m:r>
      </m:oMath>
      <w:r>
        <w:t xml:space="preserve"> </w:t>
      </w:r>
      <w:r>
        <w:t xml:space="preserve">(manufacturing, high-tech industry,</w:t>
      </w:r>
      <w:r>
        <w:t xml:space="preserve"> </w:t>
      </w:r>
      <w:r>
        <w:t xml:space="preserve">above-median firm size, R&amp;D-active). Columns report the base coefficient and the interaction for</w:t>
      </w:r>
      <w:r>
        <w:t xml:space="preserve"> </w:t>
      </w:r>
      <w:r>
        <w:t xml:space="preserve">AI</w:t>
      </w:r>
      <m:oMath>
        <m:r>
          <m:rPr>
            <m:sty m:val="p"/>
          </m:rPr>
          <m:t>→</m:t>
        </m:r>
        <m:r>
          <m:rPr>
            <m:sty m:val="p"/>
          </m:rPr>
          <m:t>ln</m:t>
        </m:r>
      </m:oMath>
      <w:r>
        <w:t xml:space="preserve">(Employment) and robotics</w:t>
      </w:r>
      <m:oMath>
        <m:r>
          <m:rPr>
            <m:sty m:val="p"/>
          </m:rPr>
          <m:t>→</m:t>
        </m:r>
      </m:oMath>
      <w:r>
        <w:t xml:space="preserve">Tobin’s Q, each from equation </w:t>
      </w:r>
      <w:hyperlink w:anchor="eq:fe">
        <w:r>
          <w:rPr>
            <w:rStyle w:val="Hyperlink"/>
          </w:rPr>
          <w:t xml:space="preserve">[eq:fe]</w:t>
        </w:r>
      </w:hyperlink>
      <w:r>
        <w:t xml:space="preserve"> </w:t>
      </w:r>
      <w:r>
        <w:t xml:space="preserve">augmented with</w:t>
      </w:r>
      <w:r>
        <w:t xml:space="preserve"> </w:t>
      </w:r>
      <w:r>
        <w:t xml:space="preserve">the interaction and the other technology’s stock. Moderators are observable firm characteristics,</w:t>
      </w:r>
      <w:r>
        <w:t xml:space="preserve"> </w:t>
      </w:r>
      <w:r>
        <w:t xml:space="preserve">deliberately orthogonal to the reserved labor-replacing/augmenting coding.</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6" w:name="tab:altfe"/>
    <w:p>
      <w:pPr>
        <w:pStyle w:val="TableCaption"/>
      </w:pPr>
      <w:r>
        <w:t xml:space="preserve">Alternative identification for the two headline elasticities</w:t>
      </w:r>
    </w:p>
    <w:tbl>
      <w:tblPr>
        <w:tblStyle w:val="Table"/>
        <w:tblW w:type="auto" w:w="0"/>
        <w:tblLook w:firstRow="1" w:lastRow="0" w:firstColumn="0" w:lastColumn="0" w:noHBand="0" w:noVBand="0" w:val="0020"/>
        <w:tblCaption w:val="Alternative identification for the two headline elasticities"/>
      </w:tblPr>
      <w:tblGrid>
        <w:gridCol w:w="1320"/>
        <w:gridCol w:w="1320"/>
        <w:gridCol w:w="1320"/>
        <w:gridCol w:w="1320"/>
        <w:gridCol w:w="1320"/>
        <w:gridCol w:w="1320"/>
      </w:tblGrid>
      <w:tr>
        <w:trPr>
          <w:tblHeader w:val="on"/>
        </w:trPr>
        <w:tc>
          <w:tcPr/>
          <w:p>
            <w:pPr>
              <w:pStyle w:val="Compact"/>
            </w:pPr>
          </w:p>
        </w:tc>
        <w:tc>
          <w:tcPr>
            <w:gridSpan w:val="2"/>
          </w:tcPr>
          <w:p>
            <w:pPr>
              <w:pStyle w:val="Compact"/>
              <w:jc w:val="center"/>
            </w:pPr>
            <w:r>
              <w:t xml:space="preserve">AI</w:t>
            </w:r>
            <w:r>
              <w:t xml:space="preserve"> </w:t>
            </w:r>
            <m:oMath>
              <m:r>
                <m:rPr>
                  <m:sty m:val="p"/>
                </m:rPr>
                <m:t>→</m:t>
              </m:r>
            </m:oMath>
            <w:r>
              <w:t xml:space="preserve"> </w:t>
            </w:r>
            <w:r>
              <w:t xml:space="preserve">ln(Emp.)</w:t>
            </w:r>
          </w:p>
        </w:tc>
        <w:tc>
          <w:tcPr>
            <w:gridSpan w:val="2"/>
          </w:tcPr>
          <w:p>
            <w:pPr>
              <w:pStyle w:val="Compact"/>
              <w:jc w:val="center"/>
            </w:pPr>
            <w:r>
              <w:t xml:space="preserve">Robotics</w:t>
            </w:r>
            <w:r>
              <w:t xml:space="preserve"> </w:t>
            </w:r>
            <m:oMath>
              <m:r>
                <m:rPr>
                  <m:sty m:val="p"/>
                </m:rPr>
                <m:t>→</m:t>
              </m:r>
            </m:oMath>
            <w:r>
              <w:t xml:space="preserve"> </w:t>
            </w:r>
            <w:r>
              <w:t xml:space="preserve">Q</w:t>
            </w:r>
          </w:p>
        </w:tc>
        <w:tc>
          <w:tcPr/>
          <w:p>
            <w:pPr>
              <w:pStyle w:val="Compact"/>
            </w:pPr>
          </w:p>
        </w:tc>
      </w:tr>
      <w:tr>
        <w:tc>
          <w:tcPr/>
          <w:p>
            <w:pPr>
              <w:pStyle w:val="Compact"/>
              <w:jc w:val="left"/>
            </w:pPr>
            <w:r>
              <w:t xml:space="preserve">2-3</w:t>
            </w:r>
            <w:r>
              <w:t xml:space="preserve">(lr)</w:t>
            </w:r>
            <w:r>
              <w:t xml:space="preserve">4-5</w:t>
            </w:r>
            <w:r>
              <w:t xml:space="preserve"> </w:t>
            </w:r>
            <w:r>
              <w:t xml:space="preserve">Specification</w:t>
            </w:r>
          </w:p>
        </w:tc>
        <w:tc>
          <w:tcPr/>
          <w:p>
            <w:pPr>
              <w:pStyle w:val="Compact"/>
              <w:jc w:val="center"/>
            </w:pPr>
            <w:r>
              <w:t xml:space="preserve">Coef.</w:t>
            </w:r>
          </w:p>
        </w:tc>
        <w:tc>
          <w:tcPr/>
          <w:p>
            <w:pPr>
              <w:pStyle w:val="Compact"/>
              <w:jc w:val="center"/>
            </w:pPr>
            <m:oMath>
              <m:r>
                <m:t>t</m:t>
              </m:r>
            </m:oMath>
            <w:r>
              <w:t xml:space="preserve">-stat</w:t>
            </w:r>
          </w:p>
        </w:tc>
        <w:tc>
          <w:tcPr/>
          <w:p>
            <w:pPr>
              <w:pStyle w:val="Compact"/>
              <w:jc w:val="center"/>
            </w:pPr>
            <w:r>
              <w:t xml:space="preserve">Coef.</w:t>
            </w:r>
          </w:p>
        </w:tc>
        <w:tc>
          <w:tcPr/>
          <w:p>
            <w:pPr>
              <w:pStyle w:val="Compact"/>
              <w:jc w:val="center"/>
            </w:pPr>
            <m:oMath>
              <m:r>
                <m:t>t</m:t>
              </m:r>
            </m:oMath>
            <w:r>
              <w:t xml:space="preserve">-stat</w:t>
            </w:r>
          </w:p>
        </w:tc>
        <w:tc>
          <w:tcPr/>
          <w:p>
            <w:pPr>
              <w:pStyle w:val="Compact"/>
              <w:jc w:val="center"/>
            </w:pPr>
            <w:r>
              <w:t xml:space="preserve">N</w:t>
            </w:r>
          </w:p>
        </w:tc>
      </w:tr>
      <w:tr>
        <w:tc>
          <w:tcPr/>
          <w:p>
            <w:pPr>
              <w:pStyle w:val="Compact"/>
              <w:jc w:val="left"/>
            </w:pPr>
            <w:r>
              <w:t xml:space="preserve">Baseline (firm + year FE)</w:t>
            </w:r>
          </w:p>
        </w:tc>
        <w:tc>
          <w:tcPr/>
          <w:p>
            <w:pPr>
              <w:pStyle w:val="Compact"/>
              <w:jc w:val="center"/>
            </w:pPr>
            <w:r>
              <w:t xml:space="preserve">+0.0545***</w:t>
            </w:r>
          </w:p>
        </w:tc>
        <w:tc>
          <w:tcPr/>
          <w:p>
            <w:pPr>
              <w:pStyle w:val="Compact"/>
              <w:jc w:val="center"/>
            </w:pPr>
            <w:r>
              <w:t xml:space="preserve">(+7.47)</w:t>
            </w:r>
          </w:p>
        </w:tc>
        <w:tc>
          <w:tcPr/>
          <w:p>
            <w:pPr>
              <w:pStyle w:val="Compact"/>
              <w:jc w:val="center"/>
            </w:pPr>
            <w:r>
              <w:t xml:space="preserve">+0.398***</w:t>
            </w:r>
          </w:p>
        </w:tc>
        <w:tc>
          <w:tcPr/>
          <w:p>
            <w:pPr>
              <w:pStyle w:val="Compact"/>
              <w:jc w:val="center"/>
            </w:pPr>
            <w:r>
              <w:t xml:space="preserve">(+4.97)</w:t>
            </w:r>
          </w:p>
        </w:tc>
        <w:tc>
          <w:tcPr/>
          <w:p>
            <w:pPr>
              <w:pStyle w:val="Compact"/>
              <w:jc w:val="center"/>
            </w:pPr>
            <w:r>
              <w:t xml:space="preserve">81,832</w:t>
            </w:r>
          </w:p>
        </w:tc>
      </w:tr>
      <w:tr>
        <w:tc>
          <w:tcPr/>
          <w:p>
            <w:pPr>
              <w:pStyle w:val="Compact"/>
              <w:jc w:val="left"/>
            </w:pPr>
            <w:r>
              <w:t xml:space="preserve">+ Industry</w:t>
            </w:r>
            <m:oMath>
              <m:r>
                <m:rPr>
                  <m:sty m:val="p"/>
                </m:rPr>
                <m:t>×</m:t>
              </m:r>
            </m:oMath>
            <w:r>
              <w:t xml:space="preserve">year FE</w:t>
            </w:r>
          </w:p>
        </w:tc>
        <w:tc>
          <w:tcPr/>
          <w:p>
            <w:pPr>
              <w:pStyle w:val="Compact"/>
              <w:jc w:val="center"/>
            </w:pPr>
            <w:r>
              <w:t xml:space="preserve">+0.0357***</w:t>
            </w:r>
          </w:p>
        </w:tc>
        <w:tc>
          <w:tcPr/>
          <w:p>
            <w:pPr>
              <w:pStyle w:val="Compact"/>
              <w:jc w:val="center"/>
            </w:pPr>
            <w:r>
              <w:t xml:space="preserve">(+4.78)</w:t>
            </w:r>
          </w:p>
        </w:tc>
        <w:tc>
          <w:tcPr/>
          <w:p>
            <w:pPr>
              <w:pStyle w:val="Compact"/>
              <w:jc w:val="center"/>
            </w:pPr>
            <w:r>
              <w:t xml:space="preserve">+0.322***</w:t>
            </w:r>
          </w:p>
        </w:tc>
        <w:tc>
          <w:tcPr/>
          <w:p>
            <w:pPr>
              <w:pStyle w:val="Compact"/>
              <w:jc w:val="center"/>
            </w:pPr>
            <w:r>
              <w:t xml:space="preserve">(+4.02)</w:t>
            </w:r>
          </w:p>
        </w:tc>
        <w:tc>
          <w:tcPr/>
          <w:p>
            <w:pPr>
              <w:pStyle w:val="Compact"/>
              <w:jc w:val="center"/>
            </w:pPr>
            <w:r>
              <w:t xml:space="preserve">81,832</w:t>
            </w:r>
          </w:p>
        </w:tc>
      </w:tr>
      <w:tr>
        <w:tc>
          <w:tcPr/>
          <w:p>
            <w:pPr>
              <w:pStyle w:val="Compact"/>
              <w:jc w:val="left"/>
            </w:pPr>
            <w:r>
              <w:t xml:space="preserve">+ Accounting controls (ROA, lev.)</w:t>
            </w:r>
          </w:p>
        </w:tc>
        <w:tc>
          <w:tcPr/>
          <w:p>
            <w:pPr>
              <w:pStyle w:val="Compact"/>
              <w:jc w:val="center"/>
            </w:pPr>
            <w:r>
              <w:t xml:space="preserve">+0.0526***</w:t>
            </w:r>
          </w:p>
        </w:tc>
        <w:tc>
          <w:tcPr/>
          <w:p>
            <w:pPr>
              <w:pStyle w:val="Compact"/>
              <w:jc w:val="center"/>
            </w:pPr>
            <w:r>
              <w:t xml:space="preserve">(+7.23)</w:t>
            </w:r>
          </w:p>
        </w:tc>
        <w:tc>
          <w:tcPr/>
          <w:p>
            <w:pPr>
              <w:pStyle w:val="Compact"/>
              <w:jc w:val="center"/>
            </w:pPr>
            <w:r>
              <w:t xml:space="preserve">+0.421***</w:t>
            </w:r>
          </w:p>
        </w:tc>
        <w:tc>
          <w:tcPr/>
          <w:p>
            <w:pPr>
              <w:pStyle w:val="Compact"/>
              <w:jc w:val="center"/>
            </w:pPr>
            <w:r>
              <w:t xml:space="preserve">(+5.27)</w:t>
            </w:r>
          </w:p>
        </w:tc>
        <w:tc>
          <w:tcPr/>
          <w:p>
            <w:pPr>
              <w:pStyle w:val="Compact"/>
              <w:jc w:val="center"/>
            </w:pPr>
            <w:r>
              <w:t xml:space="preserve">81,786</w:t>
            </w:r>
          </w:p>
        </w:tc>
      </w:tr>
      <w:tr>
        <w:tc>
          <w:tcPr/>
          <w:p>
            <w:pPr>
              <w:pStyle w:val="Compact"/>
              <w:jc w:val="left"/>
            </w:pPr>
            <w:r>
              <w:t xml:space="preserve">Drop size control</w:t>
            </w:r>
          </w:p>
        </w:tc>
        <w:tc>
          <w:tcPr/>
          <w:p>
            <w:pPr>
              <w:pStyle w:val="Compact"/>
              <w:jc w:val="center"/>
            </w:pPr>
            <w:r>
              <w:t xml:space="preserve">+0.1167***</w:t>
            </w:r>
          </w:p>
        </w:tc>
        <w:tc>
          <w:tcPr/>
          <w:p>
            <w:pPr>
              <w:pStyle w:val="Compact"/>
              <w:jc w:val="center"/>
            </w:pPr>
            <w:r>
              <w:t xml:space="preserve">(+9.42)</w:t>
            </w:r>
          </w:p>
        </w:tc>
        <w:tc>
          <w:tcPr/>
          <w:p>
            <w:pPr>
              <w:pStyle w:val="Compact"/>
              <w:jc w:val="center"/>
            </w:pPr>
            <w:r>
              <w:t xml:space="preserve">+0.424***</w:t>
            </w:r>
          </w:p>
        </w:tc>
        <w:tc>
          <w:tcPr/>
          <w:p>
            <w:pPr>
              <w:pStyle w:val="Compact"/>
              <w:jc w:val="center"/>
            </w:pPr>
            <w:r>
              <w:t xml:space="preserve">(+5.25)</w:t>
            </w:r>
          </w:p>
        </w:tc>
        <w:tc>
          <w:tcPr/>
          <w:p>
            <w:pPr>
              <w:pStyle w:val="Compact"/>
              <w:jc w:val="center"/>
            </w:pPr>
            <w:r>
              <w:t xml:space="preserve">81,834</w:t>
            </w:r>
          </w:p>
        </w:tc>
      </w:tr>
      <w:tr>
        <w:tc>
          <w:tcPr/>
          <w:p>
            <w:pPr>
              <w:pStyle w:val="Compact"/>
              <w:jc w:val="left"/>
            </w:pPr>
            <w:r>
              <w:t xml:space="preserve">Modern era (year</w:t>
            </w:r>
            <w:r>
              <w:t xml:space="preserve"> </w:t>
            </w:r>
            <m:oMath>
              <m:r>
                <m:rPr>
                  <m:sty m:val="p"/>
                </m:rPr>
                <m:t>≥</m:t>
              </m:r>
            </m:oMath>
            <w:r>
              <w:t xml:space="preserve"> </w:t>
            </w:r>
            <w:r>
              <w:t xml:space="preserve">2005)</w:t>
            </w:r>
          </w:p>
        </w:tc>
        <w:tc>
          <w:tcPr/>
          <w:p>
            <w:pPr>
              <w:pStyle w:val="Compact"/>
              <w:jc w:val="center"/>
            </w:pPr>
            <w:r>
              <w:t xml:space="preserve">+0.0640***</w:t>
            </w:r>
          </w:p>
        </w:tc>
        <w:tc>
          <w:tcPr/>
          <w:p>
            <w:pPr>
              <w:pStyle w:val="Compact"/>
              <w:jc w:val="center"/>
            </w:pPr>
            <w:r>
              <w:t xml:space="preserve">(+7.29)</w:t>
            </w:r>
          </w:p>
        </w:tc>
        <w:tc>
          <w:tcPr/>
          <w:p>
            <w:pPr>
              <w:pStyle w:val="Compact"/>
              <w:jc w:val="center"/>
            </w:pPr>
            <w:r>
              <w:t xml:space="preserve">+0.227***</w:t>
            </w:r>
          </w:p>
        </w:tc>
        <w:tc>
          <w:tcPr/>
          <w:p>
            <w:pPr>
              <w:pStyle w:val="Compact"/>
              <w:jc w:val="center"/>
            </w:pPr>
            <w:r>
              <w:t xml:space="preserve">(+2.70)</w:t>
            </w:r>
          </w:p>
        </w:tc>
        <w:tc>
          <w:tcPr/>
          <w:p>
            <w:pPr>
              <w:pStyle w:val="Compact"/>
              <w:jc w:val="center"/>
            </w:pPr>
            <w:r>
              <w:t xml:space="preserve">48,350</w:t>
            </w:r>
          </w:p>
        </w:tc>
      </w:tr>
    </w:tbl>
    <w:bookmarkEnd w:id="36"/>
    <w:p>
      <w:pPr>
        <w:pStyle w:val="BodyText"/>
      </w:pPr>
      <w:r>
        <w:rPr>
          <w:i/>
          <w:iCs/>
        </w:rPr>
        <w:t xml:space="preserve">Notes:</w:t>
      </w:r>
      <w:r>
        <w:t xml:space="preserve"> </w:t>
      </w:r>
      <w:r>
        <w:t xml:space="preserve">The AI</w:t>
      </w:r>
      <m:oMath>
        <m:r>
          <m:rPr>
            <m:sty m:val="p"/>
          </m:rPr>
          <m:t>→</m:t>
        </m:r>
        <m:r>
          <m:rPr>
            <m:sty m:val="p"/>
          </m:rPr>
          <m:t>ln</m:t>
        </m:r>
      </m:oMath>
      <w:r>
        <w:t xml:space="preserve">(Employment) and robotics</w:t>
      </w:r>
      <m:oMath>
        <m:r>
          <m:rPr>
            <m:sty m:val="p"/>
          </m:rPr>
          <m:t>→</m:t>
        </m:r>
      </m:oMath>
      <w:r>
        <w:t xml:space="preserve">Tobin’s</w:t>
      </w:r>
      <w:r>
        <w:t xml:space="preserve"> </w:t>
      </w:r>
      <w:r>
        <w:t xml:space="preserve">Q coefficients from equation </w:t>
      </w:r>
      <w:hyperlink w:anchor="eq:fe">
        <w:r>
          <w:rPr>
            <w:rStyle w:val="Hyperlink"/>
          </w:rPr>
          <w:t xml:space="preserve">[eq:fe]</w:t>
        </w:r>
      </w:hyperlink>
      <w:r>
        <w:t xml:space="preserve"> </w:t>
      </w:r>
      <w:r>
        <w:t xml:space="preserve">under alternative specifications.</w:t>
      </w:r>
      <w:r>
        <w:t xml:space="preserve"> </w:t>
      </w:r>
      <w:r>
        <w:t xml:space="preserve">“Industry</w:t>
      </w:r>
      <m:oMath>
        <m:r>
          <m:rPr>
            <m:sty m:val="p"/>
          </m:rPr>
          <m:t>×</m:t>
        </m:r>
      </m:oMath>
      <w:r>
        <w:t xml:space="preserve">year</w:t>
      </w:r>
      <w:r>
        <w:t xml:space="preserve"> </w:t>
      </w:r>
      <w:r>
        <w:t xml:space="preserve">FE”</w:t>
      </w:r>
      <w:r>
        <w:t xml:space="preserve"> </w:t>
      </w:r>
      <w:r>
        <w:t xml:space="preserve">replaces year FE with two-digit-SIC</w:t>
      </w:r>
      <m:oMath>
        <m:r>
          <m:rPr>
            <m:sty m:val="p"/>
          </m:rPr>
          <m:t>×</m:t>
        </m:r>
      </m:oMath>
      <w:r>
        <w:t xml:space="preserve">year FE.</w:t>
      </w:r>
      <w:r>
        <w:t xml:space="preserve"> </w:t>
      </w:r>
      <w:r>
        <w:t xml:space="preserve">“Drop size control”</w:t>
      </w:r>
      <w:r>
        <w:t xml:space="preserve"> </w:t>
      </w:r>
      <w:r>
        <w:t xml:space="preserve">is a diagnostic</w:t>
      </w:r>
      <w:r>
        <w:t xml:space="preserve"> </w:t>
      </w:r>
      <w:r>
        <w:t xml:space="preserve">(size and the patent stock are correlated), not a preferred estimate. Firm-specific linear trends</w:t>
      </w:r>
      <w:r>
        <w:t xml:space="preserve"> </w:t>
      </w:r>
      <w:r>
        <w:t xml:space="preserve">are deliberately excluded (collinear with an accumulating stock). SE clustered by firm.</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7" w:name="tab:robbroad"/>
    <w:p>
      <w:pPr>
        <w:pStyle w:val="TableCaption"/>
      </w:pPr>
      <w:r>
        <w:t xml:space="preserve">Robustness: broadened robotics (B25J + autonomous vehicles + legged robots)</w:t>
      </w:r>
    </w:p>
    <w:tbl>
      <w:tblPr>
        <w:tblStyle w:val="Table"/>
        <w:tblW w:type="auto" w:w="0"/>
        <w:tblLook w:firstRow="1" w:lastRow="0" w:firstColumn="0" w:lastColumn="0" w:noHBand="0" w:noVBand="0" w:val="0020"/>
        <w:tblCaption w:val="Robustness: broadened robotics (B25J + autonomous vehicles + legged robots)"/>
      </w:tblPr>
      <w:tblGrid>
        <w:gridCol w:w="1584"/>
        <w:gridCol w:w="1584"/>
        <w:gridCol w:w="1584"/>
        <w:gridCol w:w="1584"/>
        <w:gridCol w:w="1584"/>
      </w:tblGrid>
      <w:tr>
        <w:trPr>
          <w:tblHeader w:val="on"/>
        </w:trPr>
        <w:tc>
          <w:tcPr/>
          <w:p>
            <w:pPr>
              <w:pStyle w:val="Compact"/>
            </w:pPr>
          </w:p>
        </w:tc>
        <w:tc>
          <w:tcPr/>
          <w:p>
            <w:pPr>
              <w:pStyle w:val="Compact"/>
              <w:jc w:val="center"/>
            </w:pPr>
            <w:r>
              <w:t xml:space="preserve">ln(Employment)</w:t>
            </w:r>
          </w:p>
        </w:tc>
        <w:tc>
          <w:tcPr/>
          <w:p>
            <w:pPr>
              <w:pStyle w:val="Compact"/>
              <w:jc w:val="center"/>
            </w:pPr>
            <w:r>
              <w:t xml:space="preserve">ln(Sales/Emp)</w:t>
            </w:r>
          </w:p>
        </w:tc>
        <w:tc>
          <w:tcPr/>
          <w:p>
            <w:pPr>
              <w:pStyle w:val="Compact"/>
              <w:jc w:val="center"/>
            </w:pPr>
            <w:r>
              <w:t xml:space="preserve">ROA</w:t>
            </w:r>
          </w:p>
        </w:tc>
        <w:tc>
          <w:tcPr/>
          <w:p>
            <w:pPr>
              <w:pStyle w:val="Compact"/>
              <w:jc w:val="center"/>
            </w:pPr>
            <w:r>
              <w:t xml:space="preserve">Tobin’s Q</w:t>
            </w:r>
          </w:p>
        </w:tc>
      </w:tr>
      <w:tr>
        <w:tc>
          <w:tcPr/>
          <w:p>
            <w:pPr>
              <w:pStyle w:val="Compact"/>
              <w:jc w:val="left"/>
            </w:pPr>
            <w:r>
              <w:t xml:space="preserve">2-5</w:t>
            </w:r>
            <w:r>
              <w:t xml:space="preserve"> </w:t>
            </w:r>
            <w:r>
              <w:t xml:space="preserve">ln(1+AI patent stock)</w:t>
            </w:r>
          </w:p>
        </w:tc>
        <w:tc>
          <w:tcPr/>
          <w:p>
            <w:pPr>
              <w:pStyle w:val="Compact"/>
              <w:jc w:val="center"/>
            </w:pPr>
            <w:r>
              <w:t xml:space="preserve">0.0581***</w:t>
            </w:r>
          </w:p>
        </w:tc>
        <w:tc>
          <w:tcPr/>
          <w:p>
            <w:pPr>
              <w:pStyle w:val="Compact"/>
              <w:jc w:val="center"/>
            </w:pPr>
            <w:r>
              <w:t xml:space="preserve">-0.0277***</w:t>
            </w:r>
          </w:p>
        </w:tc>
        <w:tc>
          <w:tcPr/>
          <w:p>
            <w:pPr>
              <w:pStyle w:val="Compact"/>
              <w:jc w:val="center"/>
            </w:pPr>
            <w:r>
              <w:t xml:space="preserve">-0.0152***</w:t>
            </w:r>
          </w:p>
        </w:tc>
        <w:tc>
          <w:tcPr/>
          <w:p>
            <w:pPr>
              <w:pStyle w:val="Compact"/>
              <w:jc w:val="center"/>
            </w:pPr>
            <w:r>
              <w:t xml:space="preserve">-0.3025***</w:t>
            </w:r>
          </w:p>
        </w:tc>
      </w:tr>
      <w:tr>
        <w:tc>
          <w:tcPr/>
          <w:p>
            <w:pPr>
              <w:pStyle w:val="Compact"/>
            </w:pPr>
          </w:p>
        </w:tc>
        <w:tc>
          <w:tcPr/>
          <w:p>
            <w:pPr>
              <w:pStyle w:val="Compact"/>
              <w:jc w:val="center"/>
            </w:pPr>
            <w:r>
              <w:t xml:space="preserve">(7.82)</w:t>
            </w:r>
          </w:p>
        </w:tc>
        <w:tc>
          <w:tcPr/>
          <w:p>
            <w:pPr>
              <w:pStyle w:val="Compact"/>
              <w:jc w:val="center"/>
            </w:pPr>
            <w:r>
              <w:t xml:space="preserve">(-3.81)</w:t>
            </w:r>
          </w:p>
        </w:tc>
        <w:tc>
          <w:tcPr/>
          <w:p>
            <w:pPr>
              <w:pStyle w:val="Compact"/>
              <w:jc w:val="center"/>
            </w:pPr>
            <w:r>
              <w:t xml:space="preserve">(-4.12)</w:t>
            </w:r>
          </w:p>
        </w:tc>
        <w:tc>
          <w:tcPr/>
          <w:p>
            <w:pPr>
              <w:pStyle w:val="Compact"/>
              <w:jc w:val="center"/>
            </w:pPr>
            <w:r>
              <w:t xml:space="preserve">(-6.59)</w:t>
            </w:r>
          </w:p>
        </w:tc>
      </w:tr>
      <w:tr>
        <w:tc>
          <w:tcPr/>
          <w:p>
            <w:pPr>
              <w:pStyle w:val="Compact"/>
              <w:jc w:val="left"/>
            </w:pPr>
            <w:r>
              <w:t xml:space="preserve">ln(1+Robotics-broad stock)</w:t>
            </w:r>
          </w:p>
        </w:tc>
        <w:tc>
          <w:tcPr/>
          <w:p>
            <w:pPr>
              <w:pStyle w:val="Compact"/>
              <w:jc w:val="center"/>
            </w:pPr>
            <w:r>
              <w:t xml:space="preserve">-0.0291*</w:t>
            </w:r>
          </w:p>
        </w:tc>
        <w:tc>
          <w:tcPr/>
          <w:p>
            <w:pPr>
              <w:pStyle w:val="Compact"/>
              <w:jc w:val="center"/>
            </w:pPr>
            <w:r>
              <w:t xml:space="preserve">-0.0254*</w:t>
            </w:r>
          </w:p>
        </w:tc>
        <w:tc>
          <w:tcPr/>
          <w:p>
            <w:pPr>
              <w:pStyle w:val="Compact"/>
              <w:jc w:val="center"/>
            </w:pPr>
            <w:r>
              <w:t xml:space="preserve">0.0129*</w:t>
            </w:r>
          </w:p>
        </w:tc>
        <w:tc>
          <w:tcPr/>
          <w:p>
            <w:pPr>
              <w:pStyle w:val="Compact"/>
              <w:jc w:val="center"/>
            </w:pPr>
            <w:r>
              <w:t xml:space="preserve">0.3937***</w:t>
            </w:r>
          </w:p>
        </w:tc>
      </w:tr>
      <w:tr>
        <w:tc>
          <w:tcPr/>
          <w:p>
            <w:pPr>
              <w:pStyle w:val="Compact"/>
            </w:pPr>
          </w:p>
        </w:tc>
        <w:tc>
          <w:tcPr/>
          <w:p>
            <w:pPr>
              <w:pStyle w:val="Compact"/>
              <w:jc w:val="center"/>
            </w:pPr>
            <w:r>
              <w:t xml:space="preserve">(-1.88)</w:t>
            </w:r>
          </w:p>
        </w:tc>
        <w:tc>
          <w:tcPr/>
          <w:p>
            <w:pPr>
              <w:pStyle w:val="Compact"/>
              <w:jc w:val="center"/>
            </w:pPr>
            <w:r>
              <w:t xml:space="preserve">(-1.94)</w:t>
            </w:r>
          </w:p>
        </w:tc>
        <w:tc>
          <w:tcPr/>
          <w:p>
            <w:pPr>
              <w:pStyle w:val="Compact"/>
              <w:jc w:val="center"/>
            </w:pPr>
            <w:r>
              <w:t xml:space="preserve">(1.82)</w:t>
            </w:r>
          </w:p>
        </w:tc>
        <w:tc>
          <w:tcPr/>
          <w:p>
            <w:pPr>
              <w:pStyle w:val="Compact"/>
              <w:jc w:val="center"/>
            </w:pPr>
            <w:r>
              <w:t xml:space="preserve">(5.07)</w:t>
            </w:r>
          </w:p>
        </w:tc>
      </w:tr>
      <w:tr>
        <w:tc>
          <w:tcPr/>
          <w:p>
            <w:pPr>
              <w:pStyle w:val="Compact"/>
              <w:jc w:val="left"/>
            </w:pPr>
            <w:r>
              <w:t xml:space="preserve">ln(Assets)</w:t>
            </w:r>
          </w:p>
        </w:tc>
        <w:tc>
          <w:tcPr/>
          <w:p>
            <w:pPr>
              <w:pStyle w:val="Compact"/>
              <w:jc w:val="center"/>
            </w:pPr>
            <w:r>
              <w:t xml:space="preserve">0.6970***</w:t>
            </w:r>
          </w:p>
        </w:tc>
        <w:tc>
          <w:tcPr/>
          <w:p>
            <w:pPr>
              <w:pStyle w:val="Compact"/>
              <w:jc w:val="center"/>
            </w:pPr>
            <w:r>
              <w:t xml:space="preserve">0.1122***</w:t>
            </w:r>
          </w:p>
        </w:tc>
        <w:tc>
          <w:tcPr/>
          <w:p>
            <w:pPr>
              <w:pStyle w:val="Compact"/>
              <w:jc w:val="center"/>
            </w:pPr>
            <w:r>
              <w:t xml:space="preserve">0.1930***</w:t>
            </w:r>
          </w:p>
        </w:tc>
        <w:tc>
          <w:tcPr/>
          <w:p>
            <w:pPr>
              <w:pStyle w:val="Compact"/>
              <w:jc w:val="center"/>
            </w:pPr>
            <w:r>
              <w:t xml:space="preserve">-0.6752***</w:t>
            </w:r>
          </w:p>
        </w:tc>
      </w:tr>
      <w:tr>
        <w:tc>
          <w:tcPr/>
          <w:p>
            <w:pPr>
              <w:pStyle w:val="Compact"/>
            </w:pPr>
          </w:p>
        </w:tc>
        <w:tc>
          <w:tcPr/>
          <w:p>
            <w:pPr>
              <w:pStyle w:val="Compact"/>
              <w:jc w:val="center"/>
            </w:pPr>
            <w:r>
              <w:t xml:space="preserve">(73.28)</w:t>
            </w:r>
          </w:p>
        </w:tc>
        <w:tc>
          <w:tcPr/>
          <w:p>
            <w:pPr>
              <w:pStyle w:val="Compact"/>
              <w:jc w:val="center"/>
            </w:pPr>
            <w:r>
              <w:t xml:space="preserve">(9.85)</w:t>
            </w:r>
          </w:p>
        </w:tc>
        <w:tc>
          <w:tcPr/>
          <w:p>
            <w:pPr>
              <w:pStyle w:val="Compact"/>
              <w:jc w:val="center"/>
            </w:pPr>
            <w:r>
              <w:t xml:space="preserve">(14.01)</w:t>
            </w:r>
          </w:p>
        </w:tc>
        <w:tc>
          <w:tcPr/>
          <w:p>
            <w:pPr>
              <w:pStyle w:val="Compact"/>
              <w:jc w:val="center"/>
            </w:pPr>
            <w:r>
              <w:t xml:space="preserve">(-11.42)</w:t>
            </w:r>
          </w:p>
        </w:tc>
      </w:tr>
      <w:tr>
        <w:tc>
          <w:tcPr/>
          <w:p>
            <w:pPr>
              <w:pStyle w:val="Compact"/>
              <w:jc w:val="left"/>
            </w:pPr>
            <w:r>
              <w:t xml:space="preserve">Firm &amp; Year FE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t xml:space="preserve">Observations</w:t>
            </w:r>
          </w:p>
        </w:tc>
        <w:tc>
          <w:tcPr/>
          <w:p>
            <w:pPr>
              <w:pStyle w:val="Compact"/>
              <w:jc w:val="center"/>
            </w:pPr>
            <w:r>
              <w:t xml:space="preserve">81832</w:t>
            </w:r>
          </w:p>
        </w:tc>
        <w:tc>
          <w:tcPr/>
          <w:p>
            <w:pPr>
              <w:pStyle w:val="Compact"/>
              <w:jc w:val="center"/>
            </w:pPr>
            <w:r>
              <w:t xml:space="preserve">79229</w:t>
            </w:r>
          </w:p>
        </w:tc>
        <w:tc>
          <w:tcPr/>
          <w:p>
            <w:pPr>
              <w:pStyle w:val="Compact"/>
              <w:jc w:val="center"/>
            </w:pPr>
            <w:r>
              <w:t xml:space="preserve">83726</w:t>
            </w:r>
          </w:p>
        </w:tc>
        <w:tc>
          <w:tcPr/>
          <w:p>
            <w:pPr>
              <w:pStyle w:val="Compact"/>
              <w:jc w:val="center"/>
            </w:pPr>
            <w:r>
              <w:t xml:space="preserve">83589</w:t>
            </w:r>
          </w:p>
        </w:tc>
      </w:tr>
      <w:tr>
        <w:tc>
          <w:tcPr/>
          <w:p>
            <w:pPr>
              <w:pStyle w:val="Compact"/>
              <w:jc w:val="left"/>
            </w:pPr>
            <w:r>
              <w:t xml:space="preserve">Within</w:t>
            </w:r>
            <w:r>
              <w:t xml:space="preserve"> </w:t>
            </w:r>
            <m:oMath>
              <m:sSup>
                <m:e>
                  <m:r>
                    <m:t>R</m:t>
                  </m:r>
                </m:e>
                <m:sup>
                  <m:r>
                    <m:t>2</m:t>
                  </m:r>
                </m:sup>
              </m:sSup>
            </m:oMath>
          </w:p>
        </w:tc>
        <w:tc>
          <w:tcPr/>
          <w:p>
            <w:pPr>
              <w:pStyle w:val="Compact"/>
              <w:jc w:val="center"/>
            </w:pPr>
            <w:r>
              <w:t xml:space="preserve">0.502</w:t>
            </w:r>
          </w:p>
        </w:tc>
        <w:tc>
          <w:tcPr/>
          <w:p>
            <w:pPr>
              <w:pStyle w:val="Compact"/>
              <w:jc w:val="center"/>
            </w:pPr>
            <w:r>
              <w:t xml:space="preserve">0.050</w:t>
            </w:r>
          </w:p>
        </w:tc>
        <w:tc>
          <w:tcPr/>
          <w:p>
            <w:pPr>
              <w:pStyle w:val="Compact"/>
              <w:jc w:val="center"/>
            </w:pPr>
            <w:r>
              <w:t xml:space="preserve">0.017</w:t>
            </w:r>
          </w:p>
        </w:tc>
        <w:tc>
          <w:tcPr/>
          <w:p>
            <w:pPr>
              <w:pStyle w:val="Compact"/>
              <w:jc w:val="center"/>
            </w:pPr>
            <w:r>
              <w:t xml:space="preserve">0.026</w:t>
            </w:r>
          </w:p>
        </w:tc>
      </w:tr>
    </w:tbl>
    <w:bookmarkEnd w:id="37"/>
    <w:p>
      <w:pPr>
        <w:pStyle w:val="BodyText"/>
      </w:pPr>
      <w:r>
        <w:rPr>
          <w:i/>
          <w:iCs/>
        </w:rPr>
        <w:t xml:space="preserve">Notes:</w:t>
      </w:r>
      <w:r>
        <w:t xml:space="preserve"> </w:t>
      </w:r>
      <w:r>
        <w:t xml:space="preserve">Robotics measured as</w:t>
      </w:r>
      <w:r>
        <w:t xml:space="preserve"> </w:t>
      </w:r>
      <m:oMath>
        <m:r>
          <m:rPr>
            <m:sty m:val="p"/>
          </m:rPr>
          <m:t>ln</m:t>
        </m:r>
        <m:r>
          <m:rPr>
            <m:sty m:val="p"/>
          </m:rPr>
          <m:t>(</m:t>
        </m:r>
        <m:r>
          <m:t>1</m:t>
        </m:r>
        <m:r>
          <m:rPr>
            <m:sty m:val="p"/>
          </m:rPr>
          <m:t>+</m:t>
        </m:r>
        <m:r>
          <m:rPr>
            <m:nor/>
            <m:sty m:val="p"/>
          </m:rPr>
          <m:t>stock</m:t>
        </m:r>
        <m:r>
          <m:rPr>
            <m:sty m:val="p"/>
          </m:rPr>
          <m:t>)</m:t>
        </m:r>
      </m:oMath>
      <w:r>
        <w:t xml:space="preserve"> </w:t>
      </w:r>
      <w:r>
        <w:t xml:space="preserve">of</w:t>
      </w:r>
      <w:r>
        <w:t xml:space="preserve"> </w:t>
      </w:r>
      <w:r>
        <w:t xml:space="preserve">patents in CPC B25J, G05D1, B62D57, or Y10S901 (roughly doubling coverage versus B25J alone).</w:t>
      </w:r>
      <w:r>
        <w:t xml:space="preserve"> </w:t>
      </w:r>
      <w:r>
        <w:t xml:space="preserve">Firm and year FE;</w:t>
      </w:r>
      <w:r>
        <w:t xml:space="preserve"> </w:t>
      </w:r>
      <m:oMath>
        <m:r>
          <m:t>t</m:t>
        </m:r>
      </m:oMath>
      <w:r>
        <w:t xml:space="preserve">-statistics clustered by firm. The broadened stock is marginally negative on</w:t>
      </w:r>
      <w:r>
        <w:t xml:space="preserve"> </w:t>
      </w:r>
      <w:r>
        <w:t xml:space="preserve">employment (hedged as suggestive, not established).</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8" w:name="tab:ri"/>
    <w:p>
      <w:pPr>
        <w:pStyle w:val="TableCaption"/>
      </w:pPr>
      <w:r>
        <w:t xml:space="preserve">Randomization inference for the AI</w:t>
      </w:r>
      <m:oMath>
        <m:r>
          <m:rPr>
            <m:sty m:val="p"/>
          </m:rPr>
          <m:t>→</m:t>
        </m:r>
      </m:oMath>
      <w:r>
        <w:t xml:space="preserve">employment elasticity</w:t>
      </w:r>
    </w:p>
    <w:tbl>
      <w:tblPr>
        <w:tblStyle w:val="Table"/>
        <w:tblW w:type="auto" w:w="0"/>
        <w:tblLook w:firstRow="1" w:lastRow="0" w:firstColumn="0" w:lastColumn="0" w:noHBand="0" w:noVBand="0" w:val="0020"/>
        <w:tblCaption w:val="Randomization inference for the AI\toemployment elasticity"/>
      </w:tblPr>
      <w:tblGrid>
        <w:gridCol w:w="1320"/>
        <w:gridCol w:w="1320"/>
        <w:gridCol w:w="1320"/>
        <w:gridCol w:w="1320"/>
        <w:gridCol w:w="1320"/>
        <w:gridCol w:w="1320"/>
      </w:tblGrid>
      <w:tr>
        <w:trPr>
          <w:tblHeader w:val="on"/>
        </w:trPr>
        <w:tc>
          <w:tcPr/>
          <w:p>
            <w:pPr>
              <w:pStyle w:val="Compact"/>
              <w:jc w:val="left"/>
            </w:pPr>
            <w:r>
              <w:t xml:space="preserve">Coefficient</w:t>
            </w:r>
          </w:p>
        </w:tc>
        <w:tc>
          <w:tcPr/>
          <w:p>
            <w:pPr>
              <w:pStyle w:val="Compact"/>
              <w:jc w:val="center"/>
            </w:pPr>
            <w:r>
              <w:t xml:space="preserve">Actual</w:t>
            </w:r>
          </w:p>
        </w:tc>
        <w:tc>
          <w:tcPr/>
          <w:p>
            <w:pPr>
              <w:pStyle w:val="Compact"/>
              <w:jc w:val="center"/>
            </w:pPr>
            <w:r>
              <w:t xml:space="preserve">Perm. mean</w:t>
            </w:r>
          </w:p>
        </w:tc>
        <w:tc>
          <w:tcPr/>
          <w:p>
            <w:pPr>
              <w:pStyle w:val="Compact"/>
              <w:jc w:val="center"/>
            </w:pPr>
            <w:r>
              <w:t xml:space="preserve">Perm. SD</w:t>
            </w:r>
          </w:p>
        </w:tc>
        <w:tc>
          <w:tcPr/>
          <w:p>
            <w:pPr>
              <w:pStyle w:val="Compact"/>
              <w:jc w:val="center"/>
            </w:pPr>
            <w:r>
              <w:t xml:space="preserve">Perm. 95% interval</w:t>
            </w:r>
          </w:p>
        </w:tc>
        <w:tc>
          <w:tcPr/>
          <w:p>
            <w:pPr>
              <w:pStyle w:val="Compact"/>
              <w:jc w:val="center"/>
            </w:pPr>
            <w:r>
              <w:t xml:space="preserve">RI</w:t>
            </w:r>
            <w:r>
              <w:t xml:space="preserve"> </w:t>
            </w:r>
            <m:oMath>
              <m:r>
                <m:t>p</m:t>
              </m:r>
            </m:oMath>
          </w:p>
        </w:tc>
      </w:tr>
      <w:tr>
        <w:tc>
          <w:tcPr/>
          <w:p>
            <w:pPr>
              <w:pStyle w:val="Compact"/>
              <w:jc w:val="left"/>
            </w:pPr>
            <w:r>
              <w:t xml:space="preserve">AI stock</w:t>
            </w:r>
            <w:r>
              <w:t xml:space="preserve"> </w:t>
            </w:r>
            <m:oMath>
              <m:r>
                <m:rPr>
                  <m:sty m:val="p"/>
                </m:rPr>
                <m:t>→</m:t>
              </m:r>
            </m:oMath>
            <w:r>
              <w:t xml:space="preserve"> </w:t>
            </w:r>
            <w:r>
              <w:t xml:space="preserve">ln(Emp.)</w:t>
            </w:r>
          </w:p>
        </w:tc>
        <w:tc>
          <w:tcPr/>
          <w:p>
            <w:pPr>
              <w:pStyle w:val="Compact"/>
              <w:jc w:val="center"/>
            </w:pPr>
            <w:r>
              <w:t xml:space="preserve">+0.0545</w:t>
            </w:r>
          </w:p>
        </w:tc>
        <w:tc>
          <w:tcPr/>
          <w:p>
            <w:pPr>
              <w:pStyle w:val="Compact"/>
              <w:jc w:val="center"/>
            </w:pPr>
            <w:r>
              <w:t xml:space="preserve">+0.0013</w:t>
            </w:r>
          </w:p>
        </w:tc>
        <w:tc>
          <w:tcPr/>
          <w:p>
            <w:pPr>
              <w:pStyle w:val="Compact"/>
              <w:jc w:val="center"/>
            </w:pPr>
            <w:r>
              <w:t xml:space="preserve">0.0122</w:t>
            </w:r>
          </w:p>
        </w:tc>
        <w:tc>
          <w:tcPr/>
          <w:p>
            <w:pPr>
              <w:pStyle w:val="Compact"/>
              <w:jc w:val="center"/>
            </w:pPr>
            <w:r>
              <w:t xml:space="preserve">[-0.0228, +0.0238]</w:t>
            </w:r>
          </w:p>
        </w:tc>
        <w:tc>
          <w:tcPr/>
          <w:p>
            <w:pPr>
              <w:pStyle w:val="Compact"/>
              <w:jc w:val="center"/>
            </w:pPr>
            <m:oMath>
              <m:r>
                <m:rPr>
                  <m:sty m:val="p"/>
                </m:rPr>
                <m:t>&lt;</m:t>
              </m:r>
            </m:oMath>
            <w:r>
              <w:t xml:space="preserve">0.002</w:t>
            </w:r>
          </w:p>
        </w:tc>
      </w:tr>
    </w:tbl>
    <w:bookmarkEnd w:id="38"/>
    <w:p>
      <w:pPr>
        <w:pStyle w:val="BodyText"/>
      </w:pPr>
      <w:r>
        <w:rPr>
          <w:i/>
          <w:iCs/>
        </w:rPr>
        <w:t xml:space="preserve">Notes:</w:t>
      </w:r>
      <w:r>
        <w:t xml:space="preserve"> </w:t>
      </w:r>
      <w:r>
        <w:t xml:space="preserve">Under the sharp null that a firm’s AI trajectory has</w:t>
      </w:r>
      <w:r>
        <w:t xml:space="preserve"> </w:t>
      </w:r>
      <w:r>
        <w:t xml:space="preserve">no effect on its own employment, each of 500 permutations reassigns firm</w:t>
      </w:r>
      <w:r>
        <w:t xml:space="preserve"> </w:t>
      </w:r>
      <m:oMath>
        <m:r>
          <m:t>i</m:t>
        </m:r>
      </m:oMath>
      <w:r>
        <w:t xml:space="preserve"> </w:t>
      </w:r>
      <w:r>
        <w:t xml:space="preserve">the entire AI-patent</w:t>
      </w:r>
      <w:r>
        <w:t xml:space="preserve"> </w:t>
      </w:r>
      <w:r>
        <w:t xml:space="preserve">trajectory of a random donor firm (matched by calendar year), keeping firm</w:t>
      </w:r>
      <w:r>
        <w:t xml:space="preserve"> </w:t>
      </w:r>
      <m:oMath>
        <m:r>
          <m:t>i</m:t>
        </m:r>
      </m:oMath>
      <w:r>
        <w:t xml:space="preserve">’s own outcome,</w:t>
      </w:r>
      <w:r>
        <w:t xml:space="preserve"> </w:t>
      </w:r>
      <w:r>
        <w:t xml:space="preserve">robotics stock, size, and fixed effects, and re-estimates equation </w:t>
      </w:r>
      <w:hyperlink w:anchor="eq:fe">
        <w:r>
          <w:rPr>
            <w:rStyle w:val="Hyperlink"/>
          </w:rPr>
          <w:t xml:space="preserve">[eq:fe]</w:t>
        </w:r>
      </w:hyperlink>
      <w:r>
        <w:t xml:space="preserve">.</w:t>
      </w:r>
      <w:r>
        <w:t xml:space="preserve"> </w:t>
      </w:r>
      <w:r>
        <w:t xml:space="preserve">“Perm. mean”</w:t>
      </w:r>
      <w:r>
        <w:t xml:space="preserve"> </w:t>
      </w:r>
      <m:oMath>
        <m:r>
          <m:rPr>
            <m:sty m:val="p"/>
          </m:rPr>
          <m:t>≈</m:t>
        </m:r>
        <m:r>
          <m:t>0</m:t>
        </m:r>
      </m:oMath>
      <w:r>
        <w:t xml:space="preserve"> </w:t>
      </w:r>
      <w:r>
        <w:t xml:space="preserve">confirms the design is well-behaved; the RI</w:t>
      </w:r>
      <w:r>
        <w:t xml:space="preserve"> </w:t>
      </w:r>
      <m:oMath>
        <m:r>
          <m:t>p</m:t>
        </m:r>
      </m:oMath>
      <w:r>
        <w:t xml:space="preserve">-value is the share of permutations with</w:t>
      </w:r>
      <w:r>
        <w:t xml:space="preserve"> </w:t>
      </w:r>
      <m:oMath>
        <m:r>
          <m:rPr>
            <m:sty m:val="p"/>
          </m:rPr>
          <m:t>|</m:t>
        </m:r>
        <m:r>
          <m:rPr>
            <m:nor/>
            <m:sty m:val="p"/>
          </m:rPr>
          <m:t>coefficient</m:t>
        </m:r>
        <m:r>
          <m:rPr>
            <m:sty m:val="p"/>
          </m:rPr>
          <m:t>|</m:t>
        </m:r>
        <m:r>
          <m:rPr>
            <m:sty m:val="p"/>
          </m:rPr>
          <m:t>≥</m:t>
        </m:r>
        <m:r>
          <m:rPr>
            <m:sty m:val="p"/>
          </m:rPr>
          <m:t>|</m:t>
        </m:r>
        <m:r>
          <m:rPr>
            <m:nor/>
            <m:sty m:val="p"/>
          </m:rPr>
          <m:t>actual</m:t>
        </m:r>
        <m:r>
          <m:rPr>
            <m:sty m:val="p"/>
          </m:rPr>
          <m:t>|</m:t>
        </m:r>
      </m:oMath>
      <w:r>
        <w:t xml:space="preserve">. See Figure </w:t>
      </w:r>
      <w:hyperlink w:anchor="fig:ri">
        <w:r>
          <w:rPr>
            <w:rStyle w:val="Hyperlink"/>
          </w:rPr>
          <w:t xml:space="preserve">2</w:t>
        </w:r>
      </w:hyperlink>
      <w:r>
        <w:t xml:space="preserve">.</w:t>
      </w:r>
    </w:p>
    <w:bookmarkStart w:id="39" w:name="tab:power"/>
    <w:p>
      <w:pPr>
        <w:pStyle w:val="TableCaption"/>
      </w:pPr>
      <w:r>
        <w:t xml:space="preserve">Minimum detectable effects at 80% power</w:t>
      </w:r>
    </w:p>
    <w:tbl>
      <w:tblPr>
        <w:tblStyle w:val="Table"/>
        <w:tblW w:type="auto" w:w="0"/>
        <w:tblLook w:firstRow="1" w:lastRow="0" w:firstColumn="0" w:lastColumn="0" w:noHBand="0" w:noVBand="0" w:val="0020"/>
        <w:tblCaption w:val="Minimum detectable effects at 80% power"/>
      </w:tblPr>
      <w:tblGrid>
        <w:gridCol w:w="1320"/>
        <w:gridCol w:w="1320"/>
        <w:gridCol w:w="1320"/>
        <w:gridCol w:w="1320"/>
        <w:gridCol w:w="1320"/>
        <w:gridCol w:w="1320"/>
      </w:tblGrid>
      <w:tr>
        <w:trPr>
          <w:tblHeader w:val="on"/>
        </w:trPr>
        <w:tc>
          <w:tcPr/>
          <w:p>
            <w:pPr>
              <w:pStyle w:val="Compact"/>
              <w:jc w:val="left"/>
            </w:pPr>
            <w:r>
              <w:t xml:space="preserve">Outcome</w:t>
            </w:r>
          </w:p>
        </w:tc>
        <w:tc>
          <w:tcPr/>
          <w:p>
            <w:pPr>
              <w:pStyle w:val="Compact"/>
              <w:jc w:val="left"/>
            </w:pPr>
            <w:r>
              <w:t xml:space="preserve">Treatment</w:t>
            </w:r>
          </w:p>
        </w:tc>
        <w:tc>
          <w:tcPr/>
          <w:p>
            <w:pPr>
              <w:pStyle w:val="Compact"/>
              <w:jc w:val="center"/>
            </w:pPr>
            <w:r>
              <w:t xml:space="preserve">Coef.</w:t>
            </w:r>
          </w:p>
        </w:tc>
        <w:tc>
          <w:tcPr/>
          <w:p>
            <w:pPr>
              <w:pStyle w:val="Compact"/>
              <w:jc w:val="center"/>
            </w:pPr>
            <w:r>
              <w:t xml:space="preserve">SE</w:t>
            </w:r>
          </w:p>
        </w:tc>
        <w:tc>
          <w:tcPr/>
          <w:p>
            <w:pPr>
              <w:pStyle w:val="Compact"/>
              <w:jc w:val="center"/>
            </w:pPr>
            <w:r>
              <w:t xml:space="preserve">MDE(80%)</w:t>
            </w:r>
          </w:p>
        </w:tc>
        <w:tc>
          <w:tcPr/>
          <w:p>
            <w:pPr>
              <w:pStyle w:val="Compact"/>
              <w:jc w:val="center"/>
            </w:pPr>
            <w:r>
              <w:t xml:space="preserve">% of outcome SD</w:t>
            </w:r>
          </w:p>
        </w:tc>
      </w:tr>
      <w:tr>
        <w:tc>
          <w:tcPr/>
          <w:p>
            <w:pPr>
              <w:pStyle w:val="Compact"/>
              <w:jc w:val="left"/>
            </w:pPr>
            <w:r>
              <w:t xml:space="preserve">ln(Employment)</w:t>
            </w:r>
          </w:p>
        </w:tc>
        <w:tc>
          <w:tcPr/>
          <w:p>
            <w:pPr>
              <w:pStyle w:val="Compact"/>
              <w:jc w:val="left"/>
            </w:pPr>
            <w:r>
              <w:t xml:space="preserve">AI stock</w:t>
            </w:r>
          </w:p>
        </w:tc>
        <w:tc>
          <w:tcPr/>
          <w:p>
            <w:pPr>
              <w:pStyle w:val="Compact"/>
              <w:jc w:val="center"/>
            </w:pPr>
            <w:r>
              <w:t xml:space="preserve">+0.0545</w:t>
            </w:r>
          </w:p>
        </w:tc>
        <w:tc>
          <w:tcPr/>
          <w:p>
            <w:pPr>
              <w:pStyle w:val="Compact"/>
              <w:jc w:val="center"/>
            </w:pPr>
            <w:r>
              <w:t xml:space="preserve">0.0073</w:t>
            </w:r>
          </w:p>
        </w:tc>
        <w:tc>
          <w:tcPr/>
          <w:p>
            <w:pPr>
              <w:pStyle w:val="Compact"/>
              <w:jc w:val="center"/>
            </w:pPr>
            <w:r>
              <w:t xml:space="preserve">0.0204</w:t>
            </w:r>
          </w:p>
        </w:tc>
        <w:tc>
          <w:tcPr/>
          <w:p>
            <w:pPr>
              <w:pStyle w:val="Compact"/>
              <w:jc w:val="center"/>
            </w:pPr>
            <w:r>
              <w:t xml:space="preserve">0.9%</w:t>
            </w:r>
          </w:p>
        </w:tc>
      </w:tr>
      <w:tr>
        <w:tc>
          <w:tcPr/>
          <w:p>
            <w:pPr>
              <w:pStyle w:val="Compact"/>
              <w:jc w:val="left"/>
            </w:pPr>
            <w:r>
              <w:t xml:space="preserve">ln(Employment)</w:t>
            </w:r>
          </w:p>
        </w:tc>
        <w:tc>
          <w:tcPr/>
          <w:p>
            <w:pPr>
              <w:pStyle w:val="Compact"/>
              <w:jc w:val="left"/>
            </w:pPr>
            <w:r>
              <w:t xml:space="preserve">Robotics stock (null)</w:t>
            </w:r>
          </w:p>
        </w:tc>
        <w:tc>
          <w:tcPr/>
          <w:p>
            <w:pPr>
              <w:pStyle w:val="Compact"/>
              <w:jc w:val="center"/>
            </w:pPr>
            <w:r>
              <w:t xml:space="preserve">-0.0135</w:t>
            </w:r>
          </w:p>
        </w:tc>
        <w:tc>
          <w:tcPr/>
          <w:p>
            <w:pPr>
              <w:pStyle w:val="Compact"/>
              <w:jc w:val="center"/>
            </w:pPr>
            <w:r>
              <w:t xml:space="preserve">0.0199</w:t>
            </w:r>
          </w:p>
        </w:tc>
        <w:tc>
          <w:tcPr/>
          <w:p>
            <w:pPr>
              <w:pStyle w:val="Compact"/>
              <w:jc w:val="center"/>
            </w:pPr>
            <w:r>
              <w:t xml:space="preserve">0.0557</w:t>
            </w:r>
          </w:p>
        </w:tc>
        <w:tc>
          <w:tcPr/>
          <w:p>
            <w:pPr>
              <w:pStyle w:val="Compact"/>
              <w:jc w:val="center"/>
            </w:pPr>
            <w:r>
              <w:t xml:space="preserve">2.3%</w:t>
            </w:r>
          </w:p>
        </w:tc>
      </w:tr>
      <w:tr>
        <w:tc>
          <w:tcPr/>
          <w:p>
            <w:pPr>
              <w:pStyle w:val="Compact"/>
              <w:jc w:val="left"/>
            </w:pPr>
            <w:r>
              <w:t xml:space="preserve">ln(Sales/Emp)</w:t>
            </w:r>
          </w:p>
        </w:tc>
        <w:tc>
          <w:tcPr/>
          <w:p>
            <w:pPr>
              <w:pStyle w:val="Compact"/>
              <w:jc w:val="left"/>
            </w:pPr>
            <w:r>
              <w:t xml:space="preserve">AI stock</w:t>
            </w:r>
          </w:p>
        </w:tc>
        <w:tc>
          <w:tcPr/>
          <w:p>
            <w:pPr>
              <w:pStyle w:val="Compact"/>
              <w:jc w:val="center"/>
            </w:pPr>
            <w:r>
              <w:t xml:space="preserve">-0.0283</w:t>
            </w:r>
          </w:p>
        </w:tc>
        <w:tc>
          <w:tcPr/>
          <w:p>
            <w:pPr>
              <w:pStyle w:val="Compact"/>
              <w:jc w:val="center"/>
            </w:pPr>
            <w:r>
              <w:t xml:space="preserve">0.0071</w:t>
            </w:r>
          </w:p>
        </w:tc>
        <w:tc>
          <w:tcPr/>
          <w:p>
            <w:pPr>
              <w:pStyle w:val="Compact"/>
              <w:jc w:val="center"/>
            </w:pPr>
            <w:r>
              <w:t xml:space="preserve">0.0199</w:t>
            </w:r>
          </w:p>
        </w:tc>
        <w:tc>
          <w:tcPr/>
          <w:p>
            <w:pPr>
              <w:pStyle w:val="Compact"/>
              <w:jc w:val="center"/>
            </w:pPr>
            <w:r>
              <w:t xml:space="preserve">1.8%</w:t>
            </w:r>
          </w:p>
        </w:tc>
      </w:tr>
      <w:tr>
        <w:tc>
          <w:tcPr/>
          <w:p>
            <w:pPr>
              <w:pStyle w:val="Compact"/>
              <w:jc w:val="left"/>
            </w:pPr>
            <w:r>
              <w:t xml:space="preserve">ln(Sales/Emp)</w:t>
            </w:r>
          </w:p>
        </w:tc>
        <w:tc>
          <w:tcPr/>
          <w:p>
            <w:pPr>
              <w:pStyle w:val="Compact"/>
              <w:jc w:val="left"/>
            </w:pPr>
            <w:r>
              <w:t xml:space="preserve">Robotics stock</w:t>
            </w:r>
          </w:p>
        </w:tc>
        <w:tc>
          <w:tcPr/>
          <w:p>
            <w:pPr>
              <w:pStyle w:val="Compact"/>
              <w:jc w:val="center"/>
            </w:pPr>
            <w:r>
              <w:t xml:space="preserve">-0.0372</w:t>
            </w:r>
          </w:p>
        </w:tc>
        <w:tc>
          <w:tcPr/>
          <w:p>
            <w:pPr>
              <w:pStyle w:val="Compact"/>
              <w:jc w:val="center"/>
            </w:pPr>
            <w:r>
              <w:t xml:space="preserve">0.0156</w:t>
            </w:r>
          </w:p>
        </w:tc>
        <w:tc>
          <w:tcPr/>
          <w:p>
            <w:pPr>
              <w:pStyle w:val="Compact"/>
              <w:jc w:val="center"/>
            </w:pPr>
            <w:r>
              <w:t xml:space="preserve">0.0438</w:t>
            </w:r>
          </w:p>
        </w:tc>
        <w:tc>
          <w:tcPr/>
          <w:p>
            <w:pPr>
              <w:pStyle w:val="Compact"/>
              <w:jc w:val="center"/>
            </w:pPr>
            <w:r>
              <w:t xml:space="preserve">4.1%</w:t>
            </w:r>
          </w:p>
        </w:tc>
      </w:tr>
      <w:tr>
        <w:tc>
          <w:tcPr/>
          <w:p>
            <w:pPr>
              <w:pStyle w:val="Compact"/>
              <w:jc w:val="left"/>
            </w:pPr>
            <w:r>
              <w:t xml:space="preserve">ROA</w:t>
            </w:r>
          </w:p>
        </w:tc>
        <w:tc>
          <w:tcPr/>
          <w:p>
            <w:pPr>
              <w:pStyle w:val="Compact"/>
              <w:jc w:val="left"/>
            </w:pPr>
            <w:r>
              <w:t xml:space="preserve">AI stock</w:t>
            </w:r>
          </w:p>
        </w:tc>
        <w:tc>
          <w:tcPr/>
          <w:p>
            <w:pPr>
              <w:pStyle w:val="Compact"/>
              <w:jc w:val="center"/>
            </w:pPr>
            <w:r>
              <w:t xml:space="preserve">-0.0139</w:t>
            </w:r>
          </w:p>
        </w:tc>
        <w:tc>
          <w:tcPr/>
          <w:p>
            <w:pPr>
              <w:pStyle w:val="Compact"/>
              <w:jc w:val="center"/>
            </w:pPr>
            <w:r>
              <w:t xml:space="preserve">0.0035</w:t>
            </w:r>
          </w:p>
        </w:tc>
        <w:tc>
          <w:tcPr/>
          <w:p>
            <w:pPr>
              <w:pStyle w:val="Compact"/>
              <w:jc w:val="center"/>
            </w:pPr>
            <w:r>
              <w:t xml:space="preserve">0.0099</w:t>
            </w:r>
          </w:p>
        </w:tc>
        <w:tc>
          <w:tcPr/>
          <w:p>
            <w:pPr>
              <w:pStyle w:val="Compact"/>
              <w:jc w:val="center"/>
            </w:pPr>
            <w:r>
              <w:t xml:space="preserve">1.4%</w:t>
            </w:r>
          </w:p>
        </w:tc>
      </w:tr>
      <w:tr>
        <w:tc>
          <w:tcPr/>
          <w:p>
            <w:pPr>
              <w:pStyle w:val="Compact"/>
              <w:jc w:val="left"/>
            </w:pPr>
            <w:r>
              <w:t xml:space="preserve">ROA</w:t>
            </w:r>
          </w:p>
        </w:tc>
        <w:tc>
          <w:tcPr/>
          <w:p>
            <w:pPr>
              <w:pStyle w:val="Compact"/>
              <w:jc w:val="left"/>
            </w:pPr>
            <w:r>
              <w:t xml:space="preserve">Robotics stock (null)</w:t>
            </w:r>
          </w:p>
        </w:tc>
        <w:tc>
          <w:tcPr/>
          <w:p>
            <w:pPr>
              <w:pStyle w:val="Compact"/>
              <w:jc w:val="center"/>
            </w:pPr>
            <w:r>
              <w:t xml:space="preserve">+0.0088</w:t>
            </w:r>
          </w:p>
        </w:tc>
        <w:tc>
          <w:tcPr/>
          <w:p>
            <w:pPr>
              <w:pStyle w:val="Compact"/>
              <w:jc w:val="center"/>
            </w:pPr>
            <w:r>
              <w:t xml:space="preserve">0.0087</w:t>
            </w:r>
          </w:p>
        </w:tc>
        <w:tc>
          <w:tcPr/>
          <w:p>
            <w:pPr>
              <w:pStyle w:val="Compact"/>
              <w:jc w:val="center"/>
            </w:pPr>
            <w:r>
              <w:t xml:space="preserve">0.0244</w:t>
            </w:r>
          </w:p>
        </w:tc>
        <w:tc>
          <w:tcPr/>
          <w:p>
            <w:pPr>
              <w:pStyle w:val="Compact"/>
              <w:jc w:val="center"/>
            </w:pPr>
            <w:r>
              <w:t xml:space="preserve">3.5%</w:t>
            </w:r>
          </w:p>
        </w:tc>
      </w:tr>
      <w:tr>
        <w:tc>
          <w:tcPr/>
          <w:p>
            <w:pPr>
              <w:pStyle w:val="Compact"/>
              <w:jc w:val="left"/>
            </w:pPr>
            <w:r>
              <w:t xml:space="preserve">Tobin’s Q</w:t>
            </w:r>
          </w:p>
        </w:tc>
        <w:tc>
          <w:tcPr/>
          <w:p>
            <w:pPr>
              <w:pStyle w:val="Compact"/>
              <w:jc w:val="left"/>
            </w:pPr>
            <w:r>
              <w:t xml:space="preserve">AI stock</w:t>
            </w:r>
          </w:p>
        </w:tc>
        <w:tc>
          <w:tcPr/>
          <w:p>
            <w:pPr>
              <w:pStyle w:val="Compact"/>
              <w:jc w:val="center"/>
            </w:pPr>
            <w:r>
              <w:t xml:space="preserve">-0.2749</w:t>
            </w:r>
          </w:p>
        </w:tc>
        <w:tc>
          <w:tcPr/>
          <w:p>
            <w:pPr>
              <w:pStyle w:val="Compact"/>
              <w:jc w:val="center"/>
            </w:pPr>
            <w:r>
              <w:t xml:space="preserve">0.0439</w:t>
            </w:r>
          </w:p>
        </w:tc>
        <w:tc>
          <w:tcPr/>
          <w:p>
            <w:pPr>
              <w:pStyle w:val="Compact"/>
              <w:jc w:val="center"/>
            </w:pPr>
            <w:r>
              <w:t xml:space="preserve">0.1230</w:t>
            </w:r>
          </w:p>
        </w:tc>
        <w:tc>
          <w:tcPr/>
          <w:p>
            <w:pPr>
              <w:pStyle w:val="Compact"/>
              <w:jc w:val="center"/>
            </w:pPr>
            <w:r>
              <w:t xml:space="preserve">3.5%</w:t>
            </w:r>
          </w:p>
        </w:tc>
      </w:tr>
      <w:tr>
        <w:tc>
          <w:tcPr/>
          <w:p>
            <w:pPr>
              <w:pStyle w:val="Compact"/>
              <w:jc w:val="left"/>
            </w:pPr>
            <w:r>
              <w:t xml:space="preserve">Tobin’s Q</w:t>
            </w:r>
          </w:p>
        </w:tc>
        <w:tc>
          <w:tcPr/>
          <w:p>
            <w:pPr>
              <w:pStyle w:val="Compact"/>
              <w:jc w:val="left"/>
            </w:pPr>
            <w:r>
              <w:t xml:space="preserve">Robotics stock</w:t>
            </w:r>
          </w:p>
        </w:tc>
        <w:tc>
          <w:tcPr/>
          <w:p>
            <w:pPr>
              <w:pStyle w:val="Compact"/>
              <w:jc w:val="center"/>
            </w:pPr>
            <w:r>
              <w:t xml:space="preserve">+0.3975</w:t>
            </w:r>
          </w:p>
        </w:tc>
        <w:tc>
          <w:tcPr/>
          <w:p>
            <w:pPr>
              <w:pStyle w:val="Compact"/>
              <w:jc w:val="center"/>
            </w:pPr>
            <w:r>
              <w:t xml:space="preserve">0.0800</w:t>
            </w:r>
          </w:p>
        </w:tc>
        <w:tc>
          <w:tcPr/>
          <w:p>
            <w:pPr>
              <w:pStyle w:val="Compact"/>
              <w:jc w:val="center"/>
            </w:pPr>
            <w:r>
              <w:t xml:space="preserve">0.2241</w:t>
            </w:r>
          </w:p>
        </w:tc>
        <w:tc>
          <w:tcPr/>
          <w:p>
            <w:pPr>
              <w:pStyle w:val="Compact"/>
              <w:jc w:val="center"/>
            </w:pPr>
            <w:r>
              <w:t xml:space="preserve">6.4%</w:t>
            </w:r>
          </w:p>
        </w:tc>
      </w:tr>
    </w:tbl>
    <w:bookmarkEnd w:id="39"/>
    <w:p>
      <w:pPr>
        <w:pStyle w:val="BodyText"/>
      </w:pPr>
      <w:r>
        <w:rPr>
          <w:i/>
          <w:iCs/>
        </w:rPr>
        <w:t xml:space="preserve">Notes:</w:t>
      </w:r>
      <w:r>
        <w:t xml:space="preserve"> </w:t>
      </w:r>
      <w:r>
        <w:t xml:space="preserve">MDE(80%)</w:t>
      </w:r>
      <w:r>
        <w:t xml:space="preserve"> </w:t>
      </w:r>
      <m:oMath>
        <m:r>
          <m:rPr>
            <m:sty m:val="p"/>
          </m:rPr>
          <m:t>=</m:t>
        </m:r>
        <m:r>
          <m:rPr>
            <m:sty m:val="p"/>
          </m:rPr>
          <m:t>(</m:t>
        </m:r>
        <m:sSub>
          <m:e>
            <m:r>
              <m:t>z</m:t>
            </m:r>
          </m:e>
          <m:sub>
            <m:r>
              <m:t>0.975</m:t>
            </m:r>
          </m:sub>
        </m:sSub>
        <m:r>
          <m:rPr>
            <m:sty m:val="p"/>
          </m:rPr>
          <m:t>+</m:t>
        </m:r>
        <m:sSub>
          <m:e>
            <m:r>
              <m:t>z</m:t>
            </m:r>
          </m:e>
          <m:sub>
            <m:r>
              <m:t>0.80</m:t>
            </m:r>
          </m:sub>
        </m:sSub>
        <m:r>
          <m:rPr>
            <m:sty m:val="p"/>
          </m:rPr>
          <m:t>)</m:t>
        </m:r>
        <m:r>
          <m:rPr>
            <m:sty m:val="p"/>
          </m:rPr>
          <m:t>×</m:t>
        </m:r>
      </m:oMath>
      <w:r>
        <w:t xml:space="preserve">SE</w:t>
      </w:r>
      <w:r>
        <w:t xml:space="preserve"> </w:t>
      </w:r>
      <m:oMath>
        <m:r>
          <m:rPr>
            <m:sty m:val="p"/>
          </m:rPr>
          <m:t>≈</m:t>
        </m:r>
        <m:r>
          <m:t>2.80</m:t>
        </m:r>
        <m:r>
          <m:rPr>
            <m:sty m:val="p"/>
          </m:rPr>
          <m:t>×</m:t>
        </m:r>
      </m:oMath>
      <w:r>
        <w:t xml:space="preserve">SE of the two-way FE coefficient, expressed as a share of the outcome’s</w:t>
      </w:r>
      <w:r>
        <w:t xml:space="preserve"> </w:t>
      </w:r>
      <w:r>
        <w:t xml:space="preserve">cross-firm standard deviation. Small MDE/SD ratios on the null cells (robotics</w:t>
      </w:r>
      <m:oMath>
        <m:r>
          <m:rPr>
            <m:sty m:val="p"/>
          </m:rPr>
          <m:t>→</m:t>
        </m:r>
      </m:oMath>
      <w:r>
        <w:t xml:space="preserve">employment,</w:t>
      </w:r>
      <w:r>
        <w:t xml:space="preserve"> </w:t>
      </w:r>
      <w:r>
        <w:t xml:space="preserve">robotics</w:t>
      </w:r>
      <m:oMath>
        <m:r>
          <m:rPr>
            <m:sty m:val="p"/>
          </m:rPr>
          <m:t>→</m:t>
        </m:r>
      </m:oMath>
      <w:r>
        <w:t xml:space="preserve">ROA) indicate informative nulls: an effect of that size would have been detected at</w:t>
      </w:r>
      <w:r>
        <w:t xml:space="preserve"> </w:t>
      </w:r>
      <w:r>
        <w:t xml:space="preserve">80% power.</w:t>
      </w:r>
    </w:p>
    <w:bookmarkStart w:id="43" w:name="fig:es"/>
    <w:p>
      <w:pPr>
        <w:pStyle w:val="CaptionedFigure"/>
      </w:pPr>
      <w:r>
        <w:drawing>
          <wp:inline>
            <wp:extent cx="4267200" cy="2675466"/>
            <wp:effectExtent b="0" l="0" r="0" t="0"/>
            <wp:docPr descr="" title="" id="41" name="Picture"/>
            <a:graphic>
              <a:graphicData uri="http://schemas.openxmlformats.org/drawingml/2006/picture">
                <pic:pic>
                  <pic:nvPicPr>
                    <pic:cNvPr descr="fig1_ai_eventstudy.pdf" id="42" name="Picture"/>
                    <pic:cNvPicPr>
                      <a:picLocks noChangeArrowheads="1" noChangeAspect="1"/>
                    </pic:cNvPicPr>
                  </pic:nvPicPr>
                  <pic:blipFill>
                    <a:blip r:embed="rId40"/>
                    <a:stretch>
                      <a:fillRect/>
                    </a:stretch>
                  </pic:blipFill>
                  <pic:spPr bwMode="auto">
                    <a:xfrm>
                      <a:off x="0" y="0"/>
                      <a:ext cx="4267200" cy="2675466"/>
                    </a:xfrm>
                    <a:prstGeom prst="rect">
                      <a:avLst/>
                    </a:prstGeom>
                    <a:noFill/>
                    <a:ln w="9525">
                      <a:noFill/>
                      <a:headEnd/>
                      <a:tailEnd/>
                    </a:ln>
                  </pic:spPr>
                </pic:pic>
              </a:graphicData>
            </a:graphic>
          </wp:inline>
        </w:drawing>
      </w:r>
    </w:p>
    <w:p>
      <w:pPr>
        <w:pStyle w:val="ImageCaption"/>
      </w:pPr>
      <w:r>
        <w:t xml:space="preserve">Employment and sales-per-employee around a firm’s first AI patent (event time</w:t>
      </w:r>
      <w:r>
        <w:t xml:space="preserve"> </w:t>
      </w:r>
      <m:oMath>
        <m:r>
          <m:t>k</m:t>
        </m:r>
      </m:oMath>
      <w:r>
        <w:t xml:space="preserve">, base</w:t>
      </w:r>
      <w:r>
        <w:t xml:space="preserve"> </w:t>
      </w:r>
      <m:oMath>
        <m:r>
          <m:t>k</m:t>
        </m:r>
        <m:r>
          <m:rPr>
            <m:sty m:val="p"/>
          </m:rPr>
          <m:t>=</m:t>
        </m:r>
        <m:r>
          <m:rPr>
            <m:sty m:val="p"/>
          </m:rPr>
          <m:t>−</m:t>
        </m:r>
        <m:r>
          <m:t>1</m:t>
        </m:r>
      </m:oMath>
      <w:r>
        <w:t xml:space="preserve">), with firm and year fixed effects. Bands are 95% CIs (clustered by firm). Pre-adoption</w:t>
      </w:r>
      <w:r>
        <w:t xml:space="preserve"> </w:t>
      </w:r>
      <w:r>
        <w:t xml:space="preserve">trends are flat; both outcomes rise after adoption.</w:t>
      </w:r>
    </w:p>
    <w:bookmarkEnd w:id="43"/>
    <w:bookmarkStart w:id="47" w:name="fig:ri"/>
    <w:p>
      <w:pPr>
        <w:pStyle w:val="CaptionedFigure"/>
      </w:pPr>
      <w:r>
        <w:drawing>
          <wp:inline>
            <wp:extent cx="3840480" cy="2301240"/>
            <wp:effectExtent b="0" l="0" r="0" t="0"/>
            <wp:docPr descr="" title="" id="45" name="Picture"/>
            <a:graphic>
              <a:graphicData uri="http://schemas.openxmlformats.org/drawingml/2006/picture">
                <pic:pic>
                  <pic:nvPicPr>
                    <pic:cNvPr descr="fig2_randinf.pdf" id="46" name="Picture"/>
                    <pic:cNvPicPr>
                      <a:picLocks noChangeArrowheads="1" noChangeAspect="1"/>
                    </pic:cNvPicPr>
                  </pic:nvPicPr>
                  <pic:blipFill>
                    <a:blip r:embed="rId44"/>
                    <a:stretch>
                      <a:fillRect/>
                    </a:stretch>
                  </pic:blipFill>
                  <pic:spPr bwMode="auto">
                    <a:xfrm>
                      <a:off x="0" y="0"/>
                      <a:ext cx="3840480" cy="2301240"/>
                    </a:xfrm>
                    <a:prstGeom prst="rect">
                      <a:avLst/>
                    </a:prstGeom>
                    <a:noFill/>
                    <a:ln w="9525">
                      <a:noFill/>
                      <a:headEnd/>
                      <a:tailEnd/>
                    </a:ln>
                  </pic:spPr>
                </pic:pic>
              </a:graphicData>
            </a:graphic>
          </wp:inline>
        </w:drawing>
      </w:r>
    </w:p>
    <w:p>
      <w:pPr>
        <w:pStyle w:val="ImageCaption"/>
      </w:pPr>
      <w:r>
        <w:t xml:space="preserve">Randomization inference for the AI</w:t>
      </w:r>
      <m:oMath>
        <m:r>
          <m:rPr>
            <m:sty m:val="p"/>
          </m:rPr>
          <m:t>→</m:t>
        </m:r>
      </m:oMath>
      <w:r>
        <w:t xml:space="preserve">employment elasticity. Histogram: the distribution</w:t>
      </w:r>
      <w:r>
        <w:t xml:space="preserve"> </w:t>
      </w:r>
      <w:r>
        <w:t xml:space="preserve">of the coefficient under 500 random permutations of the firm-level AI trajectory (matched by</w:t>
      </w:r>
      <w:r>
        <w:t xml:space="preserve"> </w:t>
      </w:r>
      <w:r>
        <w:t xml:space="preserve">calendar year). The distribution is centered at zero (sharp null); the actual estimate (red line)</w:t>
      </w:r>
      <w:r>
        <w:t xml:space="preserve"> </w:t>
      </w:r>
      <w:r>
        <w:t xml:space="preserve">lies entirely outside it (RI</w:t>
      </w:r>
      <w:r>
        <w:t xml:space="preserve"> </w:t>
      </w:r>
      <m:oMath>
        <m:r>
          <m:t>p</m:t>
        </m:r>
        <m:r>
          <m:rPr>
            <m:sty m:val="p"/>
          </m:rPr>
          <m:t>&lt;</m:t>
        </m:r>
        <m:r>
          <m:t>0.002</m:t>
        </m:r>
      </m:oMath>
      <w:r>
        <w:t xml:space="preserve">).</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Coauthorship is provisional: the student is listed as a coauthor and authorship is confirmed upon completing the reserved hand-collection contribution (Task 1 in</w:t>
      </w:r>
      <w:r>
        <w:t xml:space="preserve"> </w:t>
      </w:r>
      <w:r>
        <w:rPr>
          <w:rStyle w:val="VerbatimChar"/>
        </w:rPr>
        <w:t xml:space="preserve">STUDENT_TASKS.md</w:t>
      </w:r>
      <w:r>
        <w:t xml:space="preserve">). A note on author order and status: the student is listed first here as a program convention, but in finance and economics published author order is conventionally alphabetical; all authorship on this draft is tentative and specific to the ASSIP 2026 program at this stage.</w:t>
      </w:r>
    </w:p>
  </w:footnote>
  <w:footnote w:id="10">
    <w:p>
      <w:pPr>
        <w:pStyle w:val="FootnoteText"/>
      </w:pPr>
      <w:r>
        <w:rPr>
          <w:rStyle w:val="FootnoteReference"/>
        </w:rPr>
        <w:footnoteRef/>
      </w:r>
      <w:r>
        <w:t xml:space="preserve"> </w:t>
      </w:r>
      <w:r>
        <w:t xml:space="preserve">Philipov: ASSIP 2026, George Mason University.</w:t>
      </w:r>
      <w:r>
        <w:t xml:space="preserve"> </w:t>
      </w:r>
      <w:r>
        <w:t xml:space="preserve">Gao (corresponding author): Costello College of Business, George Mason University,</w:t>
      </w:r>
      <w:r>
        <w:t xml:space="preserve"> </w:t>
      </w:r>
      <w:r>
        <w:rPr>
          <w:rStyle w:val="VerbatimChar"/>
        </w:rPr>
        <w:t xml:space="preserve">lgao9@gmu.edu</w:t>
      </w:r>
      <w:r>
        <w:t xml:space="preserve">. This is a student–faculty working paper prepared in the ASSIP 2026</w:t>
      </w:r>
      <w:r>
        <w:t xml:space="preserve"> </w:t>
      </w:r>
      <w:r>
        <w:t xml:space="preserve">Empirical Finance research group. Patent data are from the USPTO Artificial Intelligence Patent</w:t>
      </w:r>
      <w:r>
        <w:t xml:space="preserve"> </w:t>
      </w:r>
      <w:r>
        <w:t xml:space="preserve">Dataset (AI flags), PatentsView CPC classifications (subclass B25J for robotics), and the</w:t>
      </w:r>
      <w:r>
        <w:t xml:space="preserve"> </w:t>
      </w:r>
      <w:r>
        <w:t xml:space="preserve">Kogan-Papanikolaou-Seru-Stoffman patent–firm crosswalk (patent</w:t>
      </w:r>
      <m:oMath>
        <m:r>
          <m:rPr>
            <m:sty m:val="p"/>
          </m:rPr>
          <m:t>→</m:t>
        </m:r>
      </m:oMath>
      <w:r>
        <w:t xml:space="preserve">permno link and market</w:t>
      </w:r>
      <w:r>
        <w:t xml:space="preserve"> </w:t>
      </w:r>
      <w:r>
        <w:t xml:space="preserve">value); firm outcomes are from WRDS Compustat. Every number in the paper traces to a CSV in</w:t>
      </w:r>
      <w:r>
        <w:t xml:space="preserve"> </w:t>
      </w:r>
      <w:r>
        <w:rPr>
          <w:rStyle w:val="VerbatimChar"/>
        </w:rPr>
        <w:t xml:space="preserve">output/tables/</w:t>
      </w:r>
      <w:r>
        <w:t xml:space="preserve"> </w:t>
      </w:r>
      <w:r>
        <w:t xml:space="preserve">and is reproduced by the code in</w:t>
      </w:r>
      <w:r>
        <w:t xml:space="preserve"> </w:t>
      </w:r>
      <w:r>
        <w:rPr>
          <w:rStyle w:val="VerbatimChar"/>
        </w:rPr>
        <w:t xml:space="preserve">code/</w:t>
      </w:r>
      <w:r>
        <w:t xml:space="preserve">. We thank the ASSIP</w:t>
      </w:r>
      <w:r>
        <w:t xml:space="preserve"> </w:t>
      </w:r>
      <w:r>
        <w:t xml:space="preserve">2026 cohort for comments. Any errors are our own.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0" Target="media/rId40.pdf" /><Relationship Type="http://schemas.openxmlformats.org/officeDocument/2006/relationships/image" Id="rId44" Target="media/rId4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versus Physical Automation: Firm-Level Evidence from AI and Robotics Patents</dc:title>
  <dc:creator>Michael Philipov; Lei Gao</dc:creator>
  <cp:keywords/>
  <dcterms:created xsi:type="dcterms:W3CDTF">2026-07-25T07:11:23Z</dcterms:created>
  <dcterms:modified xsi:type="dcterms:W3CDTF">2026-07-25T07:11:23Z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Automation comes in two forms: cognitive (artificial intelligence, which substitutes for information processing) and physical (robotics, which substitutes for manual tasks). We ask whether the two have different footprints inside the firms that create them. Linking the USPTO AI Patent Dataset and CPC robotics patents (subclass B25J) to 7,087 publicly-traded innovators (83,976 firm-years, 1995–2024) via the Kogan-Papanikolaou-Seru- Stoffman (KPSS) patent–firm crosswalk, we find a sharp contrast. In two-way (firm + year) fixed-effects panels, a firm’s cumulative AI-patent stock is associated with higher employment (elasticity 0.055, t=7.5), whereas its robotics stock is associated with higher market value (Tobin’s Q coefficient 0.40, t=5.0) but no employment change. An event study around a firm’s first AI patent shows employment rising about 11% and sales-per-employee about 6% over the following five years, with flat pre-trends. At the level of the innovating firm, cognitive automation looks labor-complementary, not labor-displacing. We stress-test both headline results. The AI–employment complementarity survives industry \times year fixed effects (0.036, t=4.8) and added accounting controls, and it concentrates in high-tech and R&amp;D-active firms—the settings where AI is most plausibly a productive input rather than a labeling artifact. Randomization inference that permutes the entire firm-level AI trajectory across firms 500 times places the actual elasticity far outside a permutation distribution centered at zero (design-based p&lt;0.002), so the result is not an artifact of clustered-standard-error asymptotics. The robotics–value result is equally robust and is strongest among large firms. A minimum-detectable-effect analysis shows the genuine nulls are informative: at 80% power we could have detected a robotics–employment elasticity of about 2.3\% of the employment standard deviation, so the absence of a firm-level robotics employment effect is a bound, not low power. These remain within-firm conditional correlations; hand-reading whether each robotics patent is labor-replacing or labor-augmenting is the paper’s key remaining input. JEL: O33, J23, G30, O31. Keywords: artificial intelligence, robotics, automation, patents, employment, firm value, randomization inference, statistical power.</vt:lpwstr>
  </property>
  <property fmtid="{D5CDD505-2E9C-101B-9397-08002B2CF9AE}" pid="3" name="date">
    <vt:lpwstr>July 2026</vt:lpwstr>
  </property>
</Properties>
</file>