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df" ContentType="application/pdf"/>
  <Override PartName="/word/media/rId44.pdf" ContentType="application/pdf"/>
  <Override PartName="/word/media/rId48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Did Mandatory Clawbacks Curb CEO Risk-Taking?</w:t>
      </w:r>
      <w:r>
        <w:br/>
      </w:r>
      <w:r>
        <w:rPr>
          <w:b/>
          <w:bCs/>
        </w:rPr>
        <w:t xml:space="preserve">Difference-in-Differences Evidence from SEC Rule 10D-1</w:t>
      </w:r>
    </w:p>
    <w:p>
      <w:pPr>
        <w:pStyle w:val="Author"/>
      </w:pPr>
      <w:r>
        <w:t xml:space="preserve">Aiden Shanyu Chen</w:t>
      </w:r>
      <w:r>
        <w:rPr>
          <w:rStyle w:val="FootnoteReference"/>
        </w:rPr>
        <w:footnoteReference w:id="9"/>
      </w:r>
    </w:p>
    <w:p>
      <w:pPr>
        <w:pStyle w:val="Author"/>
      </w:pPr>
      <w:r>
        <w:t xml:space="preserve">Lei Gao</w:t>
      </w:r>
      <w:r>
        <w:rPr>
          <w:rStyle w:val="FootnoteReference"/>
        </w:rPr>
        <w:footnoteReference w:id="10"/>
      </w:r>
    </w:p>
    <w:p>
      <w:pPr>
        <w:pStyle w:val="Date"/>
      </w:pPr>
      <w:r>
        <w:t xml:space="preserve">July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Voluntary clawback provisions are associated with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corporate</w:t>
      </w:r>
      <w:r>
        <w:t xml:space="preserve"> </w:t>
      </w:r>
      <w:r>
        <w:t xml:space="preserve">risk-taking</w:t>
      </w:r>
      <w:r>
        <w:t xml:space="preserve"> </w:t>
      </w:r>
      <w:r>
        <w:t xml:space="preserve">. We ask whether the</w:t>
      </w:r>
      <w:r>
        <w:t xml:space="preserve"> </w:t>
      </w:r>
      <w:r>
        <w:rPr>
          <w:i/>
          <w:iCs/>
        </w:rPr>
        <w:t xml:space="preserve">mandatory</w:t>
      </w:r>
      <w:r>
        <w:t xml:space="preserve"> </w:t>
      </w:r>
      <w:r>
        <w:t xml:space="preserve">clawback</w:t>
      </w:r>
      <w:r>
        <w:t xml:space="preserve"> </w:t>
      </w:r>
      <w:r>
        <w:t xml:space="preserve">regime created by SEC Rule 10D-1 (adopted October 2022; listing standards effective</w:t>
      </w:r>
      <w:r>
        <w:t xml:space="preserve"> </w:t>
      </w:r>
      <w:r>
        <w:t xml:space="preserve">October 2023) produced the same effect. Because a compliant policy was required of</w:t>
      </w:r>
      <w:r>
        <w:t xml:space="preserve"> </w:t>
      </w:r>
      <w:r>
        <w:t xml:space="preserve">essentially every listed issuer, a clean control group needs firms for whom the mandate</w:t>
      </w:r>
      <w:r>
        <w:t xml:space="preserve"> </w:t>
      </w:r>
      <w:r>
        <w:t xml:space="preserve">did not bind. We exploit the fact that voluntary clawbacks were already near-universal at</w:t>
      </w:r>
      <w:r>
        <w:t xml:space="preserve"> </w:t>
      </w:r>
      <w:r>
        <w:t xml:space="preserve">large firms but rare at small ones by 2013</w:t>
      </w:r>
      <w:r>
        <w:t xml:space="preserve"> </w:t>
      </w:r>
      <w:r>
        <w:t xml:space="preserve">, and run a</w:t>
      </w:r>
      <w:r>
        <w:t xml:space="preserve"> </w:t>
      </w:r>
      <w:r>
        <w:t xml:space="preserve">difference-in-differences comparing forced adopters (S&amp;P SmallCap 600) with already-covered</w:t>
      </w:r>
      <w:r>
        <w:t xml:space="preserve"> </w:t>
      </w:r>
      <w:r>
        <w:t xml:space="preserve">controls (S&amp;P 500), using 753 firms and 8</w:t>
      </w:r>
      <w:r>
        <w:t xml:space="preserve">,</w:t>
      </w:r>
      <w:r>
        <w:t xml:space="preserve">222 firm-years (2015–2025) with firm and year</w:t>
      </w:r>
      <w:r>
        <w:t xml:space="preserve"> </w:t>
      </w:r>
      <w:r>
        <w:t xml:space="preserve">fixed effects and firm-clustered standard errors.</w:t>
      </w:r>
      <w:r>
        <w:t xml:space="preserve"> </w:t>
      </w:r>
      <w:r>
        <w:rPr>
          <w:b/>
          <w:bCs/>
        </w:rPr>
        <w:t xml:space="preserve">We find no robust evidence that the</w:t>
      </w:r>
      <w:r>
        <w:rPr>
          <w:b/>
          <w:bCs/>
        </w:rPr>
        <w:t xml:space="preserve"> </w:t>
      </w:r>
      <w:r>
        <w:rPr>
          <w:b/>
          <w:bCs/>
        </w:rPr>
        <w:t xml:space="preserve">mandate changed CEO risk-taking.</w:t>
      </w:r>
      <w:r>
        <w:t xml:space="preserve"> </w:t>
      </w:r>
      <w:r>
        <w:t xml:space="preserve">The direct investment/M&amp;A channels emphasized by the prior</w:t>
      </w:r>
      <w:r>
        <w:t xml:space="preserve"> </w:t>
      </w:r>
      <w:r>
        <w:t xml:space="preserve">literature are flat: the post</w:t>
      </w:r>
      <m:oMath>
        <m:r>
          <m:rPr>
            <m:sty m:val="p"/>
          </m:rPr>
          <m:t>×</m:t>
        </m:r>
      </m:oMath>
      <w:r>
        <w:t xml:space="preserve">treated coefficient is insignificant for</w:t>
      </w:r>
      <w:r>
        <w:t xml:space="preserve"> </w:t>
      </w:r>
      <w:r>
        <w:t xml:space="preserve">investment/assets (</w:t>
      </w:r>
      <m:oMath>
        <m:r>
          <m:rPr>
            <m:sty m:val="p"/>
          </m:rPr>
          <m:t>+</m:t>
        </m:r>
        <m:r>
          <m:t>0.003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0.81</m:t>
        </m:r>
      </m:oMath>
      <w:r>
        <w:t xml:space="preserve">), capex (</w:t>
      </w:r>
      <m:oMath>
        <m:r>
          <m:rPr>
            <m:sty m:val="p"/>
          </m:rPr>
          <m:t>−</m:t>
        </m:r>
        <m:r>
          <m:t>0.001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1.30</m:t>
        </m:r>
      </m:oMath>
      <w:r>
        <w:t xml:space="preserve">), R&amp;D (</w:t>
      </w:r>
      <m:oMath>
        <m:r>
          <m:rPr>
            <m:sty m:val="p"/>
          </m:rPr>
          <m:t>+</m:t>
        </m:r>
        <m:r>
          <m:t>0.002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1.33</m:t>
        </m:r>
      </m:oMath>
      <w:r>
        <w:t xml:space="preserve">), and acquisitions (</w:t>
      </w:r>
      <m:oMath>
        <m:r>
          <m:rPr>
            <m:sty m:val="p"/>
          </m:rPr>
          <m:t>+</m:t>
        </m:r>
        <m:r>
          <m:t>0.002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0.81</m:t>
        </m:r>
      </m:oMath>
      <w:r>
        <w:t xml:space="preserve">), as are leverage and cash. Stock-return</w:t>
      </w:r>
      <w:r>
        <w:t xml:space="preserve"> </w:t>
      </w:r>
      <w:r>
        <w:t xml:space="preserve">volatility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fall for forced adopters (idiosyncratic vol. </w:t>
      </w:r>
      <m:oMath>
        <m:r>
          <m:rPr>
            <m:sty m:val="p"/>
          </m:rPr>
          <m:t>−</m:t>
        </m:r>
        <m:r>
          <m:t>0.027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5.01</m:t>
        </m:r>
      </m:oMath>
      <w:r>
        <w:t xml:space="preserve">), but</w:t>
      </w:r>
      <w:r>
        <w:t xml:space="preserve"> </w:t>
      </w:r>
      <w:r>
        <w:t xml:space="preserve">this is not a clawback effect: parallel trends are rejected (pre-trend Wald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), the</w:t>
      </w:r>
      <w:r>
        <w:t xml:space="preserve"> </w:t>
      </w:r>
      <w:r>
        <w:t xml:space="preserve">event study shows no discontinuity at 2023, size-matching the treated and control firms</w:t>
      </w:r>
      <w:r>
        <w:t xml:space="preserve"> </w:t>
      </w:r>
      <w:r>
        <w:t xml:space="preserve">attenuates it (to</w:t>
      </w:r>
      <w:r>
        <w:t xml:space="preserve"> </w:t>
      </w:r>
      <m:oMath>
        <m:r>
          <m:rPr>
            <m:sty m:val="p"/>
          </m:rPr>
          <m:t>−</m:t>
        </m:r>
        <m:r>
          <m:t>0.021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2.37</m:t>
        </m:r>
      </m:oMath>
      <w:r>
        <w:t xml:space="preserve">), and size-based placebos that carry no clawback content</w:t>
      </w:r>
      <w:r>
        <w:t xml:space="preserve"> </w:t>
      </w:r>
      <w:r>
        <w:t xml:space="preserve">reproduce it (S&amp;P 400 vs. 500:</w:t>
      </w:r>
      <w:r>
        <w:t xml:space="preserve"> </w:t>
      </w:r>
      <m:oMath>
        <m:r>
          <m:rPr>
            <m:sty m:val="p"/>
          </m:rPr>
          <m:t>−</m:t>
        </m:r>
        <m:r>
          <m:t>0.018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3.59</m:t>
        </m:r>
      </m:oMath>
      <w:r>
        <w:t xml:space="preserve">). Two additions push past the usual</w:t>
      </w:r>
      <w:r>
        <w:t xml:space="preserve"> </w:t>
      </w:r>
      <w:r>
        <w:t xml:space="preserve">“we found nothing”</w:t>
      </w:r>
      <w:r>
        <w:t xml:space="preserve"> </w:t>
      </w:r>
      <w:r>
        <w:t xml:space="preserve">paper. First,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 </w:t>
      </w:r>
      <w:r>
        <w:t xml:space="preserve">(500 permutations of</w:t>
      </w:r>
      <w:r>
        <w:t xml:space="preserve"> </w:t>
      </w:r>
      <w:r>
        <w:t xml:space="preserve">treatment) gives the investment null a design-based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0.43</m:t>
        </m:r>
      </m:oMath>
      <w:r>
        <w:t xml:space="preserve"> </w:t>
      </w:r>
      <w:r>
        <w:t xml:space="preserve">while confirming the volatility</w:t>
      </w:r>
      <w:r>
        <w:t xml:space="preserve"> </w:t>
      </w:r>
      <w:r>
        <w:t xml:space="preserve">coefficient is a systematic size phenomenon, not noise. Second, a</w:t>
      </w:r>
      <w:r>
        <w:t xml:space="preserve"> </w:t>
      </w:r>
      <w:r>
        <w:rPr>
          <w:i/>
          <w:iCs/>
        </w:rPr>
        <w:t xml:space="preserve">minimum-detectable-effect</w:t>
      </w:r>
      <w:r>
        <w:t xml:space="preserve"> </w:t>
      </w:r>
      <w:r>
        <w:t xml:space="preserve">analysis shows the null is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: at 80% power we could have detected risk-taking</w:t>
      </w:r>
      <w:r>
        <w:t xml:space="preserve"> </w:t>
      </w:r>
      <w:r>
        <w:t xml:space="preserve">changes of 5–16% of the outcome mean—smaller than the effects the voluntary-adoption</w:t>
      </w:r>
      <w:r>
        <w:t xml:space="preserve"> </w:t>
      </w:r>
      <w:r>
        <w:t xml:space="preserve">literature reports—so the absence of an effect is evidence, not low power. Whether a true</w:t>
      </w:r>
      <w:r>
        <w:t xml:space="preserve"> </w:t>
      </w:r>
      <w:r>
        <w:t xml:space="preserve">effect is hidden by our index-membership proxy for ex-ante clawback status is the question our</w:t>
      </w:r>
      <w:r>
        <w:t xml:space="preserve"> </w:t>
      </w:r>
      <w:r>
        <w:t xml:space="preserve">hand-collection of 10D-1 provision strength is designed to answer.</w:t>
      </w:r>
      <w:r>
        <w:br/>
      </w:r>
      <w:r>
        <w:rPr>
          <w:b/>
          <w:bCs/>
        </w:rPr>
        <w:t xml:space="preserve">JEL:</w:t>
      </w:r>
      <w:r>
        <w:t xml:space="preserve"> </w:t>
      </w:r>
      <w:r>
        <w:t xml:space="preserve">G32, G34, G38, K22, M12.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clawback, executive compensation, risk-taking, SEC Rule 10D-1,</w:t>
      </w:r>
      <w:r>
        <w:t xml:space="preserve"> </w:t>
      </w:r>
      <w:r>
        <w:t xml:space="preserve">difference-in-differences, randomization inference, statistical power.</w:t>
      </w:r>
    </w:p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When a firm can</w:t>
      </w:r>
      <w:r>
        <w:t xml:space="preserve"> </w:t>
      </w:r>
      <w:r>
        <w:rPr>
          <w:i/>
          <w:iCs/>
        </w:rPr>
        <w:t xml:space="preserve">claw back</w:t>
      </w:r>
      <w:r>
        <w:t xml:space="preserve"> </w:t>
      </w:r>
      <w:r>
        <w:t xml:space="preserve">incentive pay after the fact, its executives bear more of the</w:t>
      </w:r>
      <w:r>
        <w:t xml:space="preserve"> </w:t>
      </w:r>
      <w:r>
        <w:t xml:space="preserve">downside of risky bets, and standard contracting theory predicts they will take fewer of them</w:t>
      </w:r>
      <w:r>
        <w:t xml:space="preserve"> </w:t>
      </w:r>
      <w:r>
        <w:t xml:space="preserve">. Empirically, firms that</w:t>
      </w:r>
      <w:r>
        <w:t xml:space="preserve"> </w:t>
      </w:r>
      <w:r>
        <w:rPr>
          <w:i/>
          <w:iCs/>
        </w:rPr>
        <w:t xml:space="preserve">voluntarily</w:t>
      </w:r>
      <w:r>
        <w:t xml:space="preserve"> </w:t>
      </w:r>
      <w:r>
        <w:t xml:space="preserve">adopted clawback provisions</w:t>
      </w:r>
      <w:r>
        <w:t xml:space="preserve"> </w:t>
      </w:r>
      <w:r>
        <w:t xml:space="preserve">during 2005–2014 subsequently reduced risk-taking along investment and capital-structure</w:t>
      </w:r>
      <w:r>
        <w:t xml:space="preserve"> </w:t>
      </w:r>
      <w:r>
        <w:t xml:space="preserve">margins</w:t>
      </w:r>
      <w:r>
        <w:t xml:space="preserve"> </w:t>
      </w:r>
      <w:r>
        <w:t xml:space="preserve">, and</w:t>
      </w:r>
      <w:r>
        <w:t xml:space="preserve"> </w:t>
      </w:r>
      <w:r>
        <w:t xml:space="preserve"> </w:t>
      </w:r>
      <w:r>
        <w:t xml:space="preserve">show that voluntary adoption causes measured</w:t>
      </w:r>
      <w:r>
        <w:t xml:space="preserve"> </w:t>
      </w:r>
      <w:r>
        <w:t xml:space="preserve">firm risk to fall through more conservative investment and financial policies. In October 2022</w:t>
      </w:r>
      <w:r>
        <w:t xml:space="preserve"> </w:t>
      </w:r>
      <w:r>
        <w:t xml:space="preserve">the SEC finalized Rule 10D-1 under Dodd-Frank Section 954, and by late 2023 the national</w:t>
      </w:r>
      <w:r>
        <w:t xml:space="preserve"> </w:t>
      </w:r>
      <w:r>
        <w:t xml:space="preserve">exchanges required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listed issuer to adopt a compliant clawback policy</w:t>
      </w:r>
      <w:r>
        <w:t xml:space="preserve"> </w:t>
      </w:r>
      <w:r>
        <w:t xml:space="preserve">. This paper asks the natural follow-on question: did the</w:t>
      </w:r>
      <w:r>
        <w:t xml:space="preserve"> </w:t>
      </w:r>
      <w:r>
        <w:rPr>
          <w:i/>
          <w:iCs/>
        </w:rPr>
        <w:t xml:space="preserve">mandate</w:t>
      </w:r>
      <w:r>
        <w:t xml:space="preserve"> </w:t>
      </w:r>
      <w:r>
        <w:t xml:space="preserve">reproduce the risk-reduction that</w:t>
      </w:r>
      <w:r>
        <w:t xml:space="preserve"> </w:t>
      </w:r>
      <w:r>
        <w:rPr>
          <w:i/>
          <w:iCs/>
        </w:rPr>
        <w:t xml:space="preserve">voluntary</w:t>
      </w:r>
      <w:r>
        <w:t xml:space="preserve"> </w:t>
      </w:r>
      <w:r>
        <w:t xml:space="preserve">adoption delivered?</w:t>
      </w:r>
    </w:p>
    <w:p>
      <w:pPr>
        <w:pStyle w:val="BodyText"/>
      </w:pPr>
      <w:r>
        <w:t xml:space="preserve">The central identification problem is that the mandate is close to universal, so a simple</w:t>
      </w:r>
      <w:r>
        <w:t xml:space="preserve"> </w:t>
      </w:r>
      <w:r>
        <w:t xml:space="preserve">before/after comparison confounds the rule with everything else that happened to public firms</w:t>
      </w:r>
      <w:r>
        <w:t xml:space="preserve"> </w:t>
      </w:r>
      <w:r>
        <w:t xml:space="preserve">in 2023–2025. We build a control group from the one dimension along which the mandate plausibly</w:t>
      </w:r>
      <w:r>
        <w:t xml:space="preserve"> </w:t>
      </w:r>
      <w:r>
        <w:t xml:space="preserve">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bind: firms that already had a voluntary clawback. Direct firm-level data on</w:t>
      </w:r>
      <w:r>
        <w:t xml:space="preserve"> </w:t>
      </w:r>
      <w:r>
        <w:t xml:space="preserve">pre-existing voluntary policies is not available on our data platform, so we use the robust</w:t>
      </w:r>
      <w:r>
        <w:t xml:space="preserve"> </w:t>
      </w:r>
      <w:r>
        <w:t xml:space="preserve">empirical regularity that voluntary clawbacks were near-universal among large firms but rare</w:t>
      </w:r>
      <w:r>
        <w:t xml:space="preserve"> </w:t>
      </w:r>
      <w:r>
        <w:t xml:space="preserve">among small ones by 2013</w:t>
      </w:r>
      <w:r>
        <w:t xml:space="preserve"> </w:t>
      </w:r>
      <w:r>
        <w:t xml:space="preserve">. We therefore treat the S&amp;P SmallCap 600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forced adopters</w:t>
      </w:r>
      <w:r>
        <w:t xml:space="preserve"> </w:t>
      </w:r>
      <w:r>
        <w:t xml:space="preserve">(ex-ante mostly without a clawback) and the S&amp;P 500 as</w:t>
      </w:r>
      <w:r>
        <w:t xml:space="preserve"> </w:t>
      </w:r>
      <w:r>
        <w:rPr>
          <w:i/>
          <w:iCs/>
        </w:rPr>
        <w:t xml:space="preserve">already-covered controls</w:t>
      </w:r>
      <w:r>
        <w:t xml:space="preserve">, fix group membership at the pre-rule baseline (June 2022), and</w:t>
      </w:r>
      <w:r>
        <w:t xml:space="preserve"> </w:t>
      </w:r>
      <w:r>
        <w:t xml:space="preserve">estimate a difference-in-differences with firm and year fixed effects. This is an</w:t>
      </w:r>
      <w:r>
        <w:t xml:space="preserve"> </w:t>
      </w:r>
      <w:r>
        <w:t xml:space="preserve">intent-to-treat proxy; its validity, and the path to a sharper test, is the subject of the</w:t>
      </w:r>
      <w:r>
        <w:t xml:space="preserve"> </w:t>
      </w:r>
      <w:r>
        <w:t xml:space="preserve">companion hand-collection task.</w:t>
      </w:r>
    </w:p>
    <w:p>
      <w:pPr>
        <w:pStyle w:val="BodyText"/>
      </w:pPr>
      <w:r>
        <w:rPr>
          <w:b/>
          <w:bCs/>
        </w:rPr>
        <w:t xml:space="preserve">Our result is an honest null on the question that matters.</w:t>
      </w:r>
      <w:r>
        <w:t xml:space="preserve"> </w:t>
      </w:r>
      <w:r>
        <w:t xml:space="preserve">Across the risk-taking</w:t>
      </w:r>
      <w:r>
        <w:t xml:space="preserve"> </w:t>
      </w:r>
      <w:r>
        <w:t xml:space="preserve">outcomes the prior literature emphasizes, the mandate leaves no measurable footprint. In our</w:t>
      </w:r>
      <w:r>
        <w:t xml:space="preserve"> </w:t>
      </w:r>
      <w:r>
        <w:t xml:space="preserve">preferred specification (firm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year fixed effects, controls, firm-clustered SE), the</w:t>
      </w:r>
      <w:r>
        <w:t xml:space="preserve"> </w:t>
      </w:r>
      <w:r>
        <w:t xml:space="preserve">post</w:t>
      </w:r>
      <m:oMath>
        <m:r>
          <m:rPr>
            <m:sty m:val="p"/>
          </m:rPr>
          <m:t>×</m:t>
        </m:r>
      </m:oMath>
      <w:r>
        <w:t xml:space="preserve">treated coefficient is economically tiny and statistically insignificant for total</w:t>
      </w:r>
      <w:r>
        <w:t xml:space="preserve"> </w:t>
      </w:r>
      <w:r>
        <w:t xml:space="preserve">investment/assets (</w:t>
      </w:r>
      <m:oMath>
        <m:r>
          <m:rPr>
            <m:sty m:val="p"/>
          </m:rPr>
          <m:t>+</m:t>
        </m:r>
        <m:r>
          <m:t>0.003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0.81</m:t>
        </m:r>
      </m:oMath>
      <w:r>
        <w:t xml:space="preserve">), capital expenditure (</w:t>
      </w:r>
      <m:oMath>
        <m:r>
          <m:rPr>
            <m:sty m:val="p"/>
          </m:rPr>
          <m:t>−</m:t>
        </m:r>
        <m:r>
          <m:t>0.001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1.30</m:t>
        </m:r>
      </m:oMath>
      <w:r>
        <w:t xml:space="preserve">), R&amp;D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0.002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1.33</m:t>
        </m:r>
      </m:oMath>
      <w:r>
        <w:t xml:space="preserve">), acquisitions (</w:t>
      </w:r>
      <m:oMath>
        <m:r>
          <m:rPr>
            <m:sty m:val="p"/>
          </m:rPr>
          <m:t>+</m:t>
        </m:r>
        <m:r>
          <m:t>0.002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0.81</m:t>
        </m:r>
      </m:oMath>
      <w:r>
        <w:t xml:space="preserve">), book leverage (</w:t>
      </w:r>
      <m:oMath>
        <m:r>
          <m:rPr>
            <m:sty m:val="p"/>
          </m:rPr>
          <m:t>+</m:t>
        </m:r>
        <m:r>
          <m:t>0.003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0.40</m:t>
        </m:r>
      </m:oMath>
      <w:r>
        <w:t xml:space="preserve">),</w:t>
      </w:r>
      <w:r>
        <w:t xml:space="preserve"> </w:t>
      </w:r>
      <w:r>
        <w:t xml:space="preserve">and cash holdings (</w:t>
      </w:r>
      <m:oMath>
        <m:r>
          <m:rPr>
            <m:sty m:val="p"/>
          </m:rPr>
          <m:t>+</m:t>
        </m:r>
        <m:r>
          <m:t>0.008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1.49</m:t>
        </m:r>
      </m:oMath>
      <w:r>
        <w:t xml:space="preserve">) (Table </w:t>
      </w:r>
      <w:hyperlink w:anchor="tab:main">
        <w:r>
          <w:rPr>
            <w:rStyle w:val="Hyperlink"/>
          </w:rPr>
          <w:t xml:space="preserve">2</w:t>
        </w:r>
      </w:hyperlink>
      <w:r>
        <w:t xml:space="preserve">). The one outcome that moves is</w:t>
      </w:r>
      <w:r>
        <w:t xml:space="preserve"> </w:t>
      </w:r>
      <w:r>
        <w:t xml:space="preserve">stock-return volatility: idiosyncratic volatility falls by</w:t>
      </w:r>
      <w:r>
        <w:t xml:space="preserve"> </w:t>
      </w:r>
      <m:oMath>
        <m:r>
          <m:t>0.027</m:t>
        </m:r>
      </m:oMath>
      <w:r>
        <w:t xml:space="preserve"> </w:t>
      </w:r>
      <w:r>
        <w:t xml:space="preserve">for forced adopters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5.01</m:t>
        </m:r>
      </m:oMath>
      <w:r>
        <w:t xml:space="preserve">), and total volatility by</w:t>
      </w:r>
      <w:r>
        <w:t xml:space="preserve"> </w:t>
      </w:r>
      <m:oMath>
        <m:r>
          <m:t>0.015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2.60</m:t>
        </m:r>
      </m:oMath>
      <w:r>
        <w:t xml:space="preserve">).</w:t>
      </w:r>
    </w:p>
    <w:p>
      <w:pPr>
        <w:pStyle w:val="BodyText"/>
      </w:pPr>
      <w:r>
        <w:t xml:space="preserve">We then show that this volatility result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clawback effect, and we take the space</w:t>
      </w:r>
      <w:r>
        <w:t xml:space="preserve"> </w:t>
      </w:r>
      <w:r>
        <w:t xml:space="preserve">to do so because the temptation to report it as one is exactly the kind of false positive this</w:t>
      </w:r>
      <w:r>
        <w:t xml:space="preserve"> </w:t>
      </w:r>
      <w:r>
        <w:t xml:space="preserve">literature must guard against. First, parallel trends are decisively rejected: a joint test of</w:t>
      </w:r>
      <w:r>
        <w:t xml:space="preserve"> </w:t>
      </w:r>
      <w:r>
        <w:t xml:space="preserve">the pre-2022 dynamic-DiD coefficients gives Wald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, and every pre-period coefficient is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(Table </w:t>
      </w:r>
      <w:hyperlink w:anchor="tab:main">
        <w:r>
          <w:rPr>
            <w:rStyle w:val="Hyperlink"/>
          </w:rPr>
          <w:t xml:space="preserve">2</w:t>
        </w:r>
      </w:hyperlink>
      <w:r>
        <w:t xml:space="preserve">, Figure </w:t>
      </w:r>
      <w:hyperlink w:anchor="fig:es">
        <w:r>
          <w:rPr>
            <w:rStyle w:val="Hyperlink"/>
          </w:rPr>
          <w:t xml:space="preserve">1</w:t>
        </w:r>
      </w:hyperlink>
      <w:r>
        <w:t xml:space="preserve">)—forced adopters were structurally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volatile before the rule, not on a parallel path. Second, the event study shows no</w:t>
      </w:r>
      <w:r>
        <w:t xml:space="preserve"> </w:t>
      </w:r>
      <w:r>
        <w:t xml:space="preserve">downward break at the 2023 effective date; the negative average</w:t>
      </w:r>
      <w:r>
        <w:t xml:space="preserve"> </w:t>
      </w:r>
      <w:r>
        <w:t xml:space="preserve">“effect”</w:t>
      </w:r>
      <w:r>
        <w:t xml:space="preserve"> </w:t>
      </w:r>
      <w:r>
        <w:t xml:space="preserve">is mechanically</w:t>
      </w:r>
      <w:r>
        <w:t xml:space="preserve"> </w:t>
      </w:r>
      <w:r>
        <w:t xml:space="preserve">produced by the unusually large treated–control volatility gap during the 2020–21 COVID period</w:t>
      </w:r>
      <w:r>
        <w:t xml:space="preserve"> </w:t>
      </w:r>
      <w:r>
        <w:t xml:space="preserve">mean-reverting afterward. Third, when we</w:t>
      </w:r>
      <w:r>
        <w:t xml:space="preserve"> </w:t>
      </w:r>
      <w:r>
        <w:rPr>
          <w:i/>
          <w:iCs/>
        </w:rPr>
        <w:t xml:space="preserve">size-match</w:t>
      </w:r>
      <w:r>
        <w:t xml:space="preserve"> </w:t>
      </w:r>
      <w:r>
        <w:t xml:space="preserve">treated and control firms on their</w:t>
      </w:r>
      <w:r>
        <w:t xml:space="preserve"> </w:t>
      </w:r>
      <w:r>
        <w:t xml:space="preserve">pre-rule size—collapsing the treated–control size gap from</w:t>
      </w:r>
      <w:r>
        <w:t xml:space="preserve"> </w:t>
      </w:r>
      <m:oMath>
        <m:r>
          <m:t>2.54</m:t>
        </m:r>
      </m:oMath>
      <w:r>
        <w:t xml:space="preserve"> </w:t>
      </w:r>
      <w:r>
        <w:t xml:space="preserve">log points to</w:t>
      </w:r>
      <w:r>
        <w:t xml:space="preserve"> </w:t>
      </w:r>
      <m:oMath>
        <m:r>
          <m:t>0.23</m:t>
        </m:r>
      </m:oMath>
      <w:r>
        <w:t xml:space="preserve">—the</w:t>
      </w:r>
      <w:r>
        <w:t xml:space="preserve"> </w:t>
      </w:r>
      <w:r>
        <w:t xml:space="preserve">volatility coefficient attenuates to</w:t>
      </w:r>
      <w:r>
        <w:t xml:space="preserve"> </w:t>
      </w:r>
      <m:oMath>
        <m:r>
          <m:rPr>
            <m:sty m:val="p"/>
          </m:rPr>
          <m:t>−</m:t>
        </m:r>
        <m:r>
          <m:t>0.021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2.37</m:t>
        </m:r>
      </m:oMath>
      <w:r>
        <w:t xml:space="preserve">), while the real-risk margins remain</w:t>
      </w:r>
      <w:r>
        <w:t xml:space="preserve"> </w:t>
      </w:r>
      <w:r>
        <w:t xml:space="preserve">unsupportive of risk-reduction. Fourth, and decisively, size-based placebos that contain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differential clawback treatment produce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coefficient: S&amp;P MidCap 400</w:t>
      </w:r>
      <w:r>
        <w:t xml:space="preserve"> </w:t>
      </w:r>
      <w:r>
        <w:t xml:space="preserve">versus S&amp;P 500 gives</w:t>
      </w:r>
      <w:r>
        <w:t xml:space="preserve"> </w:t>
      </w:r>
      <m:oMath>
        <m:r>
          <m:rPr>
            <m:sty m:val="p"/>
          </m:rPr>
          <m:t>−</m:t>
        </m:r>
        <m:r>
          <m:t>0.018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3.59</m:t>
        </m:r>
      </m:oMath>
      <w:r>
        <w:t xml:space="preserve">), and a below-median-size split gives</w:t>
      </w:r>
      <w:r>
        <w:t xml:space="preserve"> </w:t>
      </w:r>
      <m:oMath>
        <m:r>
          <m:rPr>
            <m:sty m:val="p"/>
          </m:rPr>
          <m:t>−</m:t>
        </m:r>
        <m:r>
          <m:t>0.018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4.02</m:t>
        </m:r>
      </m:oMath>
      <w:r>
        <w:t xml:space="preserve">) (Table </w:t>
      </w:r>
      <w:hyperlink w:anchor="tab:robust">
        <w:r>
          <w:rPr>
            <w:rStyle w:val="Hyperlink"/>
          </w:rPr>
          <w:t xml:space="preserve">4</w:t>
        </w:r>
      </w:hyperlink>
      <w:r>
        <w:t xml:space="preserve">). The volatility pattern is a small-firm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post-COVID</w:t>
      </w:r>
      <w:r>
        <w:t xml:space="preserve"> </w:t>
      </w:r>
      <w:r>
        <w:t xml:space="preserve">phenomenon, not a response to Rule 10D-1.</w:t>
      </w:r>
    </w:p>
    <w:p>
      <w:pPr>
        <w:pStyle w:val="BodyText"/>
      </w:pPr>
      <w:r>
        <w:t xml:space="preserve">Two further steps distinguish this from a paper that simply reports a coefficient near zero and</w:t>
      </w:r>
      <w:r>
        <w:t xml:space="preserve"> </w:t>
      </w:r>
      <w:r>
        <w:t xml:space="preserve">stops. First, we subject the design to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: we permute the</w:t>
      </w:r>
      <w:r>
        <w:t xml:space="preserve"> </w:t>
      </w:r>
      <w:r>
        <w:t xml:space="preserve">(time-invariant) treatment label across firms 500 times and rebuild the DiD each time</w:t>
      </w:r>
      <w:r>
        <w:t xml:space="preserve"> </w:t>
      </w:r>
      <w:r>
        <w:t xml:space="preserve">(Table </w:t>
      </w:r>
      <w:hyperlink w:anchor="tab:ri">
        <w:r>
          <w:rPr>
            <w:rStyle w:val="Hyperlink"/>
          </w:rPr>
          <w:t xml:space="preserve">7</w:t>
        </w:r>
      </w:hyperlink>
      <w:r>
        <w:t xml:space="preserve">, 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). The investment coefficient sits squarely inside the</w:t>
      </w:r>
      <w:r>
        <w:t xml:space="preserve"> </w:t>
      </w:r>
      <w:r>
        <w:t xml:space="preserve">permutation distribution (design-based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0.43</m:t>
        </m:r>
      </m:oMath>
      <w:r>
        <w:t xml:space="preserve">), so the real-risk null does not depend on</w:t>
      </w:r>
      <w:r>
        <w:t xml:space="preserve"> </w:t>
      </w:r>
      <w:r>
        <w:t xml:space="preserve">clustered-standard-error asymptotics with a moderate number of clusters. The volatility</w:t>
      </w:r>
      <w:r>
        <w:t xml:space="preserve"> </w:t>
      </w:r>
      <w:r>
        <w:t xml:space="preserve">coefficient lies far outside the permutation distribution (</w:t>
      </w:r>
      <m:oMath>
        <m:r>
          <m:t>p</m:t>
        </m:r>
        <m:r>
          <m:rPr>
            <m:sty m:val="p"/>
          </m:rPr>
          <m:t>&lt;</m:t>
        </m:r>
        <m:r>
          <m:t>0.002</m:t>
        </m:r>
      </m:oMath>
      <w:r>
        <w:t xml:space="preserve">)—which, because random</w:t>
      </w:r>
      <w:r>
        <w:t xml:space="preserve"> </w:t>
      </w:r>
      <w:r>
        <w:t xml:space="preserve">assignment ignores firm size, tells us the volatility gap is a</w:t>
      </w:r>
      <w:r>
        <w:t xml:space="preserve"> </w:t>
      </w:r>
      <w:r>
        <w:rPr>
          <w:i/>
          <w:iCs/>
        </w:rPr>
        <w:t xml:space="preserve">systematic</w:t>
      </w:r>
      <w:r>
        <w:t xml:space="preserve"> </w:t>
      </w:r>
      <w:r>
        <w:t xml:space="preserve">feature of</w:t>
      </w:r>
      <w:r>
        <w:t xml:space="preserve"> </w:t>
      </w:r>
      <w:r>
        <w:t xml:space="preserve">which firms are treated (i.e., their size), consistent with the size-artifact reading rather</w:t>
      </w:r>
      <w:r>
        <w:t xml:space="preserve"> </w:t>
      </w:r>
      <w:r>
        <w:t xml:space="preserve">than with sampling noise. Second, we ask whether the null is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 </w:t>
      </w:r>
      <w:r>
        <w:t xml:space="preserve">or merely</w:t>
      </w:r>
      <w:r>
        <w:t xml:space="preserve"> </w:t>
      </w:r>
      <w:r>
        <w:t xml:space="preserve">underpowered. A minimum-detectable-effect (MDE) calculation (Table </w:t>
      </w:r>
      <w:hyperlink w:anchor="tab:power">
        <w:r>
          <w:rPr>
            <w:rStyle w:val="Hyperlink"/>
          </w:rPr>
          <w:t xml:space="preserve">8</w:t>
        </w:r>
      </w:hyperlink>
      <w:r>
        <w:t xml:space="preserve">) shows that</w:t>
      </w:r>
      <w:r>
        <w:t xml:space="preserve"> </w:t>
      </w:r>
      <w:r>
        <w:t xml:space="preserve">at 80% power our design would have detected risk-taking changes of roughly 5–16% of each</w:t>
      </w:r>
      <w:r>
        <w:t xml:space="preserve"> </w:t>
      </w:r>
      <w:r>
        <w:t xml:space="preserve">outcome’s mean on the investment, capex, R&amp;D, leverage, and cash margins—magnitudes at or</w:t>
      </w:r>
      <w:r>
        <w:t xml:space="preserve"> </w:t>
      </w:r>
      <w:r>
        <w:t xml:space="preserve">below the effects the voluntary-clawback literature reports. The mandate’s real-risk effect, if</w:t>
      </w:r>
      <w:r>
        <w:t xml:space="preserve"> </w:t>
      </w:r>
      <w:r>
        <w:t xml:space="preserve">any, is smaller than that; the absence of a detected effect is therefore evidence of absence,</w:t>
      </w:r>
      <w:r>
        <w:t xml:space="preserve"> </w:t>
      </w:r>
      <w:r>
        <w:t xml:space="preserve">not absence of evidence.</w:t>
      </w:r>
    </w:p>
    <w:p>
      <w:pPr>
        <w:pStyle w:val="BodyText"/>
      </w:pPr>
      <w:r>
        <w:t xml:space="preserve">We make four contributions. First, we provide the first difference-in-differences evidence on</w:t>
      </w:r>
      <w:r>
        <w:t xml:space="preserve"> </w:t>
      </w:r>
      <w:r>
        <w:t xml:space="preserve">the real-side effects of the</w:t>
      </w:r>
      <w:r>
        <w:t xml:space="preserve"> </w:t>
      </w:r>
      <w:r>
        <w:rPr>
          <w:i/>
          <w:iCs/>
        </w:rPr>
        <w:t xml:space="preserve">mandatory</w:t>
      </w:r>
      <w:r>
        <w:t xml:space="preserve"> </w:t>
      </w:r>
      <w:r>
        <w:t xml:space="preserve">US clawback regime, complementing the</w:t>
      </w:r>
      <w:r>
        <w:t xml:space="preserve"> </w:t>
      </w:r>
      <w:r>
        <w:t xml:space="preserve">voluntary-adoption literature</w:t>
      </w:r>
      <w:r>
        <w:t xml:space="preserve"> </w:t>
      </w:r>
      <w:r>
        <w:t xml:space="preserve"> </w:t>
      </w:r>
      <w:r>
        <w:t xml:space="preserve">and the reporting-quality</w:t>
      </w:r>
      <w:r>
        <w:t xml:space="preserve"> </w:t>
      </w:r>
      <w:r>
        <w:t xml:space="preserve">literature</w:t>
      </w:r>
      <w:r>
        <w:t xml:space="preserve"> </w:t>
      </w:r>
      <w:r>
        <w:t xml:space="preserve">. Second, we show that the risk-reduction</w:t>
      </w:r>
      <w:r>
        <w:t xml:space="preserve"> </w:t>
      </w:r>
      <w:r>
        <w:t xml:space="preserve">found for voluntary adopters does not obviously carry over to the mandate’s first two years—a</w:t>
      </w:r>
      <w:r>
        <w:t xml:space="preserve"> </w:t>
      </w:r>
      <w:r>
        <w:t xml:space="preserve">policy-relevant null, consistent with 10D-1 being a narrow, restatement-triggered recovery rule</w:t>
      </w:r>
      <w:r>
        <w:t xml:space="preserve"> </w:t>
      </w:r>
      <w:r>
        <w:t xml:space="preserve">rather than a broad governance upgrade. Third, we offer a cautionary methodological point: a</w:t>
      </w:r>
      <w:r>
        <w:t xml:space="preserve"> </w:t>
      </w:r>
      <w:r>
        <w:t xml:space="preserve">size-based treatment proxy mechanically loads on any size-correlated shock (here, COVID</w:t>
      </w:r>
      <w:r>
        <w:t xml:space="preserve"> </w:t>
      </w:r>
      <w:r>
        <w:t xml:space="preserve">volatility), so the one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result is a placebo failure, not a finding—and we show</w:t>
      </w:r>
      <w:r>
        <w:t xml:space="preserve"> </w:t>
      </w:r>
      <w:r>
        <w:t xml:space="preserve">how matching, placebos, and randomization inference jointly diagnose it. Fourth, we treat the</w:t>
      </w:r>
      <w:r>
        <w:t xml:space="preserve"> </w:t>
      </w:r>
      <w:r>
        <w:t xml:space="preserve">null as a quantitative object, reporting its power and minimum detectable effect so that readers</w:t>
      </w:r>
      <w:r>
        <w:t xml:space="preserve"> </w:t>
      </w:r>
      <w:r>
        <w:t xml:space="preserve">can see what the design can and cannot rule out. Section </w:t>
      </w:r>
      <w:hyperlink w:anchor="sec:bg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gives institutional</w:t>
      </w:r>
      <w:r>
        <w:t xml:space="preserve"> </w:t>
      </w:r>
      <w:r>
        <w:t xml:space="preserve">background and hypotheses, Section </w:t>
      </w:r>
      <w:hyperlink w:anchor="sec:li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places the paper in the literature,</w:t>
      </w:r>
      <w:r>
        <w:t xml:space="preserve"> </w:t>
      </w:r>
      <w:r>
        <w:t xml:space="preserve">Section </w:t>
      </w:r>
      <w:hyperlink w:anchor="sec:dat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the data and research design, Section </w:t>
      </w:r>
      <w:hyperlink w:anchor="sec:re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the main results,</w:t>
      </w:r>
      <w:r>
        <w:t xml:space="preserve"> </w:t>
      </w:r>
      <w:r>
        <w:t xml:space="preserve">Section </w:t>
      </w:r>
      <w:hyperlink w:anchor="sec:noncausal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the case that the volatility result is non-causal,</w:t>
      </w:r>
      <w:r>
        <w:t xml:space="preserve"> </w:t>
      </w:r>
      <w:r>
        <w:t xml:space="preserve">Section </w:t>
      </w:r>
      <w:hyperlink w:anchor="sec:het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heterogeneity, Section </w:t>
      </w:r>
      <w:hyperlink w:anchor="sec:robust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matching and randomization</w:t>
      </w:r>
      <w:r>
        <w:t xml:space="preserve"> </w:t>
      </w:r>
      <w:r>
        <w:t xml:space="preserve">inference, Section 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the power analysis, and Section </w:t>
      </w:r>
      <w:hyperlink w:anchor="sec:concl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concludes</w:t>
      </w:r>
      <w:r>
        <w:t xml:space="preserve"> </w:t>
      </w:r>
      <w:r>
        <w:t xml:space="preserve">with the hand-collection that would sharpen the test.</w:t>
      </w:r>
    </w:p>
    <w:bookmarkEnd w:id="11"/>
    <w:bookmarkStart w:id="16" w:name="sec:bg"/>
    <w:p>
      <w:pPr>
        <w:pStyle w:val="Heading1"/>
      </w:pPr>
      <w:r>
        <w:t xml:space="preserve">Institutional Background and Hypotheses</w:t>
      </w:r>
    </w:p>
    <w:bookmarkStart w:id="12" w:name="the-rule."/>
    <w:p>
      <w:pPr>
        <w:pStyle w:val="Heading4"/>
      </w:pPr>
      <w:r>
        <w:t xml:space="preserve">The rule.</w:t>
      </w:r>
    </w:p>
    <w:p>
      <w:pPr>
        <w:pStyle w:val="FirstParagraph"/>
      </w:pPr>
      <w:r>
        <w:t xml:space="preserve">Section 954 of the 2010 Dodd-Frank Act directed the SEC to require</w:t>
      </w:r>
      <w:r>
        <w:t xml:space="preserve"> </w:t>
      </w:r>
      <w:r>
        <w:t xml:space="preserve">exchanges to condition listing on issuers maintaining a policy to recover incentive</w:t>
      </w:r>
      <w:r>
        <w:t xml:space="preserve"> </w:t>
      </w:r>
      <w:r>
        <w:t xml:space="preserve">compensation erroneously awarded on the basis of financial statements later restated. The SEC</w:t>
      </w:r>
      <w:r>
        <w:t xml:space="preserve"> </w:t>
      </w:r>
      <w:r>
        <w:t xml:space="preserve">adopted the implementing rule, 10D-1, on October 26, 2022</w:t>
      </w:r>
      <w:r>
        <w:t xml:space="preserve"> </w:t>
      </w:r>
      <w:r>
        <w:t xml:space="preserve">. The NYSE and Nasdaq</w:t>
      </w:r>
      <w:r>
        <w:t xml:space="preserve"> </w:t>
      </w:r>
      <w:r>
        <w:t xml:space="preserve">listing standards took effect October 2, 2023, and issuers were required to adopt a compliant</w:t>
      </w:r>
      <w:r>
        <w:t xml:space="preserve"> </w:t>
      </w:r>
      <w:r>
        <w:t xml:space="preserve">recovery policy by December 1, 2023. The rule is</w:t>
      </w:r>
      <w:r>
        <w:t xml:space="preserve"> </w:t>
      </w:r>
      <w:r>
        <w:rPr>
          <w:i/>
          <w:iCs/>
        </w:rPr>
        <w:t xml:space="preserve">restatement-triggered</w:t>
      </w:r>
      <w:r>
        <w:t xml:space="preserve"> </w:t>
      </w:r>
      <w:r>
        <w:t xml:space="preserve">(recovery is</w:t>
      </w:r>
      <w:r>
        <w:t xml:space="preserve"> </w:t>
      </w:r>
      <w:r>
        <w:t xml:space="preserve">mandatory upon an accounting restatement,</w:t>
      </w:r>
      <w:r>
        <w:t xml:space="preserve"> </w:t>
      </w:r>
      <w:r>
        <w:t xml:space="preserve">“big R”</w:t>
      </w:r>
      <w:r>
        <w:t xml:space="preserve"> </w:t>
      </w:r>
      <w:r>
        <w:t xml:space="preserve">or</w:t>
      </w:r>
      <w:r>
        <w:t xml:space="preserve"> </w:t>
      </w:r>
      <w:r>
        <w:t xml:space="preserve">“little r,”</w:t>
      </w:r>
      <w:r>
        <w:t xml:space="preserve"> </w:t>
      </w:r>
      <w:r>
        <w:t xml:space="preserve">regardless of fault) and</w:t>
      </w:r>
      <w:r>
        <w:t xml:space="preserve"> </w:t>
      </w:r>
      <w:r>
        <w:t xml:space="preserve">applies a three-year look-back to incentive compensation of current and former executive</w:t>
      </w:r>
      <w:r>
        <w:t xml:space="preserve"> </w:t>
      </w:r>
      <w:r>
        <w:t xml:space="preserve">officers. We therefore date the first (partially) treated fiscal year as 2023 and the first</w:t>
      </w:r>
      <w:r>
        <w:t xml:space="preserve"> </w:t>
      </w:r>
      <w:r>
        <w:t xml:space="preserve">fully covered years as 2024–2025.</w:t>
      </w:r>
    </w:p>
    <w:bookmarkEnd w:id="12"/>
    <w:bookmarkStart w:id="13" w:name="why-a-mandate-might-reduce-risk-taking."/>
    <w:p>
      <w:pPr>
        <w:pStyle w:val="Heading4"/>
      </w:pPr>
      <w:r>
        <w:t xml:space="preserve">Why a mandate might reduce risk-taking.</w:t>
      </w:r>
    </w:p>
    <w:p>
      <w:pPr>
        <w:pStyle w:val="FirstParagraph"/>
      </w:pPr>
      <w:r>
        <w:t xml:space="preserve">If clawbacks lengthen the effective horizon</w:t>
      </w:r>
      <w:r>
        <w:t xml:space="preserve"> </w:t>
      </w:r>
      <w:r>
        <w:t xml:space="preserve">over which executives are held to results and expose them to the reversal of pay after bad</w:t>
      </w:r>
      <w:r>
        <w:t xml:space="preserve"> </w:t>
      </w:r>
      <w:r>
        <w:t xml:space="preserve">realizations, risk-averse managers should tilt toward safer investment and financial policies</w:t>
      </w:r>
      <w:r>
        <w:t xml:space="preserve"> </w:t>
      </w:r>
      <w:r>
        <w:t xml:space="preserve">. This is the mechanism</w:t>
      </w:r>
      <w:r>
        <w:t xml:space="preserve"> </w:t>
      </w:r>
      <w:r>
        <w:t xml:space="preserve"> </w:t>
      </w:r>
      <w:r>
        <w:t xml:space="preserve">document for voluntary</w:t>
      </w:r>
      <w:r>
        <w:t xml:space="preserve"> </w:t>
      </w:r>
      <w:r>
        <w:t xml:space="preserve">adopters (more conservative investment, pre-emptive management of legal and operational risk) and</w:t>
      </w:r>
      <w:r>
        <w:t xml:space="preserve"> </w:t>
      </w:r>
      <w:r>
        <w:t xml:space="preserve"> </w:t>
      </w:r>
      <w:r>
        <w:t xml:space="preserve">document as lower investment- and leverage-based risk. It motivates:</w:t>
      </w:r>
    </w:p>
    <w:p>
      <w:pPr>
        <w:pStyle w:val="BlockText"/>
      </w:pPr>
      <w:r>
        <w:rPr>
          <w:b/>
          <w:bCs/>
        </w:rPr>
        <w:t xml:space="preserve">H1 (Risk-reduction).</w:t>
      </w:r>
      <w:r>
        <w:t xml:space="preserve"> </w:t>
      </w:r>
      <w:r>
        <w:t xml:space="preserve">After Rule 10D-1 binds, forced adopters reduce CEO risk-taking</w:t>
      </w:r>
      <w:r>
        <w:t xml:space="preserve"> </w:t>
      </w:r>
      <w:r>
        <w:t xml:space="preserve">(investment intensity, R&amp;D, acquisitions, leverage, and return volatility) relative to</w:t>
      </w:r>
      <w:r>
        <w:t xml:space="preserve"> </w:t>
      </w:r>
      <w:r>
        <w:t xml:space="preserve">already-covered controls: the post</w:t>
      </w:r>
      <m:oMath>
        <m:r>
          <m:rPr>
            <m:sty m:val="p"/>
          </m:rPr>
          <m:t>×</m:t>
        </m:r>
      </m:oMath>
      <w:r>
        <w:t xml:space="preserve">treated coefficient is negative.</w:t>
      </w:r>
    </w:p>
    <w:bookmarkEnd w:id="13"/>
    <w:bookmarkStart w:id="14" w:name="X44837df19291c84c2c39dda8e966e210bb275f6"/>
    <w:p>
      <w:pPr>
        <w:pStyle w:val="Heading4"/>
      </w:pPr>
      <w:r>
        <w:t xml:space="preserve">Why a mandate might do nothing to real risk.</w:t>
      </w:r>
    </w:p>
    <w:p>
      <w:pPr>
        <w:pStyle w:val="FirstParagraph"/>
      </w:pPr>
      <w:r>
        <w:t xml:space="preserve">Three forces push toward a null. (i)</w:t>
      </w:r>
      <w:r>
        <w:t xml:space="preserve"> </w:t>
      </w:r>
      <w:r>
        <w:t xml:space="preserve">10D-1 recovers pay only upon an</w:t>
      </w:r>
      <w:r>
        <w:t xml:space="preserve"> </w:t>
      </w:r>
      <w:r>
        <w:rPr>
          <w:i/>
          <w:iCs/>
        </w:rPr>
        <w:t xml:space="preserve">accounting restatement</w:t>
      </w:r>
      <w:r>
        <w:t xml:space="preserve">; it does not penalize risky</w:t>
      </w:r>
      <w:r>
        <w:t xml:space="preserve"> </w:t>
      </w:r>
      <w:r>
        <w:t xml:space="preserve">investments that simply turn out badly, so its incentive bite on real risk-taking may be small</w:t>
      </w:r>
      <w:r>
        <w:t xml:space="preserve"> </w:t>
      </w:r>
      <w:r>
        <w:t xml:space="preserve">relative to broad voluntary policies. (ii) Firms and boards can offset a clawback’s incentive</w:t>
      </w:r>
      <w:r>
        <w:t xml:space="preserve"> </w:t>
      </w:r>
      <w:r>
        <w:t xml:space="preserve">effect by re-optimizing the rest of the pay package (e.g., raising fixed or grant-date pay).</w:t>
      </w:r>
      <w:r>
        <w:t xml:space="preserve"> </w:t>
      </w:r>
      <w:r>
        <w:t xml:space="preserve">(iii) Anticipation: the rule was proposed in 2015 and widely expected, so affected behavior may</w:t>
      </w:r>
      <w:r>
        <w:t xml:space="preserve"> </w:t>
      </w:r>
      <w:r>
        <w:t xml:space="preserve">have adjusted before 2023. These motivate the competing prediction:</w:t>
      </w:r>
    </w:p>
    <w:p>
      <w:pPr>
        <w:pStyle w:val="BlockText"/>
      </w:pPr>
      <w:r>
        <w:rPr>
          <w:b/>
          <w:bCs/>
        </w:rPr>
        <w:t xml:space="preserve">H2 (Null).</w:t>
      </w:r>
      <w:r>
        <w:t xml:space="preserve"> </w:t>
      </w:r>
      <w:r>
        <w:t xml:space="preserve">Because the mandate is narrow, offset by contract re-optimization, and</w:t>
      </w:r>
      <w:r>
        <w:t xml:space="preserve"> </w:t>
      </w:r>
      <w:r>
        <w:t xml:space="preserve">anticipated, it does not change real CEO risk-taking: the post</w:t>
      </w:r>
      <m:oMath>
        <m:r>
          <m:rPr>
            <m:sty m:val="p"/>
          </m:rPr>
          <m:t>×</m:t>
        </m:r>
      </m:oMath>
      <w:r>
        <w:t xml:space="preserve">treated coefficient is</w:t>
      </w:r>
      <w:r>
        <w:t xml:space="preserve"> </w:t>
      </w:r>
      <w:r>
        <w:t xml:space="preserve">indistinguishable from zero.</w:t>
      </w:r>
    </w:p>
    <w:p>
      <w:pPr>
        <w:pStyle w:val="FirstParagraph"/>
      </w:pPr>
      <w:r>
        <w:t xml:space="preserve">Our evidence favors H2 for the real-investment and financing margins, and shows that the</w:t>
      </w:r>
      <w:r>
        <w:t xml:space="preserve"> </w:t>
      </w:r>
      <w:r>
        <w:t xml:space="preserve">apparent support for H1 in return volatility is an artifact.</w:t>
      </w:r>
    </w:p>
    <w:bookmarkEnd w:id="14"/>
    <w:bookmarkStart w:id="15" w:name="X7f95276da9f3d93348b0f876f242ef00130ef63"/>
    <w:p>
      <w:pPr>
        <w:pStyle w:val="Heading4"/>
      </w:pPr>
      <w:r>
        <w:t xml:space="preserve">Why strength should matter (and why the student’s task is pivotal).</w:t>
      </w:r>
    </w:p>
    <w:p>
      <w:pPr>
        <w:pStyle w:val="FirstParagraph"/>
      </w:pPr>
      <w:r>
        <w:t xml:space="preserve">Rule 10D-1 sets</w:t>
      </w:r>
      <w:r>
        <w:t xml:space="preserve"> </w:t>
      </w:r>
      <w:r>
        <w:t xml:space="preserve">a floor, not a uniform policy. Firms wrote materially different recovery policies: some reach</w:t>
      </w:r>
      <w:r>
        <w:t xml:space="preserve"> </w:t>
      </w:r>
      <w:r>
        <w:t xml:space="preserve">only formal restatements, others extend to broader misconduct; some use the statutory</w:t>
      </w:r>
      <w:r>
        <w:t xml:space="preserve"> </w:t>
      </w:r>
      <w:r>
        <w:t xml:space="preserve">three-year look-back, others go longer; some interact the clawback with severance or</w:t>
      </w:r>
      <w:r>
        <w:t xml:space="preserve"> </w:t>
      </w:r>
      <w:r>
        <w:t xml:space="preserve">change-in-control multiples. If stronger policies change behavior and weaker ones do not, a</w:t>
      </w:r>
      <w:r>
        <w:t xml:space="preserve"> </w:t>
      </w:r>
      <w:r>
        <w:t xml:space="preserve">pooled test averages toward zero—exactly the null we report. Our design cannot separate strong</w:t>
      </w:r>
      <w:r>
        <w:t xml:space="preserve"> </w:t>
      </w:r>
      <w:r>
        <w:t xml:space="preserve">from weak clawbacks, because it proxies treatment with firm size. Hand-coding provision strength</w:t>
      </w:r>
      <w:r>
        <w:t xml:space="preserve"> </w:t>
      </w:r>
      <w:r>
        <w:t xml:space="preserve">from EDGAR exhibits (the companion student task) is the direct route to a dose-response test,</w:t>
      </w:r>
      <w:r>
        <w:t xml:space="preserve"> </w:t>
      </w:r>
      <w:r>
        <w:t xml:space="preserve">and is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attempted with the observable moderators we use in</w:t>
      </w:r>
      <w:r>
        <w:t xml:space="preserve"> </w:t>
      </w:r>
      <w:r>
        <w:t xml:space="preserve">Section </w:t>
      </w:r>
      <w:hyperlink w:anchor="sec:het">
        <w:r>
          <w:rPr>
            <w:rStyle w:val="Hyperlink"/>
          </w:rPr>
          <w:t xml:space="preserve">7</w:t>
        </w:r>
      </w:hyperlink>
      <w:r>
        <w:t xml:space="preserve">.</w:t>
      </w:r>
    </w:p>
    <w:bookmarkEnd w:id="15"/>
    <w:bookmarkEnd w:id="16"/>
    <w:bookmarkStart w:id="17" w:name="sec:lit"/>
    <w:p>
      <w:pPr>
        <w:pStyle w:val="Heading1"/>
      </w:pPr>
      <w:r>
        <w:t xml:space="preserve">Related Literature</w:t>
      </w:r>
    </w:p>
    <w:p>
      <w:pPr>
        <w:pStyle w:val="FirstParagraph"/>
      </w:pPr>
      <w:r>
        <w:t xml:space="preserve">This paper connects three strands. The first is the economics of clawbacks. Theoretically,</w:t>
      </w:r>
      <w:r>
        <w:t xml:space="preserve"> </w:t>
      </w:r>
      <w:r>
        <w:t xml:space="preserve">recovery provisions extend the horizon over which pay is exposed to outcomes and should curb</w:t>
      </w:r>
      <w:r>
        <w:t xml:space="preserve"> </w:t>
      </w:r>
      <w:r>
        <w:t xml:space="preserve">excessive risk-taking and earnings management</w:t>
      </w:r>
      <w:r>
        <w:t xml:space="preserve"> </w:t>
      </w:r>
      <w:r>
        <w:t xml:space="preserve">. Empirically, the</w:t>
      </w:r>
      <w:r>
        <w:t xml:space="preserve"> </w:t>
      </w:r>
      <w:r>
        <w:rPr>
          <w:i/>
          <w:iCs/>
        </w:rPr>
        <w:t xml:space="preserve">voluntary</w:t>
      </w:r>
      <w:r>
        <w:t xml:space="preserve"> </w:t>
      </w:r>
      <w:r>
        <w:t xml:space="preserve">adoption literature finds that clawbacks improve financial-reporting quality</w:t>
      </w:r>
      <w:r>
        <w:t xml:space="preserve"> </w:t>
      </w:r>
      <w:r>
        <w:t xml:space="preserve">, are valued by the market</w:t>
      </w:r>
      <w:r>
        <w:t xml:space="preserve"> </w:t>
      </w:r>
      <w:r>
        <w:t xml:space="preserve">, and reduce</w:t>
      </w:r>
      <w:r>
        <w:t xml:space="preserve"> </w:t>
      </w:r>
      <w:r>
        <w:t xml:space="preserve">firm risk and investment aggressiveness</w:t>
      </w:r>
      <w:r>
        <w:t xml:space="preserve"> </w:t>
      </w:r>
      <w:r>
        <w:t xml:space="preserve">. Our contribution is to move</w:t>
      </w:r>
      <w:r>
        <w:t xml:space="preserve"> </w:t>
      </w:r>
      <w:r>
        <w:t xml:space="preserve">from voluntary adoption—an endogenous corporate choice—to the</w:t>
      </w:r>
      <w:r>
        <w:t xml:space="preserve"> </w:t>
      </w:r>
      <w:r>
        <w:rPr>
          <w:i/>
          <w:iCs/>
        </w:rPr>
        <w:t xml:space="preserve">mandate</w:t>
      </w:r>
      <w:r>
        <w:t xml:space="preserve">, where the</w:t>
      </w:r>
      <w:r>
        <w:t xml:space="preserve"> </w:t>
      </w:r>
      <w:r>
        <w:t xml:space="preserve">policy is imposed on nearly all issuers at once, and to ask whether the behavioral response</w:t>
      </w:r>
      <w:r>
        <w:t xml:space="preserve"> </w:t>
      </w:r>
      <w:r>
        <w:t xml:space="preserve">survives when the provision is a uniform regulatory floor rather than a chosen governance</w:t>
      </w:r>
      <w:r>
        <w:t xml:space="preserve"> </w:t>
      </w:r>
      <w:r>
        <w:t xml:space="preserve">upgrade.</w:t>
      </w:r>
    </w:p>
    <w:p>
      <w:pPr>
        <w:pStyle w:val="BodyText"/>
      </w:pPr>
      <w:r>
        <w:t xml:space="preserve">The second strand is the design of difference-in-differences under near-universal treatment and</w:t>
      </w:r>
      <w:r>
        <w:t xml:space="preserve"> </w:t>
      </w:r>
      <w:r>
        <w:t xml:space="preserve">the credibility of parallel-trends assumptions. Recent work stresses that pre-trend tests have</w:t>
      </w:r>
      <w:r>
        <w:t xml:space="preserve"> </w:t>
      </w:r>
      <w:r>
        <w:t xml:space="preserve">low power and can license false confidence</w:t>
      </w:r>
      <w:r>
        <w:t xml:space="preserve"> </w:t>
      </w:r>
      <w:r>
        <w:t xml:space="preserve">, that conventional</w:t>
      </w:r>
      <w:r>
        <w:t xml:space="preserve"> </w:t>
      </w:r>
      <w:r>
        <w:t xml:space="preserve">event-study/DiD estimands are fragile under treatment-effect heterogeneity</w:t>
      </w:r>
      <w:r>
        <w:t xml:space="preserve"> </w:t>
      </w:r>
      <w:r>
        <w:t xml:space="preserve">, and that inference with a modest number of clusters benefits from</w:t>
      </w:r>
      <w:r>
        <w:t xml:space="preserve"> </w:t>
      </w:r>
      <w:r>
        <w:t xml:space="preserve">design-based methods such as randomization inference</w:t>
      </w:r>
      <w:r>
        <w:t xml:space="preserve"> </w:t>
      </w:r>
      <w:r>
        <w:t xml:space="preserve">. We use these tools not</w:t>
      </w:r>
      <w:r>
        <w:t xml:space="preserve"> </w:t>
      </w:r>
      <w:r>
        <w:t xml:space="preserve">as decoration but diagnostically: the volatility</w:t>
      </w:r>
      <w:r>
        <w:t xml:space="preserve"> </w:t>
      </w:r>
      <w:r>
        <w:t xml:space="preserve">“effect”</w:t>
      </w:r>
      <w:r>
        <w:t xml:space="preserve"> </w:t>
      </w:r>
      <w:r>
        <w:t xml:space="preserve">passes a naive DiD yet fails a</w:t>
      </w:r>
      <w:r>
        <w:t xml:space="preserve"> </w:t>
      </w:r>
      <w:r>
        <w:t xml:space="preserve">pre-trend test, a size-matched re-estimation, size placebos, and—read correctly—randomization</w:t>
      </w:r>
      <w:r>
        <w:t xml:space="preserve"> </w:t>
      </w:r>
      <w:r>
        <w:t xml:space="preserve">inference, a convergence of evidence that identifies it as a size</w:t>
      </w:r>
      <m:oMath>
        <m:r>
          <m:rPr>
            <m:sty m:val="p"/>
          </m:rPr>
          <m:t>×</m:t>
        </m:r>
      </m:oMath>
      <w:r>
        <w:t xml:space="preserve">COVID artifact.</w:t>
      </w:r>
    </w:p>
    <w:p>
      <w:pPr>
        <w:pStyle w:val="BodyText"/>
      </w:pPr>
      <w:r>
        <w:t xml:space="preserve">The third strand is the interpretation of null results. Economics has a documented tendency</w:t>
      </w:r>
      <w:r>
        <w:t xml:space="preserve"> </w:t>
      </w:r>
      <w:r>
        <w:t xml:space="preserve">toward low power and selective reporting</w:t>
      </w:r>
      <w:r>
        <w:t xml:space="preserve"> </w:t>
      </w:r>
      <w:r>
        <w:t xml:space="preserve">, and methodologists urge that a</w:t>
      </w:r>
      <w:r>
        <w:t xml:space="preserve"> </w:t>
      </w:r>
      <w:r>
        <w:t xml:space="preserve">statistically insignificant estimate be interpreted through its confidence interval and power</w:t>
      </w:r>
      <w:r>
        <w:t xml:space="preserve"> </w:t>
      </w:r>
      <w:r>
        <w:t xml:space="preserve">rather than treated as proof of no effect</w:t>
      </w:r>
      <w:r>
        <w:t xml:space="preserve"> </w:t>
      </w:r>
      <w:r>
        <w:t xml:space="preserve">. We follow that guidance literally:</w:t>
      </w:r>
      <w:r>
        <w:t xml:space="preserve"> </w:t>
      </w:r>
      <w:r>
        <w:t xml:space="preserve">Section 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reports the minimum effect our design could detect at 80% power, so the</w:t>
      </w:r>
      <w:r>
        <w:t xml:space="preserve"> </w:t>
      </w:r>
      <w:r>
        <w:t xml:space="preserve">null is stated as a bound on the mandate’s real-risk effect rather than as a bare</w:t>
      </w:r>
      <w:r>
        <w:t xml:space="preserve"> </w:t>
      </w:r>
      <w:r>
        <w:t xml:space="preserve">“insignificant.”</w:t>
      </w:r>
    </w:p>
    <w:bookmarkEnd w:id="17"/>
    <w:bookmarkStart w:id="22" w:name="sec:data"/>
    <w:p>
      <w:pPr>
        <w:pStyle w:val="Heading1"/>
      </w:pPr>
      <w:r>
        <w:t xml:space="preserve">Data and Research Design</w:t>
      </w:r>
    </w:p>
    <w:bookmarkStart w:id="18" w:name="sample."/>
    <w:p>
      <w:pPr>
        <w:pStyle w:val="Heading4"/>
      </w:pPr>
      <w:r>
        <w:t xml:space="preserve">Sample.</w:t>
      </w:r>
    </w:p>
    <w:p>
      <w:pPr>
        <w:pStyle w:val="FirstParagraph"/>
      </w:pPr>
      <w:r>
        <w:t xml:space="preserve">We start from S&amp;P 1500 index-constituent history (Compustat</w:t>
      </w:r>
      <w:r>
        <w:t xml:space="preserve"> </w:t>
      </w:r>
      <w:r>
        <w:rPr>
          <w:rStyle w:val="VerbatimChar"/>
        </w:rPr>
        <w:t xml:space="preserve">idxcst_his</w:t>
      </w:r>
      <w:r>
        <w:t xml:space="preserve">) and fix each firm’s group at the pre-rule baseline of June 30, 2022:</w:t>
      </w:r>
      <w:r>
        <w:t xml:space="preserve"> </w:t>
      </w:r>
      <w:r>
        <w:t xml:space="preserve">S&amp;P 500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control, S&amp;P SmallCap 600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treated, S&amp;P MidCap 400 held out for a placebo.</w:t>
      </w:r>
      <w:r>
        <w:t xml:space="preserve"> </w:t>
      </w:r>
      <w:r>
        <w:t xml:space="preserve">We merge Compustat annual fundamentals (accounting risk-taking inputs), CRSP daily returns</w:t>
      </w:r>
      <w:r>
        <w:t xml:space="preserve"> </w:t>
      </w:r>
      <w:r>
        <w:t xml:space="preserve">(return volatility), and Execucomp (CEO pay), and keep fiscal years 2015–2025. The main</w:t>
      </w:r>
      <w:r>
        <w:t xml:space="preserve"> </w:t>
      </w:r>
      <w:r>
        <w:t xml:space="preserve">difference-in-differences sample is the S&amp;P 500 versus S&amp;P 600 comparison: 753 firms (431</w:t>
      </w:r>
      <w:r>
        <w:t xml:space="preserve"> </w:t>
      </w:r>
      <w:r>
        <w:t xml:space="preserve">control, 322 treated) and 8</w:t>
      </w:r>
      <w:r>
        <w:t xml:space="preserve">,</w:t>
      </w:r>
      <w:r>
        <w:t xml:space="preserve">222 firm-years, essentially balanced across years.</w:t>
      </w:r>
    </w:p>
    <w:bookmarkEnd w:id="18"/>
    <w:bookmarkStart w:id="19" w:name="variables."/>
    <w:p>
      <w:pPr>
        <w:pStyle w:val="Heading4"/>
      </w:pPr>
      <w:r>
        <w:t xml:space="preserve">Variables.</w:t>
      </w:r>
    </w:p>
    <w:p>
      <w:pPr>
        <w:pStyle w:val="FirstParagraph"/>
      </w:pPr>
      <w:r>
        <w:t xml:space="preserve">Risk-taking outcomes are (all scaled by total assets unless noted):</w:t>
      </w:r>
      <w:r>
        <w:t xml:space="preserve"> </w:t>
      </w:r>
      <w:r>
        <w:t xml:space="preserve">investment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t>p</m:t>
        </m:r>
        <m:r>
          <m:t>x</m:t>
        </m:r>
        <m:r>
          <m:rPr>
            <m:sty m:val="p"/>
          </m:rPr>
          <m:t>+</m:t>
        </m:r>
        <m:r>
          <m:t>x</m:t>
        </m:r>
        <m:r>
          <m:t>r</m:t>
        </m:r>
        <m:r>
          <m:t>d</m:t>
        </m:r>
        <m:r>
          <m:rPr>
            <m:sty m:val="p"/>
          </m:rPr>
          <m:t>+</m:t>
        </m:r>
        <m:r>
          <m:t>a</m:t>
        </m:r>
        <m:r>
          <m:t>q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a</m:t>
        </m:r>
        <m:r>
          <m:t>t</m:t>
        </m:r>
      </m:oMath>
      <w:r>
        <w:t xml:space="preserve">; capex</w:t>
      </w:r>
      <w:r>
        <w:t xml:space="preserve"> </w:t>
      </w:r>
      <m:oMath>
        <m:r>
          <m:rPr>
            <m:sty m:val="p"/>
          </m:rPr>
          <m:t>=</m:t>
        </m:r>
        <m:r>
          <m:t>c</m:t>
        </m:r>
        <m:r>
          <m:t>a</m:t>
        </m:r>
        <m:r>
          <m:t>p</m:t>
        </m:r>
        <m:r>
          <m:t>x</m:t>
        </m:r>
        <m:r>
          <m:rPr>
            <m:sty m:val="p"/>
          </m:rPr>
          <m:t>/</m:t>
        </m:r>
        <m:r>
          <m:t>a</m:t>
        </m:r>
        <m:r>
          <m:t>t</m:t>
        </m:r>
      </m:oMath>
      <w:r>
        <w:t xml:space="preserve">; R&amp;D</w:t>
      </w:r>
      <w:r>
        <w:t xml:space="preserve"> </w:t>
      </w:r>
      <m:oMath>
        <m:r>
          <m:rPr>
            <m:sty m:val="p"/>
          </m:rPr>
          <m:t>=</m:t>
        </m:r>
        <m:r>
          <m:t>x</m:t>
        </m:r>
        <m:r>
          <m:t>r</m:t>
        </m:r>
        <m:r>
          <m:t>d</m:t>
        </m:r>
        <m:r>
          <m:rPr>
            <m:sty m:val="p"/>
          </m:rPr>
          <m:t>/</m:t>
        </m:r>
        <m:r>
          <m:t>a</m:t>
        </m:r>
        <m:r>
          <m:t>t</m:t>
        </m:r>
      </m:oMath>
      <w:r>
        <w:t xml:space="preserve">; acquisitions</w:t>
      </w:r>
      <w:r>
        <w:t xml:space="preserve"> </w:t>
      </w:r>
      <m:oMath>
        <m:r>
          <m:rPr>
            <m:sty m:val="p"/>
          </m:rPr>
          <m:t>=</m:t>
        </m:r>
        <m:r>
          <m:t>a</m:t>
        </m:r>
        <m:r>
          <m:t>q</m:t>
        </m:r>
        <m:r>
          <m:t>c</m:t>
        </m:r>
        <m:r>
          <m:rPr>
            <m:sty m:val="p"/>
          </m:rPr>
          <m:t>/</m:t>
        </m:r>
        <m:r>
          <m:t>a</m:t>
        </m:r>
        <m:r>
          <m:t>t</m:t>
        </m:r>
      </m:oMath>
      <w:r>
        <w:t xml:space="preserve">;</w:t>
      </w:r>
      <w:r>
        <w:t xml:space="preserve"> </w:t>
      </w:r>
      <w:r>
        <w:t xml:space="preserve">book leverage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t>l</m:t>
        </m:r>
        <m:r>
          <m:t>t</m:t>
        </m:r>
        <m:r>
          <m:t>t</m:t>
        </m:r>
        <m:r>
          <m:rPr>
            <m:sty m:val="p"/>
          </m:rPr>
          <m:t>+</m:t>
        </m:r>
        <m:r>
          <m:t>d</m:t>
        </m:r>
        <m:r>
          <m:t>l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a</m:t>
        </m:r>
        <m:r>
          <m:t>t</m:t>
        </m:r>
      </m:oMath>
      <w:r>
        <w:t xml:space="preserve">; cash</w:t>
      </w:r>
      <w:r>
        <w:t xml:space="preserve"> </w:t>
      </w:r>
      <m:oMath>
        <m:r>
          <m:rPr>
            <m:sty m:val="p"/>
          </m:rPr>
          <m:t>=</m:t>
        </m:r>
        <m:r>
          <m:t>c</m:t>
        </m:r>
        <m:r>
          <m:t>h</m:t>
        </m:r>
        <m:r>
          <m:t>e</m:t>
        </m:r>
        <m:r>
          <m:rPr>
            <m:sty m:val="p"/>
          </m:rPr>
          <m:t>/</m:t>
        </m:r>
        <m:r>
          <m:t>a</m:t>
        </m:r>
        <m:r>
          <m:t>t</m:t>
        </m:r>
      </m:oMath>
      <w:r>
        <w:t xml:space="preserve">. From CRSP daily returns we compute, per</w:t>
      </w:r>
      <w:r>
        <w:t xml:space="preserve"> </w:t>
      </w:r>
      <w:r>
        <w:t xml:space="preserve">firm-year, annualized total return volatility (</w:t>
      </w:r>
      <m:oMath>
        <m:r>
          <m:rPr>
            <m:nor/>
            <m:sty m:val="p"/>
          </m:rPr>
          <m:t>SD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ad>
          <m:radPr>
            <m:degHide m:val="on"/>
          </m:radPr>
          <m:deg/>
          <m:e>
            <m:r>
              <m:t>252</m:t>
            </m:r>
          </m:e>
        </m:rad>
      </m:oMath>
      <w:r>
        <w:t xml:space="preserve">) and idiosyncratic</w:t>
      </w:r>
      <w:r>
        <w:t xml:space="preserve"> </w:t>
      </w:r>
      <w:r>
        <w:t xml:space="preserve">volatility (the residual from a one-factor market model,</w:t>
      </w:r>
      <w:r>
        <w:t xml:space="preserve"> </w:t>
      </w:r>
      <m:oMath>
        <m:r>
          <m:rPr>
            <m:nor/>
            <m:sty m:val="p"/>
          </m:rPr>
          <m:t>SD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rad>
        <m:rad>
          <m:radPr>
            <m:degHide m:val="on"/>
          </m:radPr>
          <m:deg/>
          <m:e>
            <m:r>
              <m:t>252</m:t>
            </m:r>
          </m:e>
        </m:rad>
      </m:oMath>
      <w:r>
        <w:t xml:space="preserve">,</w:t>
      </w:r>
      <w:r>
        <w:t xml:space="preserve"> </w:t>
      </w:r>
      <w:r>
        <w:t xml:space="preserve">using the Fama-French market factor), requiring at least 60 trading days. From Execucomp we take</w:t>
      </w:r>
      <w:r>
        <w:t xml:space="preserve"> </w:t>
      </w:r>
      <w:r>
        <w:t xml:space="preserve">CEO total pay (</w:t>
      </w:r>
      <m:oMath>
        <m:r>
          <m:rPr>
            <m:sty m:val="p"/>
          </m:rPr>
          <m:t>ln</m:t>
        </m:r>
      </m:oMath>
      <w:r>
        <w:t xml:space="preserve">) and the equity share of pay. Controls are size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a</m:t>
        </m:r>
        <m:r>
          <m:t>t</m:t>
        </m:r>
        <m:r>
          <m:rPr>
            <m:sty m:val="p"/>
          </m:rPr>
          <m:t>)</m:t>
        </m:r>
      </m:oMath>
      <w:r>
        <w:t xml:space="preserve">, market-to-book,</w:t>
      </w:r>
      <w:r>
        <w:t xml:space="preserve"> </w:t>
      </w:r>
      <w:r>
        <w:t xml:space="preserve">ROA, cash-flow/assets, and tangibility. All continuous variables are winsorized at 1/99.</w:t>
      </w:r>
      <w:r>
        <w:t xml:space="preserve"> </w:t>
      </w:r>
      <w:r>
        <w:t xml:space="preserve">Table </w:t>
      </w:r>
      <w:hyperlink w:anchor="tab:sumsta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summary statistics; consistent with the design, treated</w:t>
      </w:r>
      <w:r>
        <w:t xml:space="preserve"> </w:t>
      </w:r>
      <w:r>
        <w:t xml:space="preserve">(small) firms are smaller, higher-volatility, lower-leverage, and lower-paid than controls,</w:t>
      </w:r>
      <w:r>
        <w:t xml:space="preserve"> </w:t>
      </w:r>
      <w:r>
        <w:t xml:space="preserve">which is exactly why parallel trends must be checked rather than assumed.</w:t>
      </w:r>
    </w:p>
    <w:bookmarkEnd w:id="19"/>
    <w:bookmarkStart w:id="20" w:name="specification."/>
    <w:p>
      <w:pPr>
        <w:pStyle w:val="Heading4"/>
      </w:pPr>
      <w:r>
        <w:t xml:space="preserve">Specification.</w:t>
      </w:r>
    </w:p>
    <w:p>
      <w:pPr>
        <w:pStyle w:val="FirstParagraph"/>
      </w:pPr>
      <w:r>
        <w:t xml:space="preserve">For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we estimate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β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Post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Treat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nor/>
                <m:sty m:val="p"/>
              </m:rPr>
              <m:t>Post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r>
          <m:rPr>
            <m:nor/>
            <m:sty m:val="p"/>
          </m:rPr>
          <m:t>fyear</m:t>
        </m:r>
        <m:r>
          <m:rPr>
            <m:sty m:val="p"/>
          </m:rPr>
          <m:t>≥</m:t>
        </m:r>
        <m:r>
          <m:t>2023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Treat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forced-adopter</w:t>
      </w:r>
      <w:r>
        <w:t xml:space="preserve"> </w:t>
      </w:r>
      <w:r>
        <w:t xml:space="preserve">proxy,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firm and year fixed effects (which absorb the level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Treat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Post</m:t>
            </m:r>
          </m:e>
          <m:sub>
            <m:r>
              <m:t>t</m:t>
            </m:r>
          </m:sub>
        </m:sSub>
      </m:oMath>
      <w:r>
        <w:t xml:space="preserve">),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are controls, and standard errors are clustered</w:t>
      </w:r>
      <w:r>
        <w:t xml:space="preserve"> </w:t>
      </w:r>
      <w:r>
        <w:t xml:space="preserve">by firm.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the difference-in-differences estimate. The dynamic version replaces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Post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Treat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a full set of year</w:t>
      </w:r>
      <m:oMath>
        <m:r>
          <m:rPr>
            <m:sty m:val="p"/>
          </m:rPr>
          <m:t>×</m:t>
        </m:r>
      </m:oMath>
      <w:r>
        <w:t xml:space="preserve">treated interactions</w:t>
      </w:r>
      <w:r>
        <w:t xml:space="preserve"> </w:t>
      </w:r>
      <w:r>
        <w:t xml:space="preserve">(2022 omitted) to trace the path of the treated–control gap and test parallel trends.</w:t>
      </w:r>
    </w:p>
    <w:bookmarkEnd w:id="20"/>
    <w:bookmarkStart w:id="21" w:name="three-design-based-checks."/>
    <w:p>
      <w:pPr>
        <w:pStyle w:val="Heading4"/>
      </w:pPr>
      <w:r>
        <w:t xml:space="preserve">Three design-based checks.</w:t>
      </w:r>
    </w:p>
    <w:p>
      <w:pPr>
        <w:pStyle w:val="FirstParagraph"/>
      </w:pPr>
      <w:r>
        <w:t xml:space="preserve">Beyond equation </w:t>
      </w:r>
      <w:hyperlink w:anchor="eq:did">
        <w:r>
          <w:rPr>
            <w:rStyle w:val="Hyperlink"/>
          </w:rPr>
          <w:t xml:space="preserve">[eq:did]</w:t>
        </w:r>
      </w:hyperlink>
      <w:r>
        <w:t xml:space="preserve"> </w:t>
      </w:r>
      <w:r>
        <w:t xml:space="preserve">we run three checks that</w:t>
      </w:r>
      <w:r>
        <w:t xml:space="preserve"> </w:t>
      </w:r>
      <w:r>
        <w:t xml:space="preserve">do not rely on the parametric null. (1)</w:t>
      </w:r>
      <w:r>
        <w:t xml:space="preserve"> </w:t>
      </w:r>
      <w:r>
        <w:rPr>
          <w:i/>
          <w:iCs/>
        </w:rPr>
        <w:t xml:space="preserve">Size matching</w:t>
      </w:r>
      <w:r>
        <w:t xml:space="preserve">: we nearest-neighbor match each</w:t>
      </w:r>
      <w:r>
        <w:t xml:space="preserve"> </w:t>
      </w:r>
      <w:r>
        <w:t xml:space="preserve">treated firm to a not-yet-used control on pre-rule (2022) size within a</w:t>
      </w:r>
      <w:r>
        <w:t xml:space="preserve"> </w:t>
      </w:r>
      <m:oMath>
        <m:r>
          <m:t>0.25</m:t>
        </m:r>
      </m:oMath>
      <w:r>
        <w:t xml:space="preserve">-SD caliper, and</w:t>
      </w:r>
      <w:r>
        <w:t xml:space="preserve"> </w:t>
      </w:r>
      <w:r>
        <w:t xml:space="preserve">re-estimate</w:t>
      </w:r>
      <w:r>
        <w:t xml:space="preserve"> </w:t>
      </w:r>
      <w:hyperlink w:anchor="eq:did">
        <w:r>
          <w:rPr>
            <w:rStyle w:val="Hyperlink"/>
          </w:rPr>
          <w:t xml:space="preserve">[eq:did]</w:t>
        </w:r>
      </w:hyperlink>
      <w:r>
        <w:t xml:space="preserve"> </w:t>
      </w:r>
      <w:r>
        <w:t xml:space="preserve">on the balanced sample (Section </w:t>
      </w:r>
      <w:hyperlink w:anchor="sec:robust">
        <w:r>
          <w:rPr>
            <w:rStyle w:val="Hyperlink"/>
          </w:rPr>
          <w:t xml:space="preserve">8</w:t>
        </w:r>
      </w:hyperlink>
      <w:r>
        <w:t xml:space="preserve">). (2)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: we permute the time-invariant treatment label across firms 500</w:t>
      </w:r>
      <w:r>
        <w:t xml:space="preserve"> </w:t>
      </w:r>
      <w:r>
        <w:t xml:space="preserve">times, rebuild</w:t>
      </w:r>
      <w:r>
        <w:t xml:space="preserve"> </w:t>
      </w:r>
      <m:oMath>
        <m:sSub>
          <m:e>
            <m:r>
              <m:rPr>
                <m:nor/>
                <m:sty m:val="p"/>
              </m:rPr>
              <m:t>did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Post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Sup>
          <m:e>
            <m:r>
              <m:rPr>
                <m:nor/>
                <m:sty m:val="p"/>
              </m:rPr>
              <m:t>Treat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perm</m:t>
            </m:r>
          </m:sup>
        </m:sSubSup>
      </m:oMath>
      <w:r>
        <w:t xml:space="preserve">, re-estimate</w:t>
      </w:r>
      <w:r>
        <w:t xml:space="preserve"> </w:t>
      </w:r>
      <w:hyperlink w:anchor="eq:did">
        <w:r>
          <w:rPr>
            <w:rStyle w:val="Hyperlink"/>
          </w:rPr>
          <w:t xml:space="preserve">[eq:did]</w:t>
        </w:r>
      </w:hyperlink>
      <w:r>
        <w:t xml:space="preserve">, and compare the actual coefficient to the permutation distribution. (3)</w:t>
      </w:r>
      <w:r>
        <w:t xml:space="preserve"> </w:t>
      </w:r>
      <w:r>
        <w:rPr>
          <w:i/>
          <w:iCs/>
        </w:rPr>
        <w:t xml:space="preserve">Power</w:t>
      </w:r>
      <w:r>
        <w:t xml:space="preserve">: we compute the minimum detectable effect at 80% power from each outcome’s</w:t>
      </w:r>
      <w:r>
        <w:t xml:space="preserve"> </w:t>
      </w:r>
      <w:r>
        <w:t xml:space="preserve">estimated standard error. Together these convert</w:t>
      </w:r>
      <w:r>
        <w:t xml:space="preserve"> </w:t>
      </w:r>
      <w:r>
        <w:t xml:space="preserve">“insignificant”</w:t>
      </w:r>
      <w:r>
        <w:t xml:space="preserve"> </w:t>
      </w:r>
      <w:r>
        <w:t xml:space="preserve">into a set of falsifiable,</w:t>
      </w:r>
      <w:r>
        <w:t xml:space="preserve"> </w:t>
      </w:r>
      <w:r>
        <w:t xml:space="preserve">design-based statements.</w:t>
      </w:r>
    </w:p>
    <w:bookmarkEnd w:id="21"/>
    <w:bookmarkEnd w:id="22"/>
    <w:bookmarkStart w:id="25" w:name="sec:res"/>
    <w:p>
      <w:pPr>
        <w:pStyle w:val="Heading1"/>
      </w:pPr>
      <w:r>
        <w:t xml:space="preserve">Main Results</w:t>
      </w:r>
    </w:p>
    <w:bookmarkStart w:id="23" w:name="the-real-risk-channels-are-flat."/>
    <w:p>
      <w:pPr>
        <w:pStyle w:val="Heading4"/>
      </w:pPr>
      <w:r>
        <w:t xml:space="preserve">The real-risk channels are flat.</w:t>
      </w:r>
    </w:p>
    <w:p>
      <w:pPr>
        <w:pStyle w:val="FirstParagraph"/>
      </w:pPr>
      <w:r>
        <w:t xml:space="preserve">Table </w:t>
      </w:r>
      <w:hyperlink w:anchor="tab:mai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for every</w:t>
      </w:r>
      <w:r>
        <w:t xml:space="preserve"> </w:t>
      </w:r>
      <w:r>
        <w:t xml:space="preserve">outcome in the preferred specification. The investment and financing margins that the prior</w:t>
      </w:r>
      <w:r>
        <w:t xml:space="preserve"> </w:t>
      </w:r>
      <w:r>
        <w:t xml:space="preserve">literature finds respond to voluntary clawbacks show nothing here: investment/assets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0.003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0.81</m:t>
        </m:r>
      </m:oMath>
      <w:r>
        <w:t xml:space="preserve">), capex (</w:t>
      </w:r>
      <m:oMath>
        <m:r>
          <m:rPr>
            <m:sty m:val="p"/>
          </m:rPr>
          <m:t>−</m:t>
        </m:r>
        <m:r>
          <m:t>0.001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1.30</m:t>
        </m:r>
      </m:oMath>
      <w:r>
        <w:t xml:space="preserve">), R&amp;D (</w:t>
      </w:r>
      <m:oMath>
        <m:r>
          <m:rPr>
            <m:sty m:val="p"/>
          </m:rPr>
          <m:t>+</m:t>
        </m:r>
        <m:r>
          <m:t>0.002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1.33</m:t>
        </m:r>
      </m:oMath>
      <w:r>
        <w:t xml:space="preserve">), acquisitions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0.002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0.81</m:t>
        </m:r>
      </m:oMath>
      <w:r>
        <w:t xml:space="preserve">), leverage (</w:t>
      </w:r>
      <m:oMath>
        <m:r>
          <m:rPr>
            <m:sty m:val="p"/>
          </m:rPr>
          <m:t>+</m:t>
        </m:r>
        <m:r>
          <m:t>0.003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0.40</m:t>
        </m:r>
      </m:oMath>
      <w:r>
        <w:t xml:space="preserve">), and cash (</w:t>
      </w:r>
      <m:oMath>
        <m:r>
          <m:rPr>
            <m:sty m:val="p"/>
          </m:rPr>
          <m:t>+</m:t>
        </m:r>
        <m:r>
          <m:t>0.008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1.49</m:t>
        </m:r>
      </m:oMath>
      <w:r>
        <w:t xml:space="preserve">) are all</w:t>
      </w:r>
      <w:r>
        <w:t xml:space="preserve"> </w:t>
      </w:r>
      <w:r>
        <w:t xml:space="preserve">statistically indistinguishable from zero, with coefficients an order of magnitude smaller than</w:t>
      </w:r>
      <w:r>
        <w:t xml:space="preserve"> </w:t>
      </w:r>
      <w:r>
        <w:t xml:space="preserve">their sample means. CEO total pay actually</w:t>
      </w:r>
      <w:r>
        <w:t xml:space="preserve"> </w:t>
      </w:r>
      <w:r>
        <w:rPr>
          <w:i/>
          <w:iCs/>
        </w:rPr>
        <w:t xml:space="preserve">rises</w:t>
      </w:r>
      <w:r>
        <w:t xml:space="preserve"> </w:t>
      </w:r>
      <w:r>
        <w:t xml:space="preserve">for forced adopters (</w:t>
      </w:r>
      <m:oMath>
        <m:r>
          <m:rPr>
            <m:sty m:val="p"/>
          </m:rPr>
          <m:t>+</m:t>
        </m:r>
        <m:r>
          <m:t>0.139</m:t>
        </m:r>
      </m:oMath>
      <w:r>
        <w:t xml:space="preserve"> </w:t>
      </w:r>
      <w:r>
        <w:t xml:space="preserve">log</w:t>
      </w:r>
      <w:r>
        <w:t xml:space="preserve"> </w:t>
      </w:r>
      <w:r>
        <w:t xml:space="preserve">points,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5.22</m:t>
        </m:r>
      </m:oMath>
      <w:r>
        <w:t xml:space="preserve">)—the opposite of a binding pay-recovery constraint, and more consistent with</w:t>
      </w:r>
      <w:r>
        <w:t xml:space="preserve"> </w:t>
      </w:r>
      <w:r>
        <w:t xml:space="preserve">the post-2021 small-cap pay catch-up than with 10D-1.</w:t>
      </w:r>
    </w:p>
    <w:bookmarkEnd w:id="23"/>
    <w:bookmarkStart w:id="24" w:name="the-one-moving-outcome."/>
    <w:p>
      <w:pPr>
        <w:pStyle w:val="Heading4"/>
      </w:pPr>
      <w:r>
        <w:t xml:space="preserve">The one moving outcome.</w:t>
      </w:r>
    </w:p>
    <w:p>
      <w:pPr>
        <w:pStyle w:val="FirstParagraph"/>
      </w:pPr>
      <w:r>
        <w:t xml:space="preserve">Return volatility is the only outcome with a significant</w:t>
      </w:r>
      <w:r>
        <w:t xml:space="preserve"> </w:t>
      </w:r>
      <w:r>
        <w:t xml:space="preserve">post</w:t>
      </w:r>
      <m:oMath>
        <m:r>
          <m:rPr>
            <m:sty m:val="p"/>
          </m:rPr>
          <m:t>×</m:t>
        </m:r>
      </m:oMath>
      <w:r>
        <w:t xml:space="preserve">treated coefficient: idiosyncratic volatility</w:t>
      </w:r>
      <w:r>
        <w:t xml:space="preserve"> </w:t>
      </w:r>
      <m:oMath>
        <m:r>
          <m:rPr>
            <m:sty m:val="p"/>
          </m:rPr>
          <m:t>−</m:t>
        </m:r>
        <m:r>
          <m:t>0.027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5.01</m:t>
        </m:r>
      </m:oMath>
      <w:r>
        <w:t xml:space="preserve">) and total</w:t>
      </w:r>
      <w:r>
        <w:t xml:space="preserve"> </w:t>
      </w:r>
      <w:r>
        <w:t xml:space="preserve">volatility</w:t>
      </w:r>
      <w:r>
        <w:t xml:space="preserve"> </w:t>
      </w:r>
      <m:oMath>
        <m:r>
          <m:rPr>
            <m:sty m:val="p"/>
          </m:rPr>
          <m:t>−</m:t>
        </m:r>
        <m:r>
          <m:t>0.015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2.60</m:t>
        </m:r>
      </m:oMath>
      <w:r>
        <w:t xml:space="preserve">). Table </w:t>
      </w:r>
      <w:hyperlink w:anchor="tab:prog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the idiosyncratic-volatility</w:t>
      </w:r>
      <w:r>
        <w:t xml:space="preserve"> </w:t>
      </w:r>
      <w:r>
        <w:t xml:space="preserve">estimate is stable across the specification ladder (</w:t>
      </w:r>
      <m:oMath>
        <m:r>
          <m:rPr>
            <m:sty m:val="p"/>
          </m:rPr>
          <m:t>−</m:t>
        </m:r>
        <m:r>
          <m:t>0.023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0.033</m:t>
        </m:r>
      </m:oMath>
      <w:r>
        <w:t xml:space="preserve">), which in isolation</w:t>
      </w:r>
      <w:r>
        <w:t xml:space="preserve"> </w:t>
      </w:r>
      <w:r>
        <w:t xml:space="preserve">looks like a real effect. Section </w:t>
      </w:r>
      <w:hyperlink w:anchor="sec:noncausal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shows it is not.</w:t>
      </w:r>
    </w:p>
    <w:bookmarkEnd w:id="24"/>
    <w:bookmarkEnd w:id="25"/>
    <w:bookmarkStart w:id="26" w:name="sec:noncausal"/>
    <w:p>
      <w:pPr>
        <w:pStyle w:val="Heading1"/>
      </w:pPr>
      <w:r>
        <w:t xml:space="preserve">The Volatility Result Is Not Causal</w:t>
      </w:r>
    </w:p>
    <w:p>
      <w:pPr>
        <w:pStyle w:val="FirstParagraph"/>
      </w:pPr>
      <w:r>
        <w:t xml:space="preserve">We take the space to dismantle the one significant coefficient because reporting it as a</w:t>
      </w:r>
      <w:r>
        <w:t xml:space="preserve"> </w:t>
      </w:r>
      <w:r>
        <w:t xml:space="preserve">clawback effect is precisely the false positive this literature must avoid. The event study</w:t>
      </w:r>
      <w:r>
        <w:t xml:space="preserve"> </w:t>
      </w:r>
      <w:r>
        <w:t xml:space="preserve">(Figure </w:t>
      </w:r>
      <w:hyperlink w:anchor="fig:es">
        <w:r>
          <w:rPr>
            <w:rStyle w:val="Hyperlink"/>
          </w:rPr>
          <w:t xml:space="preserve">1</w:t>
        </w:r>
      </w:hyperlink>
      <w:r>
        <w:t xml:space="preserve">) rejects parallel trends outright: the pre-2022 year</w:t>
      </w:r>
      <m:oMath>
        <m:r>
          <m:rPr>
            <m:sty m:val="p"/>
          </m:rPr>
          <m:t>×</m:t>
        </m:r>
      </m:oMath>
      <w:r>
        <w:t xml:space="preserve">treated</w:t>
      </w:r>
      <w:r>
        <w:t xml:space="preserve"> </w:t>
      </w:r>
      <w:r>
        <w:t xml:space="preserve">coefficients are</w:t>
      </w:r>
      <w:r>
        <w:t xml:space="preserve"> </w:t>
      </w:r>
      <w:r>
        <w:rPr>
          <w:i/>
          <w:iCs/>
        </w:rPr>
        <w:t xml:space="preserve">all positive</w:t>
      </w:r>
      <w:r>
        <w:t xml:space="preserve"> </w:t>
      </w:r>
      <w:r>
        <w:t xml:space="preserve">(ranging</w:t>
      </w:r>
      <w:r>
        <w:t xml:space="preserve"> </w:t>
      </w:r>
      <m:oMath>
        <m:r>
          <m:rPr>
            <m:sty m:val="p"/>
          </m:rPr>
          <m:t>+</m:t>
        </m:r>
        <m:r>
          <m:t>0.013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0.102</m:t>
        </m:r>
      </m:oMath>
      <w:r>
        <w:t xml:space="preserve">) and jointly significant</w:t>
      </w:r>
      <w:r>
        <w:t xml:space="preserve"> </w:t>
      </w:r>
      <w:r>
        <w:t xml:space="preserve">(Wald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 Forced adopters were simply more volatile than controls throughout the</w:t>
      </w:r>
      <w:r>
        <w:t xml:space="preserve"> </w:t>
      </w:r>
      <w:r>
        <w:t xml:space="preserve">pre-period, with an especially large gap in 2020–21. Because the difference-in-differences</w:t>
      </w:r>
      <w:r>
        <w:t xml:space="preserve"> </w:t>
      </w:r>
      <w:r>
        <w:t xml:space="preserve">differences the post average against an inflated pre-period baseline, it records a spurious</w:t>
      </w:r>
      <w:r>
        <w:t xml:space="preserve"> </w:t>
      </w:r>
      <w:r>
        <w:t xml:space="preserve">“decline.”</w:t>
      </w:r>
      <w:r>
        <w:t xml:space="preserve"> </w:t>
      </w:r>
      <w:r>
        <w:t xml:space="preserve">There is no downward break at the 2023 effective date; if anything the 2023</w:t>
      </w:r>
      <w:r>
        <w:t xml:space="preserve"> </w:t>
      </w:r>
      <w:r>
        <w:t xml:space="preserve">coefficient (</w:t>
      </w:r>
      <m:oMath>
        <m:r>
          <m:rPr>
            <m:sty m:val="p"/>
          </m:rPr>
          <m:t>+</m:t>
        </m:r>
        <m:r>
          <m:t>0.020</m:t>
        </m:r>
      </m:oMath>
      <w:r>
        <w:t xml:space="preserve">) is above the 2022 base. Figure </w:t>
      </w:r>
      <w:hyperlink w:anchor="fig:mean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makes the mechanism</w:t>
      </w:r>
      <w:r>
        <w:t xml:space="preserve"> </w:t>
      </w:r>
      <w:r>
        <w:t xml:space="preserve">visible: the treated–control volatility gap balloons during COVID and reverts, while</w:t>
      </w:r>
      <w:r>
        <w:t xml:space="preserve"> </w:t>
      </w:r>
      <w:r>
        <w:t xml:space="preserve">investment/assets moves in lockstep across groups with no rule-date break. Sections </w:t>
      </w:r>
      <w:hyperlink w:anchor="sec:robust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adds two more nails—size matching and size placebos—after first checking, in</w:t>
      </w:r>
      <w:r>
        <w:t xml:space="preserve"> </w:t>
      </w:r>
      <w:r>
        <w:t xml:space="preserve">Section </w:t>
      </w:r>
      <w:hyperlink w:anchor="sec:het">
        <w:r>
          <w:rPr>
            <w:rStyle w:val="Hyperlink"/>
          </w:rPr>
          <w:t xml:space="preserve">7</w:t>
        </w:r>
      </w:hyperlink>
      <w:r>
        <w:t xml:space="preserve">, whether any observable subgroup shows the effect the pooled test misses.</w:t>
      </w:r>
    </w:p>
    <w:bookmarkEnd w:id="26"/>
    <w:bookmarkStart w:id="27" w:name="sec:het"/>
    <w:p>
      <w:pPr>
        <w:pStyle w:val="Heading1"/>
      </w:pPr>
      <w:r>
        <w:t xml:space="preserve">Heterogeneity</w:t>
      </w:r>
    </w:p>
    <w:p>
      <w:pPr>
        <w:pStyle w:val="FirstParagraph"/>
      </w:pPr>
      <w:r>
        <w:t xml:space="preserve">If the mandate changed risk-taking for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firms and the pooled null merely averages it</w:t>
      </w:r>
      <w:r>
        <w:t xml:space="preserve"> </w:t>
      </w:r>
      <w:r>
        <w:t xml:space="preserve">away, the effect should surface in observable subgroups. Table </w:t>
      </w:r>
      <w:hyperlink w:anchor="tab:hetero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interacts the</w:t>
      </w:r>
      <w:r>
        <w:t xml:space="preserve"> </w:t>
      </w:r>
      <w:r>
        <w:t xml:space="preserve">DiD with four pre-rule moderators—above-median CEO equity-pay share (stronger incentive</w:t>
      </w:r>
      <w:r>
        <w:t xml:space="preserve"> </w:t>
      </w:r>
      <w:r>
        <w:t xml:space="preserve">alignment, where a clawback should bite most), above-median book leverage, an R&amp;D-active</w:t>
      </w:r>
      <w:r>
        <w:t xml:space="preserve"> </w:t>
      </w:r>
      <w:r>
        <w:t xml:space="preserve">indicator, and a financial/regulated-industry indicator—reporting the base DiD and the</w:t>
      </w:r>
      <w:r>
        <w:t xml:space="preserve"> </w:t>
      </w:r>
      <w:r>
        <w:t xml:space="preserve">interaction for both the headline (idiosyncratic volatility) and the leading real-risk margin</w:t>
      </w:r>
      <w:r>
        <w:t xml:space="preserve"> </w:t>
      </w:r>
      <w:r>
        <w:t xml:space="preserve">(investment/assets). The investment margin shows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risk-reduction in any subgroup: base</w:t>
      </w:r>
      <w:r>
        <w:t xml:space="preserve"> </w:t>
      </w:r>
      <w:r>
        <w:t xml:space="preserve">and interaction coefficients are economically small and never jointly indicate the negative</w:t>
      </w:r>
      <w:r>
        <w:t xml:space="preserve"> </w:t>
      </w:r>
      <w:r>
        <w:t xml:space="preserve">effect H1 predicts (the one significant interaction, for high-leverage firms, is</w:t>
      </w:r>
      <w:r>
        <w:t xml:space="preserve"> </w:t>
      </w:r>
      <m:oMath>
        <m:r>
          <m:rPr>
            <m:sty m:val="p"/>
          </m:rPr>
          <m:t>−</m:t>
        </m:r>
        <m:r>
          <m:t>0.024</m:t>
        </m:r>
      </m:oMath>
      <w:r>
        <w:t xml:space="preserve"> </w:t>
      </w:r>
      <w:r>
        <w:t xml:space="preserve">but is</w:t>
      </w:r>
      <w:r>
        <w:t xml:space="preserve"> </w:t>
      </w:r>
      <w:r>
        <w:t xml:space="preserve">offset by a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base of</w:t>
      </w:r>
      <w:r>
        <w:t xml:space="preserve"> </w:t>
      </w:r>
      <m:oMath>
        <m:r>
          <m:rPr>
            <m:sty m:val="p"/>
          </m:rPr>
          <m:t>+</m:t>
        </m:r>
        <m:r>
          <m:t>0.012</m:t>
        </m:r>
      </m:oMath>
      <w:r>
        <w:t xml:space="preserve">, and reflects mechanical scaling of investment by</w:t>
      </w:r>
      <w:r>
        <w:t xml:space="preserve"> </w:t>
      </w:r>
      <w:r>
        <w:t xml:space="preserve">assets in levered firms rather than a clawback response). For idiosyncratic volatility the</w:t>
      </w:r>
      <w:r>
        <w:t xml:space="preserve"> </w:t>
      </w:r>
      <w:r>
        <w:t xml:space="preserve">interactions track the size/COVID artifact rather than the mandate: the effect is strongest in</w:t>
      </w:r>
      <w:r>
        <w:t xml:space="preserve"> </w:t>
      </w:r>
      <w:r>
        <w:t xml:space="preserve">financial/regulated firms (</w:t>
      </w:r>
      <m:oMath>
        <m:r>
          <m:rPr>
            <m:sty m:val="p"/>
          </m:rPr>
          <m:t>+</m:t>
        </m:r>
        <m:r>
          <m:t>0.032</m:t>
        </m:r>
      </m:oMath>
      <w:r>
        <w:t xml:space="preserve"> </w:t>
      </w:r>
      <w:r>
        <w:t xml:space="preserve">interaction, i.e. </w:t>
      </w:r>
      <w:r>
        <w:rPr>
          <w:i/>
          <w:iCs/>
        </w:rPr>
        <w:t xml:space="preserve">attenuating</w:t>
      </w:r>
      <w:r>
        <w:t xml:space="preserve"> </w:t>
      </w:r>
      <w:r>
        <w:t xml:space="preserve">the negative base),</w:t>
      </w:r>
      <w:r>
        <w:t xml:space="preserve"> </w:t>
      </w:r>
      <w:r>
        <w:t xml:space="preserve">consistent with heterogeneous COVID volatility exposure, not with differential clawback bite.</w:t>
      </w:r>
      <w:r>
        <w:t xml:space="preserve"> </w:t>
      </w:r>
      <w:r>
        <w:t xml:space="preserve">Crucially,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interact treatment with provision strength here—that dimension is</w:t>
      </w:r>
      <w:r>
        <w:t xml:space="preserve"> </w:t>
      </w:r>
      <w:r>
        <w:t xml:space="preserve">unobservable to us and is the student’s hand-collected contribution; the moderators above are</w:t>
      </w:r>
      <w:r>
        <w:t xml:space="preserve"> </w:t>
      </w:r>
      <w:r>
        <w:t xml:space="preserve">observable firm characteristics chosen precisely because they are orthogonal to that reserved</w:t>
      </w:r>
      <w:r>
        <w:t xml:space="preserve"> </w:t>
      </w:r>
      <w:r>
        <w:t xml:space="preserve">test.</w:t>
      </w:r>
    </w:p>
    <w:bookmarkEnd w:id="27"/>
    <w:bookmarkStart w:id="30" w:name="sec:robust"/>
    <w:p>
      <w:pPr>
        <w:pStyle w:val="Heading1"/>
      </w:pPr>
      <w:r>
        <w:t xml:space="preserve">Matching and Randomization Inference</w:t>
      </w:r>
    </w:p>
    <w:bookmarkStart w:id="28" w:name="size-matching."/>
    <w:p>
      <w:pPr>
        <w:pStyle w:val="Heading4"/>
      </w:pPr>
      <w:r>
        <w:t xml:space="preserve">Size matching.</w:t>
      </w:r>
    </w:p>
    <w:p>
      <w:pPr>
        <w:pStyle w:val="FirstParagraph"/>
      </w:pPr>
      <w:r>
        <w:t xml:space="preserve">The treated and control groups differ by</w:t>
      </w:r>
      <w:r>
        <w:t xml:space="preserve"> </w:t>
      </w:r>
      <m:oMath>
        <m:r>
          <m:t>2.54</m:t>
        </m:r>
      </m:oMath>
      <w:r>
        <w:t xml:space="preserve"> </w:t>
      </w:r>
      <w:r>
        <w:t xml:space="preserve">log points of assets</w:t>
      </w:r>
      <w:r>
        <w:t xml:space="preserve"> </w:t>
      </w:r>
      <w:r>
        <w:t xml:space="preserve">at baseline; the volatility result could simply reflect that size gap interacting with COVID.</w:t>
      </w:r>
      <w:r>
        <w:t xml:space="preserve"> </w:t>
      </w:r>
      <w:r>
        <w:t xml:space="preserve">Table </w:t>
      </w:r>
      <w:hyperlink w:anchor="tab:matched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re-estimates</w:t>
      </w:r>
      <w:r>
        <w:t xml:space="preserve"> </w:t>
      </w:r>
      <w:hyperlink w:anchor="eq:did">
        <w:r>
          <w:rPr>
            <w:rStyle w:val="Hyperlink"/>
          </w:rPr>
          <w:t xml:space="preserve">[eq:did]</w:t>
        </w:r>
      </w:hyperlink>
      <w:r>
        <w:t xml:space="preserve"> </w:t>
      </w:r>
      <w:r>
        <w:t xml:space="preserve">on a sample in which each treated firm is</w:t>
      </w:r>
      <w:r>
        <w:t xml:space="preserve"> </w:t>
      </w:r>
      <w:r>
        <w:t xml:space="preserve">nearest-neighbor matched to a control on pre-rule size (124 pairs; the size gap falls to</w:t>
      </w:r>
      <w:r>
        <w:t xml:space="preserve"> </w:t>
      </w:r>
      <m:oMath>
        <m:r>
          <m:t>0.23</m:t>
        </m:r>
      </m:oMath>
      <w:r>
        <w:t xml:space="preserve"> </w:t>
      </w:r>
      <w:r>
        <w:t xml:space="preserve">log points). On the size-balanced sample the idiosyncratic-volatility coefficient</w:t>
      </w:r>
      <w:r>
        <w:t xml:space="preserve"> </w:t>
      </w:r>
      <w:r>
        <w:t xml:space="preserve">attenuates from</w:t>
      </w:r>
      <w:r>
        <w:t xml:space="preserve"> </w:t>
      </w:r>
      <m:oMath>
        <m:r>
          <m:rPr>
            <m:sty m:val="p"/>
          </m:rPr>
          <m:t>−</m:t>
        </m:r>
        <m:r>
          <m:t>0.027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0.021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t</m:t>
        </m:r>
      </m:oMath>
      <w:r>
        <w:t xml:space="preserve">-statistic falls from</w:t>
      </w:r>
      <w:r>
        <w:t xml:space="preserve"> </w:t>
      </w:r>
      <m:oMath>
        <m:r>
          <m:rPr>
            <m:sty m:val="p"/>
          </m:rPr>
          <m:t>−</m:t>
        </m:r>
        <m:r>
          <m:t>5.01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2.37</m:t>
        </m:r>
      </m:oMath>
      <w:r>
        <w:t xml:space="preserve">; single</w:t>
      </w:r>
      <w:r>
        <w:t xml:space="preserve"> </w:t>
      </w:r>
      <w:r>
        <w:t xml:space="preserve">-period matching cannot fully purge a size</w:t>
      </w:r>
      <m:oMath>
        <m:r>
          <m:rPr>
            <m:sty m:val="p"/>
          </m:rPr>
          <m:t>×</m:t>
        </m:r>
      </m:oMath>
      <w:r>
        <w:t xml:space="preserve">time shock, so some attenuation short of zero</w:t>
      </w:r>
      <w:r>
        <w:t xml:space="preserve"> </w:t>
      </w:r>
      <w:r>
        <w:t xml:space="preserve">is expected, and it points the same direction as the placebos. The real-risk margins remain</w:t>
      </w:r>
      <w:r>
        <w:t xml:space="preserve"> </w:t>
      </w:r>
      <w:r>
        <w:t xml:space="preserve">unsupportive of H1: capex, acquisitions, leverage, and cash are insignificant, and where a</w:t>
      </w:r>
      <w:r>
        <w:t xml:space="preserve"> </w:t>
      </w:r>
      <w:r>
        <w:t xml:space="preserve">coefficient does turn significant it is the</w:t>
      </w:r>
      <w:r>
        <w:t xml:space="preserve"> </w:t>
      </w:r>
      <w:r>
        <w:rPr>
          <w:i/>
          <w:iCs/>
        </w:rPr>
        <w:t xml:space="preserve">wrong sign</w:t>
      </w:r>
      <w:r>
        <w:t xml:space="preserve"> </w:t>
      </w:r>
      <w:r>
        <w:t xml:space="preserve">for risk-reduction (investment</w:t>
      </w:r>
      <w:r>
        <w:t xml:space="preserve"> </w:t>
      </w:r>
      <m:oMath>
        <m:r>
          <m:rPr>
            <m:sty m:val="p"/>
          </m:rPr>
          <m:t>+</m:t>
        </m:r>
        <m:r>
          <m:t>0.013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2.68</m:t>
        </m:r>
      </m:oMath>
      <w:r>
        <w:t xml:space="preserve">; R&amp;D</w:t>
      </w:r>
      <w:r>
        <w:t xml:space="preserve"> </w:t>
      </w:r>
      <m:oMath>
        <m:r>
          <m:rPr>
            <m:sty m:val="p"/>
          </m:rPr>
          <m:t>+</m:t>
        </m:r>
        <m:r>
          <m:t>0.003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2.23</m:t>
        </m:r>
      </m:oMath>
      <w:r>
        <w:t xml:space="preserve">)—forced adopters, if anything, invest slightly</w:t>
      </w:r>
      <w:r>
        <w:t xml:space="preserve"> </w:t>
      </w:r>
      <w:r>
        <w:rPr>
          <w:i/>
          <w:iCs/>
        </w:rPr>
        <w:t xml:space="preserve">more</w:t>
      </w:r>
      <w:r>
        <w:t xml:space="preserve">, not less.</w:t>
      </w:r>
    </w:p>
    <w:bookmarkEnd w:id="28"/>
    <w:bookmarkStart w:id="29" w:name="randomization-inference."/>
    <w:p>
      <w:pPr>
        <w:pStyle w:val="Heading4"/>
      </w:pPr>
      <w:r>
        <w:t xml:space="preserve">Randomization inference.</w:t>
      </w:r>
    </w:p>
    <w:p>
      <w:pPr>
        <w:pStyle w:val="FirstParagraph"/>
      </w:pPr>
      <w:r>
        <w:t xml:space="preserve">Table </w:t>
      </w:r>
      <w:hyperlink w:anchor="tab:ri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and 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</w:t>
      </w:r>
      <w:r>
        <w:t xml:space="preserve"> </w:t>
      </w:r>
      <w:r>
        <w:t xml:space="preserve">design-based inference from 500 permutations of the treatment label. For investment/assets the</w:t>
      </w:r>
      <w:r>
        <w:t xml:space="preserve"> </w:t>
      </w:r>
      <w:r>
        <w:t xml:space="preserve">actual coefficient (</w:t>
      </w:r>
      <m:oMath>
        <m:r>
          <m:rPr>
            <m:sty m:val="p"/>
          </m:rPr>
          <m:t>+</m:t>
        </m:r>
        <m:r>
          <m:t>0.003</m:t>
        </m:r>
      </m:oMath>
      <w:r>
        <w:t xml:space="preserve">) sits near the center of the permutation distribution (95%</w:t>
      </w:r>
      <w:r>
        <w:t xml:space="preserve"> </w:t>
      </w:r>
      <w:r>
        <w:t xml:space="preserve">permutation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0.006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0.006</m:t>
        </m:r>
        <m:r>
          <m:rPr>
            <m:sty m:val="p"/>
          </m:rPr>
          <m:t>]</m:t>
        </m:r>
      </m:oMath>
      <w:r>
        <w:t xml:space="preserve">), giving a randomization</w:t>
      </w:r>
      <w:r>
        <w:t xml:space="preserve"> </w:t>
      </w:r>
      <m:oMath>
        <m:r>
          <m:t>p</m:t>
        </m:r>
      </m:oMath>
      <w:r>
        <w:t xml:space="preserve">-value of</w:t>
      </w:r>
      <w:r>
        <w:t xml:space="preserve"> </w:t>
      </w:r>
      <m:oMath>
        <m:r>
          <m:t>0.43</m:t>
        </m:r>
      </m:oMath>
      <w:r>
        <w:t xml:space="preserve">: the</w:t>
      </w:r>
      <w:r>
        <w:t xml:space="preserve"> </w:t>
      </w:r>
      <w:r>
        <w:t xml:space="preserve">real-risk null is not an artifact of clustered-SE asymptotics with 753 clusters. For</w:t>
      </w:r>
      <w:r>
        <w:t xml:space="preserve"> </w:t>
      </w:r>
      <w:r>
        <w:t xml:space="preserve">idiosyncratic volatility the actual coefficient (</w:t>
      </w:r>
      <m:oMath>
        <m:r>
          <m:rPr>
            <m:sty m:val="p"/>
          </m:rPr>
          <m:t>−</m:t>
        </m:r>
        <m:r>
          <m:t>0.027</m:t>
        </m:r>
      </m:oMath>
      <w:r>
        <w:t xml:space="preserve">) lies far outside the permutation</w:t>
      </w:r>
      <w:r>
        <w:t xml:space="preserve"> </w:t>
      </w:r>
      <w:r>
        <w:t xml:space="preserve">interval (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0.009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0.010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0.002</m:t>
        </m:r>
      </m:oMath>
      <w:r>
        <w:t xml:space="preserve">. This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resurrect a causal reading:</w:t>
      </w:r>
      <w:r>
        <w:t xml:space="preserve"> </w:t>
      </w:r>
      <w:r>
        <w:t xml:space="preserve">because random assignment ignores firm size, a coefficient this extreme means the</w:t>
      </w:r>
      <w:r>
        <w:t xml:space="preserve"> </w:t>
      </w:r>
      <w:r>
        <w:t xml:space="preserve">volatility gap is a</w:t>
      </w:r>
      <w:r>
        <w:t xml:space="preserve"> </w:t>
      </w:r>
      <w:r>
        <w:rPr>
          <w:i/>
          <w:iCs/>
        </w:rPr>
        <w:t xml:space="preserve">systematic</w:t>
      </w:r>
      <w:r>
        <w:t xml:space="preserve"> </w:t>
      </w:r>
      <w:r>
        <w:t xml:space="preserve">function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firms are labeled treated—their</w:t>
      </w:r>
      <w:r>
        <w:t xml:space="preserve"> </w:t>
      </w:r>
      <w:r>
        <w:t xml:space="preserve">size—exactly the artifact the placebos identify. Randomization inference thus corroborates</w:t>
      </w:r>
      <w:r>
        <w:t xml:space="preserve"> </w:t>
      </w:r>
      <w:r>
        <w:t xml:space="preserve">both halves of the story: the real-risk null is genuine, and the volatility signal is</w:t>
      </w:r>
      <w:r>
        <w:t xml:space="preserve"> </w:t>
      </w:r>
      <w:r>
        <w:t xml:space="preserve">size-driven structure, not the mandate.</w:t>
      </w:r>
    </w:p>
    <w:bookmarkEnd w:id="29"/>
    <w:bookmarkEnd w:id="30"/>
    <w:bookmarkStart w:id="31" w:name="sec:power"/>
    <w:p>
      <w:pPr>
        <w:pStyle w:val="Heading1"/>
      </w:pPr>
      <w:r>
        <w:t xml:space="preserve">Is the Null Informative? Power and Minimum Detectable Effects</w:t>
      </w:r>
    </w:p>
    <w:p>
      <w:pPr>
        <w:pStyle w:val="FirstParagraph"/>
      </w:pPr>
      <w:r>
        <w:t xml:space="preserve">A null is only interesting if the design could have detected a real effect. Table </w:t>
      </w:r>
      <w:hyperlink w:anchor="tab:power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reports, for each real-risk outcome, the minimum detectable effect (MDE) at 80% power,</w:t>
      </w:r>
      <w:r>
        <w:t xml:space="preserve"> </w:t>
      </w:r>
      <m:oMath>
        <m:r>
          <m:rPr>
            <m:nor/>
            <m:sty m:val="p"/>
          </m:rPr>
          <m:t>MDE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r>
          <m:rPr>
            <m:sty m:val="p"/>
          </m:rPr>
          <m:t>≈</m:t>
        </m:r>
        <m:r>
          <m:t>2.80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</m:oMath>
      <w:r>
        <w:t xml:space="preserve">, and</w:t>
      </w:r>
      <w:r>
        <w:t xml:space="preserve"> </w:t>
      </w:r>
      <w:r>
        <w:t xml:space="preserve">expresses it as a share of the outcome’s mean and cross-firm standard deviation. The design is</w:t>
      </w:r>
      <w:r>
        <w:t xml:space="preserve"> </w:t>
      </w:r>
      <w:r>
        <w:t xml:space="preserve">well powered: at 80% power we could have detected changes of</w:t>
      </w:r>
      <w:r>
        <w:t xml:space="preserve"> </w:t>
      </w:r>
      <m:oMath>
        <m:r>
          <m:t>13.0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mean for</w:t>
      </w:r>
      <w:r>
        <w:t xml:space="preserve"> </w:t>
      </w:r>
      <w:r>
        <w:t xml:space="preserve">investment/assets,</w:t>
      </w:r>
      <w:r>
        <w:t xml:space="preserve"> </w:t>
      </w:r>
      <m:oMath>
        <m:r>
          <m:t>10.4</m:t>
        </m:r>
        <m:r>
          <m:rPr>
            <m:sty m:val="p"/>
          </m:rPr>
          <m:t>%</m:t>
        </m:r>
      </m:oMath>
      <w:r>
        <w:t xml:space="preserve"> </w:t>
      </w:r>
      <w:r>
        <w:t xml:space="preserve">for capex,</w:t>
      </w:r>
      <w:r>
        <w:t xml:space="preserve"> </w:t>
      </w:r>
      <m:oMath>
        <m:r>
          <m:t>16.1</m:t>
        </m:r>
        <m:r>
          <m:rPr>
            <m:sty m:val="p"/>
          </m:rPr>
          <m:t>%</m:t>
        </m:r>
      </m:oMath>
      <w:r>
        <w:t xml:space="preserve"> </w:t>
      </w:r>
      <w:r>
        <w:t xml:space="preserve">for R&amp;D,</w:t>
      </w:r>
      <w:r>
        <w:t xml:space="preserve"> </w:t>
      </w:r>
      <m:oMath>
        <m:r>
          <m:t>6.6</m:t>
        </m:r>
        <m:r>
          <m:rPr>
            <m:sty m:val="p"/>
          </m:rPr>
          <m:t>%</m:t>
        </m:r>
      </m:oMath>
      <w:r>
        <w:t xml:space="preserve"> </w:t>
      </w:r>
      <w:r>
        <w:t xml:space="preserve">for leverage, and</w:t>
      </w:r>
      <w:r>
        <w:t xml:space="preserve"> </w:t>
      </w:r>
      <m:oMath>
        <m:r>
          <m:t>12.2</m:t>
        </m:r>
        <m:r>
          <m:rPr>
            <m:sty m:val="p"/>
          </m:rPr>
          <m:t>%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cash (and</w:t>
      </w:r>
      <w:r>
        <w:t xml:space="preserve"> </w:t>
      </w:r>
      <m:oMath>
        <m:r>
          <m:t>5.4</m:t>
        </m:r>
        <m:r>
          <m:rPr>
            <m:sty m:val="p"/>
          </m:rPr>
          <m:t>%</m:t>
        </m:r>
      </m:oMath>
      <w:r>
        <w:t xml:space="preserve"> </w:t>
      </w:r>
      <w:r>
        <w:t xml:space="preserve">for idiosyncratic volatility). These thresholds are at or below the effect</w:t>
      </w:r>
      <w:r>
        <w:t xml:space="preserve"> </w:t>
      </w:r>
      <w:r>
        <w:t xml:space="preserve">magnitudes the voluntary-adoption literature reports</w:t>
      </w:r>
      <w:r>
        <w:t xml:space="preserve"> </w:t>
      </w:r>
      <w:r>
        <w:t xml:space="preserve">. In other words,</w:t>
      </w:r>
      <w:r>
        <w:t xml:space="preserve"> </w:t>
      </w:r>
      <w:r>
        <w:t xml:space="preserve">had the mandate reproduced even a fraction of the voluntary-adoption effect on real risk-taking,</w:t>
      </w:r>
      <w:r>
        <w:t xml:space="preserve"> </w:t>
      </w:r>
      <w:r>
        <w:t xml:space="preserve">our design would very likely have found it. The absence of a detected effect is therefore an</w:t>
      </w:r>
      <w:r>
        <w:t xml:space="preserve"> </w:t>
      </w:r>
      <w:r>
        <w:t xml:space="preserve">informative upper bound on the mandate’s first-two-year real-risk effect, not a symptom of an</w:t>
      </w:r>
      <w:r>
        <w:t xml:space="preserve"> </w:t>
      </w:r>
      <w:r>
        <w:t xml:space="preserve">underpowered test. Only the acquisitions margin is comparatively noisy (MDE</w:t>
      </w:r>
      <w:r>
        <w:t xml:space="preserve"> </w:t>
      </w:r>
      <m:oMath>
        <m:r>
          <m:rPr>
            <m:sty m:val="p"/>
          </m:rPr>
          <m:t>=</m:t>
        </m:r>
        <m:r>
          <m:t>36</m:t>
        </m:r>
        <m:r>
          <m:rPr>
            <m:sty m:val="p"/>
          </m:rPr>
          <m:t>%</m:t>
        </m:r>
      </m:oMath>
      <w:r>
        <w:t xml:space="preserve"> </w:t>
      </w:r>
      <w:r>
        <w:t xml:space="preserve">of a small</w:t>
      </w:r>
      <w:r>
        <w:t xml:space="preserve"> </w:t>
      </w:r>
      <w:r>
        <w:t xml:space="preserve">mean), so we are appropriately cautious there.</w:t>
      </w:r>
    </w:p>
    <w:bookmarkEnd w:id="31"/>
    <w:bookmarkStart w:id="52" w:name="sec:concl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Mandatory clawbacks under SEC Rule 10D-1 did not, in their first two years, reproduce the</w:t>
      </w:r>
      <w:r>
        <w:t xml:space="preserve"> </w:t>
      </w:r>
      <w:r>
        <w:t xml:space="preserve">risk-reduction that voluntary clawback adoption delivered. The investment, R&amp;D, acquisition,</w:t>
      </w:r>
      <w:r>
        <w:t xml:space="preserve"> </w:t>
      </w:r>
      <w:r>
        <w:t xml:space="preserve">leverage, and cash margins are unmoved for forced adopters relative to already-covered controls;</w:t>
      </w:r>
      <w:r>
        <w:t xml:space="preserve"> </w:t>
      </w:r>
      <w:r>
        <w:t xml:space="preserve">the lone significant outcome—return volatility—fails every identification check</w:t>
      </w:r>
      <w:r>
        <w:t xml:space="preserve"> </w:t>
      </w:r>
      <w:r>
        <w:t xml:space="preserve">(parallel-trends, event-study timing, size matching, and two independent size placebos), and</w:t>
      </w:r>
      <w:r>
        <w:t xml:space="preserve"> </w:t>
      </w:r>
      <w:r>
        <w:t xml:space="preserve">randomization inference shows it to be systematic size structure rather than a treatment</w:t>
      </w:r>
      <w:r>
        <w:t xml:space="preserve"> </w:t>
      </w:r>
      <w:r>
        <w:t xml:space="preserve">response. A power analysis establishes that the null is informative: effects the size of those</w:t>
      </w:r>
      <w:r>
        <w:t xml:space="preserve"> </w:t>
      </w:r>
      <w:r>
        <w:t xml:space="preserve">in the voluntary-adoption literature would have been detected. The most likely reasons for the</w:t>
      </w:r>
      <w:r>
        <w:t xml:space="preserve"> </w:t>
      </w:r>
      <w:r>
        <w:t xml:space="preserve">null are economic: 10D-1 is a narrow, restatement-triggered recovery rule, its incentive effect</w:t>
      </w:r>
      <w:r>
        <w:t xml:space="preserve"> </w:t>
      </w:r>
      <w:r>
        <w:t xml:space="preserve">can be offset by re-optimizing the rest of the pay package (we in fact see CEO pay rise), and a</w:t>
      </w:r>
      <w:r>
        <w:t xml:space="preserve"> </w:t>
      </w:r>
      <w:r>
        <w:t xml:space="preserve">rule proposed in 2015 was largely anticipated.</w:t>
      </w:r>
    </w:p>
    <w:p>
      <w:pPr>
        <w:pStyle w:val="BodyText"/>
      </w:pPr>
      <w:r>
        <w:t xml:space="preserve">We are explicit about the binding limitation. Our treatment is an intent-to-treat</w:t>
      </w:r>
      <w:r>
        <w:t xml:space="preserve"> </w:t>
      </w:r>
      <w:r>
        <w:rPr>
          <w:i/>
          <w:iCs/>
        </w:rPr>
        <w:t xml:space="preserve">proxy</w:t>
      </w:r>
      <w:r>
        <w:t xml:space="preserve">:</w:t>
      </w:r>
      <w:r>
        <w:t xml:space="preserve"> </w:t>
      </w:r>
      <w:r>
        <w:t xml:space="preserve">we infer ex-ante clawback status from firm size because we could not observe, firm by firm,</w:t>
      </w:r>
      <w:r>
        <w:t xml:space="preserve"> </w:t>
      </w:r>
      <w:r>
        <w:t xml:space="preserve">which companies already had a voluntary policy and—more importantly—</w:t>
      </w:r>
      <w:r>
        <w:rPr>
          <w:i/>
          <w:iCs/>
        </w:rPr>
        <w:t xml:space="preserve">how strong</w:t>
      </w:r>
      <w:r>
        <w:t xml:space="preserve"> </w:t>
      </w:r>
      <w:r>
        <w:t xml:space="preserve">each</w:t>
      </w:r>
      <w:r>
        <w:t xml:space="preserve"> </w:t>
      </w:r>
      <w:r>
        <w:t xml:space="preserve">mandated policy is. Rule 10D-1 lets issuers write materially different recovery policies</w:t>
      </w:r>
      <w:r>
        <w:t xml:space="preserve"> </w:t>
      </w:r>
      <w:r>
        <w:t xml:space="preserve">(restatement-only versus broader misconduct triggers; the statutory three-year look-back versus</w:t>
      </w:r>
      <w:r>
        <w:t xml:space="preserve"> </w:t>
      </w:r>
      <w:r>
        <w:t xml:space="preserve">longer; interaction with severance multiples), and the real-behavior response should scale with</w:t>
      </w:r>
      <w:r>
        <w:t xml:space="preserve"> </w:t>
      </w:r>
      <w:r>
        <w:t xml:space="preserve">that strength. A size proxy cannot capture it, and the observable-moderator heterogeneity in</w:t>
      </w:r>
      <w:r>
        <w:t xml:space="preserve"> </w:t>
      </w:r>
      <w:r>
        <w:t xml:space="preserve">Section </w:t>
      </w:r>
      <w:hyperlink w:anchor="sec:het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is deliberately orthogonal to it. The companion student task hand-codes</w:t>
      </w:r>
      <w:r>
        <w:t xml:space="preserve"> </w:t>
      </w:r>
      <w:r>
        <w:t xml:space="preserve">10D-1 provision strength directly from EDGAR exhibits, which turns this honest, proxy-based null</w:t>
      </w:r>
      <w:r>
        <w:t xml:space="preserve"> </w:t>
      </w:r>
      <w:r>
        <w:t xml:space="preserve">into a sharp, dose-response test of whether</w:t>
      </w:r>
      <w:r>
        <w:t xml:space="preserve"> </w:t>
      </w:r>
      <w:r>
        <w:rPr>
          <w:i/>
          <w:iCs/>
        </w:rPr>
        <w:t xml:space="preserve">stronger</w:t>
      </w:r>
      <w:r>
        <w:t xml:space="preserve"> </w:t>
      </w:r>
      <w:r>
        <w:t xml:space="preserve">mandated clawbacks changed CEO</w:t>
      </w:r>
      <w:r>
        <w:t xml:space="preserve"> </w:t>
      </w:r>
      <w:r>
        <w:t xml:space="preserve">risk-taking. That test—not another robustness check on the size proxy—is the natural next</w:t>
      </w:r>
      <w:r>
        <w:t xml:space="preserve"> </w:t>
      </w:r>
      <w:r>
        <w:t xml:space="preserve">step, and it is the contribution the design has been built to receive.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Abadie, A., 2020. Statistical nonsignificance in empirical</w:t>
      </w:r>
      <w:r>
        <w:t xml:space="preserve"> </w:t>
      </w:r>
      <w:r>
        <w:t xml:space="preserve">economics. American Economic Review: Insights 2, 193–208.</w:t>
      </w:r>
      <w:r>
        <w:t xml:space="preserve"> </w:t>
      </w:r>
      <w:r>
        <w:t xml:space="preserve">Babenko, I., Bennett, B., Bizjak, J.M., Coles, J.L.,</w:t>
      </w:r>
      <w:r>
        <w:t xml:space="preserve"> </w:t>
      </w:r>
      <w:r>
        <w:t xml:space="preserve">Sandvik, J., 2023. Clawback provisions and firm risk. Review of Corporate Finance Studies 12,</w:t>
      </w:r>
      <w:r>
        <w:t xml:space="preserve"> </w:t>
      </w:r>
      <w:r>
        <w:t xml:space="preserve">191–239.</w:t>
      </w:r>
      <w:r>
        <w:t xml:space="preserve"> </w:t>
      </w:r>
      <w:r>
        <w:t xml:space="preserve">Bertrand, M., Mullainathan, S., 2003.</w:t>
      </w:r>
      <w:r>
        <w:t xml:space="preserve"> </w:t>
      </w:r>
      <w:r>
        <w:t xml:space="preserve">Enjoying the quiet life? Corporate governance and managerial preferences. Journal of Political</w:t>
      </w:r>
      <w:r>
        <w:t xml:space="preserve"> </w:t>
      </w:r>
      <w:r>
        <w:t xml:space="preserve">Economy 111, 1043–1075.</w:t>
      </w:r>
      <w:r>
        <w:t xml:space="preserve"> </w:t>
      </w:r>
      <w:r>
        <w:t xml:space="preserve">Callaway, B., Sant’Anna, P.H.C., 2021.</w:t>
      </w:r>
      <w:r>
        <w:t xml:space="preserve"> </w:t>
      </w:r>
      <w:r>
        <w:t xml:space="preserve">Difference-in-differences with multiple time periods. Journal of Econometrics 225, 200–230.</w:t>
      </w:r>
      <w:r>
        <w:t xml:space="preserve"> </w:t>
      </w:r>
      <w:r>
        <w:t xml:space="preserve">Chan, L.H., Chen, K.C.W., Chen, T.Y., Yu, Y., 2012. The</w:t>
      </w:r>
      <w:r>
        <w:t xml:space="preserve"> </w:t>
      </w:r>
      <w:r>
        <w:t xml:space="preserve">effects of firm-initiated clawback provisions on earnings quality and auditor behavior. Journal</w:t>
      </w:r>
      <w:r>
        <w:t xml:space="preserve"> </w:t>
      </w:r>
      <w:r>
        <w:t xml:space="preserve">of Accounting and Economics 54, 180–196.</w:t>
      </w:r>
      <w:r>
        <w:t xml:space="preserve"> </w:t>
      </w:r>
      <w:r>
        <w:t xml:space="preserve">Chen, M.A., Greene, D.T., Owers, J.E., 2015. The costs and</w:t>
      </w:r>
      <w:r>
        <w:t xml:space="preserve"> </w:t>
      </w:r>
      <w:r>
        <w:t xml:space="preserve">benefits of clawback provisions in CEO compensation. Review of Corporate Finance Studies 4,</w:t>
      </w:r>
      <w:r>
        <w:t xml:space="preserve"> </w:t>
      </w:r>
      <w:r>
        <w:t xml:space="preserve">108–154.</w:t>
      </w:r>
      <w:r>
        <w:t xml:space="preserve"> </w:t>
      </w:r>
      <w:r>
        <w:t xml:space="preserve">Coles, J.L., Daniel, N.D., Naveen, L., 2006. Managerial</w:t>
      </w:r>
      <w:r>
        <w:t xml:space="preserve"> </w:t>
      </w:r>
      <w:r>
        <w:t xml:space="preserve">incentives and risk-taking. Journal of Financial Economics 79, 431–468.</w:t>
      </w:r>
      <w:r>
        <w:t xml:space="preserve"> </w:t>
      </w:r>
      <w:r>
        <w:t xml:space="preserve">deHaan, E., Hodge, F.D., Shevlin, T.J., 2013. Does</w:t>
      </w:r>
      <w:r>
        <w:t xml:space="preserve"> </w:t>
      </w:r>
      <w:r>
        <w:t xml:space="preserve">voluntary adoption of a clawback provision improve financial reporting quality? Contemporary</w:t>
      </w:r>
      <w:r>
        <w:t xml:space="preserve"> </w:t>
      </w:r>
      <w:r>
        <w:t xml:space="preserve">Accounting Research 30, 1027–1062.</w:t>
      </w:r>
      <w:r>
        <w:t xml:space="preserve"> </w:t>
      </w:r>
      <w:r>
        <w:t xml:space="preserve">Ioannidis, J.P.A., Stanley, T.D., Doucouliagos, H.,</w:t>
      </w:r>
      <w:r>
        <w:t xml:space="preserve"> </w:t>
      </w:r>
      <w:r>
        <w:t xml:space="preserve">2017. The power of bias in economics research. Economic Journal 127, F236–F265.</w:t>
      </w:r>
      <w:r>
        <w:t xml:space="preserve"> </w:t>
      </w:r>
      <w:r>
        <w:t xml:space="preserve">Iskandar-Datta, M., Jia, Y., 2013. Valuation</w:t>
      </w:r>
      <w:r>
        <w:t xml:space="preserve"> </w:t>
      </w:r>
      <w:r>
        <w:t xml:space="preserve">consequences of clawback provisions. The Accounting Review 88, 171–198.</w:t>
      </w:r>
      <w:r>
        <w:t xml:space="preserve"> </w:t>
      </w:r>
      <w:r>
        <w:t xml:space="preserve">Liu, Y., Gan, H., Karim, K., 2020. Corporate risk-taking</w:t>
      </w:r>
      <w:r>
        <w:t xml:space="preserve"> </w:t>
      </w:r>
      <w:r>
        <w:t xml:space="preserve">after adoption of compensation clawback provisions. Review of Quantitative Finance and</w:t>
      </w:r>
      <w:r>
        <w:t xml:space="preserve"> </w:t>
      </w:r>
      <w:r>
        <w:t xml:space="preserve">Accounting 54, 617–649.</w:t>
      </w:r>
      <w:r>
        <w:t xml:space="preserve"> </w:t>
      </w:r>
      <w:r>
        <w:t xml:space="preserve">Roth, J., 2022. Pretest with caution: Event-study estimates after</w:t>
      </w:r>
      <w:r>
        <w:t xml:space="preserve"> </w:t>
      </w:r>
      <w:r>
        <w:t xml:space="preserve">testing for parallel trends. American Economic Review: Insights 4, 305–322.</w:t>
      </w:r>
      <w:r>
        <w:t xml:space="preserve"> </w:t>
      </w:r>
      <w:r>
        <w:t xml:space="preserve">U.S. Securities and Exchange Commission, 2022. Listing standards for</w:t>
      </w:r>
      <w:r>
        <w:t xml:space="preserve"> </w:t>
      </w:r>
      <w:r>
        <w:t xml:space="preserve">recovery of erroneously awarded compensation. Release Nos. 33-11126; 34-96159 (October 26).</w:t>
      </w:r>
      <w:r>
        <w:t xml:space="preserve"> </w:t>
      </w:r>
      <w:r>
        <w:t xml:space="preserve">Young, A., 2019. Channeling Fisher: Randomization tests and the</w:t>
      </w:r>
      <w:r>
        <w:t xml:space="preserve"> </w:t>
      </w:r>
      <w:r>
        <w:t xml:space="preserve">statistical insignificance of seemingly significant experimental results. Quarterly Journal of</w:t>
      </w:r>
      <w:r>
        <w:t xml:space="preserve"> </w:t>
      </w:r>
      <w:r>
        <w:t xml:space="preserve">Economics 134, 557–598.</w:t>
      </w:r>
    </w:p>
    <w:bookmarkStart w:id="32" w:name="tab:sumstats"/>
    <w:p>
      <w:pPr>
        <w:pStyle w:val="TableCaption"/>
      </w:pPr>
      <w:r>
        <w:t xml:space="preserve">Summary statistics, main DiD sample (S&amp;P 500 vs. S&amp;P 600, 2015–2025)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Summary statistics, main DiD sample (S&amp;P 500 vs. S&amp;P 600, 2015–2025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(S&amp;P 500)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(S&amp;P 600)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Acquisitions/Assets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return volatility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Idiosyncratic volatility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+0.1054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leverage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-0.0691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ln(CEO total pay)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15.8685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16.3894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15.1535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-1.2359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 equity-pay share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 = ln(Assets)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1.7634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7.6452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-2.5525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Market-to-book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5.0346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8.1327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6.7461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2.8092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-3.9369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flow/Assets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-0.0421</w:t>
            </w:r>
          </w:p>
        </w:tc>
      </w:tr>
    </w:tbl>
    <w:bookmarkEnd w:id="32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753 firms, 8</w:t>
      </w:r>
      <w:r>
        <w:t xml:space="preserve">,</w:t>
      </w:r>
      <w:r>
        <w:t xml:space="preserve">222 firm-years. Control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S&amp;P</w:t>
      </w:r>
      <w:r>
        <w:t xml:space="preserve"> </w:t>
      </w:r>
      <w:r>
        <w:t xml:space="preserve">500 (ex-ante voluntary clawback near-universal); Treated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S&amp;P SmallCap 600 (forced adopter</w:t>
      </w:r>
      <w:r>
        <w:t xml:space="preserve"> </w:t>
      </w:r>
      <w:r>
        <w:t xml:space="preserve">proxy). Continuous variables winsorized 1/99. Volatility is annualized from CRSP daily returns;</w:t>
      </w:r>
      <w:r>
        <w:t xml:space="preserve"> </w:t>
      </w:r>
      <w:r>
        <w:t xml:space="preserve">CEO pay from Execucomp.</w:t>
      </w:r>
    </w:p>
    <w:bookmarkStart w:id="33" w:name="tab:main"/>
    <w:p>
      <w:pPr>
        <w:pStyle w:val="TableCaption"/>
      </w:pPr>
      <w:r>
        <w:t xml:space="preserve">Difference-in-differences across risk-taking outcomes (preferred specification)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fference-in-differences across risk-taking outcomes (preferred specification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 (DV)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DiD (post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treat)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-stat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Within-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(+0.81)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(+1.33)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Acquisitions/Assets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(+0.81)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return volatility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-0.0146***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Idiosyncratic volatility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-0.0270***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(-5.01)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leverage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(+0.40)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(+1.49)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ln(CEO total pay)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+0.1388***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(+5.22)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 equity-pay share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+0.0168*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(+1.74)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0.042</w:t>
            </w:r>
          </w:p>
        </w:tc>
      </w:tr>
    </w:tbl>
    <w:bookmarkEnd w:id="33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row is a separate regression of the outcome</w:t>
      </w:r>
      <w:r>
        <w:t xml:space="preserve"> </w:t>
      </w:r>
      <w:r>
        <w:t xml:space="preserve">on Post</w:t>
      </w:r>
      <m:oMath>
        <m:r>
          <m:rPr>
            <m:sty m:val="p"/>
          </m:rPr>
          <m:t>×</m:t>
        </m:r>
      </m:oMath>
      <w:r>
        <w:t xml:space="preserve">Treated with firm and year fixed effects, controls (size, market-to-book, ROA,</w:t>
      </w:r>
      <w:r>
        <w:t xml:space="preserve"> </w:t>
      </w:r>
      <w:r>
        <w:t xml:space="preserve">cash-flow/assets, tangibility), and SE clustered by firm. Post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r>
          <m:rPr>
            <m:nor/>
            <m:sty m:val="p"/>
          </m:rPr>
          <m:t>fyear</m:t>
        </m:r>
        <m:r>
          <m:rPr>
            <m:sty m:val="p"/>
          </m:rPr>
          <m:t>≥</m:t>
        </m:r>
        <m:r>
          <m:t>2023</m:t>
        </m:r>
        <m:r>
          <m:rPr>
            <m:sty m:val="p"/>
          </m:rPr>
          <m:t>]</m:t>
        </m:r>
      </m:oMath>
      <w:r>
        <w:t xml:space="preserve">; Treated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S&amp;P 600. The investment/financing margins are insignificant; only return</w:t>
      </w:r>
      <w:r>
        <w:t xml:space="preserve"> </w:t>
      </w:r>
      <w:r>
        <w:t xml:space="preserve">volatility moves (shown non-causal in Table </w:t>
      </w:r>
      <w:hyperlink w:anchor="tab:robust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 Figure </w:t>
      </w:r>
      <w:hyperlink w:anchor="fig:es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4" w:name="tab:prog"/>
    <w:p>
      <w:pPr>
        <w:pStyle w:val="TableCaption"/>
      </w:pPr>
      <w:r>
        <w:t xml:space="preserve">Progressive specifications, headline outcome (idiosyncratic volatility)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gressive specifications, headline outcome (idiosyncratic volatility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 Year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 +Firm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 +Controls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 POST=2024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(5) No COVID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2-6</w:t>
            </w:r>
            <w:r>
              <w:t xml:space="preserve"> </w:t>
            </w:r>
            <w:r>
              <w:t xml:space="preserve">DiD (post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treat)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-0.0233***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-0.0263***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-0.0270***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-0.0331***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-0.0148***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(-4.56)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(-4.98)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(-5.01)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(-6.17)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Within-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-0.034</w:t>
            </w:r>
          </w:p>
        </w:tc>
      </w:tr>
    </w:tbl>
    <w:bookmarkEnd w:id="34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idiosyncratic volatility. Controls as in</w:t>
      </w:r>
      <w:r>
        <w:t xml:space="preserve"> </w:t>
      </w:r>
      <w:r>
        <w:t xml:space="preserve">Table </w:t>
      </w:r>
      <w:hyperlink w:anchor="tab:main">
        <w:r>
          <w:rPr>
            <w:rStyle w:val="Hyperlink"/>
          </w:rPr>
          <w:t xml:space="preserve">2</w:t>
        </w:r>
      </w:hyperlink>
      <w:r>
        <w:t xml:space="preserve">. Column (4) sets Post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r>
          <m:rPr>
            <m:nor/>
            <m:sty m:val="p"/>
          </m:rPr>
          <m:t>fyear</m:t>
        </m:r>
        <m:r>
          <m:rPr>
            <m:sty m:val="p"/>
          </m:rPr>
          <m:t>≥</m:t>
        </m:r>
        <m:r>
          <m:t>2024</m:t>
        </m:r>
        <m:r>
          <m:rPr>
            <m:sty m:val="p"/>
          </m:rPr>
          <m:t>]</m:t>
        </m:r>
      </m:oMath>
      <w:r>
        <w:t xml:space="preserve">; column (5)</w:t>
      </w:r>
      <w:r>
        <w:t xml:space="preserve"> </w:t>
      </w:r>
      <w:r>
        <w:t xml:space="preserve">drops the 2020–21 COVID years. The estimate is stable in level but fails the parallel-trends</w:t>
      </w:r>
      <w:r>
        <w:t xml:space="preserve"> </w:t>
      </w:r>
      <w:r>
        <w:t xml:space="preserve">test (Figure </w:t>
      </w:r>
      <w:hyperlink w:anchor="fig:es">
        <w:r>
          <w:rPr>
            <w:rStyle w:val="Hyperlink"/>
          </w:rPr>
          <w:t xml:space="preserve">1</w:t>
        </w:r>
      </w:hyperlink>
      <w:r>
        <w:t xml:space="preserve">). SE clustered by firm.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5" w:name="tab:robust"/>
    <w:p>
      <w:pPr>
        <w:pStyle w:val="TableCaption"/>
      </w:pPr>
      <w:r>
        <w:t xml:space="preserve">Robustness and placebos: the volatility result is a size</w:t>
      </w:r>
      <m:oMath>
        <m:r>
          <m:rPr>
            <m:sty m:val="p"/>
          </m:rPr>
          <m:t>×</m:t>
        </m:r>
      </m:oMath>
      <w:r>
        <w:t xml:space="preserve">COVID artifact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obustness and placebos: the volatility result is a size\timesCOVID artifact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DiD coef.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-stat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(firm+year FE, controls)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-0.0270***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(-5.01)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Two-way clustered 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-0.0270**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(-1.97)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POST=2024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-0.0331***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(-6.17)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COVID 2020-21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-0.0148***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Placebo: SP400 vs SP500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-0.0179***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 treat: below-median 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-0.0178***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(-4.02)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13535</w:t>
            </w:r>
          </w:p>
        </w:tc>
      </w:tr>
    </w:tbl>
    <w:bookmarkEnd w:id="35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idiosyncratic volatility.</w:t>
      </w:r>
      <w:r>
        <w:t xml:space="preserve"> </w:t>
      </w:r>
      <w:r>
        <w:t xml:space="preserve">“Two-way</w:t>
      </w:r>
      <w:r>
        <w:t xml:space="preserve"> </w:t>
      </w:r>
      <w:r>
        <w:t xml:space="preserve">clustered”</w:t>
      </w:r>
      <w:r>
        <w:t xml:space="preserve"> </w:t>
      </w:r>
      <w:r>
        <w:t xml:space="preserve">clusters by firm and year.</w:t>
      </w:r>
      <w:r>
        <w:t xml:space="preserve"> </w:t>
      </w:r>
      <w:r>
        <w:t xml:space="preserve">“Placebo: SP400 vs SP500”</w:t>
      </w:r>
      <w:r>
        <w:t xml:space="preserve"> </w:t>
      </w:r>
      <w:r>
        <w:t xml:space="preserve">and</w:t>
      </w:r>
      <w:r>
        <w:t xml:space="preserve"> </w:t>
      </w:r>
      <w:r>
        <w:t xml:space="preserve">“Alt treat:</w:t>
      </w:r>
      <w:r>
        <w:t xml:space="preserve"> </w:t>
      </w:r>
      <w:r>
        <w:t xml:space="preserve">below-median size”</w:t>
      </w:r>
      <w:r>
        <w:t xml:space="preserve"> </w:t>
      </w:r>
      <w:r>
        <w:t xml:space="preserve">contain weaker/zero differential clawback content yet reproduce the</w:t>
      </w:r>
      <w:r>
        <w:t xml:space="preserve"> </w:t>
      </w:r>
      <w:r>
        <w:t xml:space="preserve">coefficient, indicating the pattern is a firm-size phenomenon rather than a Rule 10D-1 effect.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6" w:name="tab:hetero"/>
    <w:p>
      <w:pPr>
        <w:pStyle w:val="TableCaption"/>
      </w:pPr>
      <w:r>
        <w:t xml:space="preserve">Heterogeneity of the DiD by observable pre-rule moderators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terogeneity of the DiD by observable pre-rule moderator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Idiosyncratic vol.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Investment/Assets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 </w:t>
            </w:r>
            <w:r>
              <w:t xml:space="preserve">Moderator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(pre-rule)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DiD</w:t>
            </w:r>
            <m:oMath>
              <m:r>
                <m:rPr>
                  <m:sty m:val="p"/>
                </m:rPr>
                <m:t>×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DiD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DiD</w:t>
            </w:r>
            <m:oMath>
              <m:r>
                <m:rPr>
                  <m:sty m:val="p"/>
                </m:rPr>
                <m:t>×</m:t>
              </m:r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CEO equity-pay share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-0.0181***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-0.0284**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book leverage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-0.0217***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+0.0117***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-0.0238***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R&amp;D-active firm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-0.0284***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+0.0066*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-0.0111*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Financial/regulated firm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-0.0356***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+0.0323***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+0.0064</w:t>
            </w:r>
          </w:p>
        </w:tc>
      </w:tr>
    </w:tbl>
    <w:bookmarkEnd w:id="36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row adds an interaction</w:t>
      </w:r>
      <w:r>
        <w:t xml:space="preserve"> </w:t>
      </w:r>
      <w:r>
        <w:t xml:space="preserve">DiD</w:t>
      </w:r>
      <m:oMath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to equation </w:t>
      </w:r>
      <w:hyperlink w:anchor="eq:did">
        <w:r>
          <w:rPr>
            <w:rStyle w:val="Hyperlink"/>
          </w:rPr>
          <w:t xml:space="preserve">[eq:did]</w:t>
        </w:r>
      </w:hyperlink>
      <w:r>
        <w:t xml:space="preserve">, 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pre-rule (2022) moderator: above-median</w:t>
      </w:r>
      <w:r>
        <w:t xml:space="preserve"> </w:t>
      </w:r>
      <w:r>
        <w:t xml:space="preserve">CEO equity-pay share, above-median book leverage, an R&amp;D-active indicator, and a</w:t>
      </w:r>
      <w:r>
        <w:t xml:space="preserve"> </w:t>
      </w:r>
      <w:r>
        <w:t xml:space="preserve">financial/regulated-industry indicator. Columns report the base DiD and the DiD</w:t>
      </w:r>
      <m:oMath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for idiosyncratic volatility and investment/assets. No subgroup shows the negative</w:t>
      </w:r>
      <w:r>
        <w:t xml:space="preserve"> </w:t>
      </w:r>
      <w:r>
        <w:t xml:space="preserve">real-risk effect H1 predicts. Provision strength is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used as a moderator</w:t>
      </w:r>
      <w:r>
        <w:t xml:space="preserve"> </w:t>
      </w:r>
      <w:r>
        <w:t xml:space="preserve">(it is the student’s hand-collected variable).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7" w:name="tab:matched"/>
    <w:p>
      <w:pPr>
        <w:pStyle w:val="TableCaption"/>
      </w:pPr>
      <w:r>
        <w:t xml:space="preserve">Size-matched difference-in-differences (nearest-neighbor on pre-rule size)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ze-matched difference-in-differences (nearest-neighbor on pre-rule size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 (DV)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DiD (matched)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-stat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Idiosyncratic volatility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-0.0208**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(-2.37)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+0.0133***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(+2.68)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(+1.60)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+0.0035**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(+2.23)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Acquisitions/Assets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(+1.34)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leverage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(-1.38)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(+1.52)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2415</w:t>
            </w:r>
          </w:p>
        </w:tc>
      </w:tr>
    </w:tbl>
    <w:bookmarkEnd w:id="37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treated (S&amp;P 600) firm is 1:1</w:t>
      </w:r>
      <w:r>
        <w:t xml:space="preserve"> </w:t>
      </w:r>
      <w:r>
        <w:t xml:space="preserve">nearest-neighbor matched without replacement to an S&amp;P 500 control on pre-rule (2022) size</w:t>
      </w:r>
      <w:r>
        <w:t xml:space="preserve"> </w:t>
      </w:r>
      <w:r>
        <w:t xml:space="preserve">within a 0.25-SD caliper (124 pairs; treated–control size gap falls from 2.54 to 0.23 log</w:t>
      </w:r>
      <w:r>
        <w:t xml:space="preserve"> </w:t>
      </w:r>
      <w:r>
        <w:t xml:space="preserve">points). Equation </w:t>
      </w:r>
      <w:hyperlink w:anchor="eq:did">
        <w:r>
          <w:rPr>
            <w:rStyle w:val="Hyperlink"/>
          </w:rPr>
          <w:t xml:space="preserve">[eq:did]</w:t>
        </w:r>
      </w:hyperlink>
      <w:r>
        <w:t xml:space="preserve"> </w:t>
      </w:r>
      <w:r>
        <w:t xml:space="preserve">is re-estimated on the matched sample. The volatility</w:t>
      </w:r>
      <w:r>
        <w:t xml:space="preserve"> </w:t>
      </w:r>
      <w:r>
        <w:t xml:space="preserve">coefficient attenuates; the real-risk margins remain unsupportive of risk-reduction (and where</w:t>
      </w:r>
      <w:r>
        <w:t xml:space="preserve"> </w:t>
      </w:r>
      <w:r>
        <w:t xml:space="preserve">significant, are the wrong sign for H1).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8" w:name="tab:ri"/>
    <w:p>
      <w:pPr>
        <w:pStyle w:val="TableCaption"/>
      </w:pPr>
      <w:r>
        <w:t xml:space="preserve">Randomization inference (500 permutations of treatment)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ndomization inference (500 permutations of treatment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 (DV)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 DiD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Perm. 95% interval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Idiosyncratic volatility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[-0.0090, +0.0098]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[-0.0063, +0.0059]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0.430</w:t>
            </w:r>
          </w:p>
        </w:tc>
      </w:tr>
    </w:tbl>
    <w:bookmarkEnd w:id="38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The time-invariant treatment label is permuted</w:t>
      </w:r>
      <w:r>
        <w:t xml:space="preserve"> </w:t>
      </w:r>
      <w:r>
        <w:t xml:space="preserve">across firms 500 times; equation </w:t>
      </w:r>
      <w:hyperlink w:anchor="eq:did">
        <w:r>
          <w:rPr>
            <w:rStyle w:val="Hyperlink"/>
          </w:rPr>
          <w:t xml:space="preserve">[eq:did]</w:t>
        </w:r>
      </w:hyperlink>
      <w:r>
        <w:t xml:space="preserve"> </w:t>
      </w:r>
      <w:r>
        <w:t xml:space="preserve">is re-estimated each time.</w:t>
      </w:r>
      <w:r>
        <w:t xml:space="preserve"> </w:t>
      </w:r>
      <w:r>
        <w:t xml:space="preserve">“Perm. 95%</w:t>
      </w:r>
      <w:r>
        <w:t xml:space="preserve"> </w:t>
      </w:r>
      <w:r>
        <w:t xml:space="preserve">interval”</w:t>
      </w:r>
      <w:r>
        <w:t xml:space="preserve"> </w:t>
      </w:r>
      <w:r>
        <w:t xml:space="preserve">is the 2.5–97.5 percentile of the permutation distribution; the RI</w:t>
      </w:r>
      <w:r>
        <w:t xml:space="preserve"> </w:t>
      </w:r>
      <m:oMath>
        <m:r>
          <m:t>p</m:t>
        </m:r>
      </m:oMath>
      <w:r>
        <w:t xml:space="preserve">-value is the</w:t>
      </w:r>
      <w:r>
        <w:t xml:space="preserve"> </w:t>
      </w:r>
      <w:r>
        <w:t xml:space="preserve">share of permutations with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coefficient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rPr>
            <m:nor/>
            <m:sty m:val="p"/>
          </m:rPr>
          <m:t>actual</m:t>
        </m:r>
        <m:r>
          <m:rPr>
            <m:sty m:val="p"/>
          </m:rPr>
          <m:t>|</m:t>
        </m:r>
      </m:oMath>
      <w:r>
        <w:t xml:space="preserve">. Investment/assets is</w:t>
      </w:r>
      <w:r>
        <w:t xml:space="preserve"> </w:t>
      </w:r>
      <w:r>
        <w:t xml:space="preserve">central (null robust to design-based inference); idiosyncratic volatility is extreme because</w:t>
      </w:r>
      <w:r>
        <w:t xml:space="preserve"> </w:t>
      </w:r>
      <w:r>
        <w:t xml:space="preserve">random assignment ignores the size structure that drives it. See 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.</w:t>
      </w:r>
    </w:p>
    <w:bookmarkStart w:id="39" w:name="tab:power"/>
    <w:p>
      <w:pPr>
        <w:pStyle w:val="TableCaption"/>
      </w:pPr>
      <w:r>
        <w:t xml:space="preserve">Minimum detectable effects at 80% power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nimum detectable effects at 80% power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 (DV)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DiD coef.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MDE(80%)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 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Acquisitions/Assets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leverage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Cash/Assets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Idiosyncratic volatility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12.0%</w:t>
            </w:r>
          </w:p>
        </w:tc>
      </w:tr>
    </w:tbl>
    <w:bookmarkEnd w:id="39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MDE(80%)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</m:oMath>
      <w:r>
        <w:t xml:space="preserve">SE</w:t>
      </w:r>
      <w:r>
        <w:t xml:space="preserve"> </w:t>
      </w:r>
      <m:oMath>
        <m:r>
          <m:rPr>
            <m:sty m:val="p"/>
          </m:rPr>
          <m:t>≈</m:t>
        </m:r>
        <m:r>
          <m:t>2.80</m:t>
        </m:r>
        <m:r>
          <m:rPr>
            <m:sty m:val="p"/>
          </m:rPr>
          <m:t>×</m:t>
        </m:r>
      </m:oMath>
      <w:r>
        <w:t xml:space="preserve">SE of the preferred-specification DiD coefficient, expressed as a share of</w:t>
      </w:r>
      <w:r>
        <w:t xml:space="preserve"> </w:t>
      </w:r>
      <w:r>
        <w:t xml:space="preserve">the outcome mean and cross-firm SD. Small MDE/mean ratios indicate an informative null: an</w:t>
      </w:r>
      <w:r>
        <w:t xml:space="preserve"> </w:t>
      </w:r>
      <w:r>
        <w:t xml:space="preserve">effect of that size would have been detected at 80% power.</w:t>
      </w:r>
    </w:p>
    <w:bookmarkStart w:id="43" w:name="fig:es"/>
    <w:p>
      <w:pPr>
        <w:pStyle w:val="CaptionedFigure"/>
      </w:pPr>
      <w:r>
        <w:drawing>
          <wp:inline>
            <wp:extent cx="4373880" cy="266823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1_eventstudy.pdf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68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Dynamic difference-in-differences for idiosyncratic volatility (treated S&amp;P 600 vs. control S&amp;P 500), coefficients relative to 2022 with 95% confidence intervals. Pre-2022</w:t>
      </w:r>
      <w:r>
        <w:t xml:space="preserve"> </w:t>
      </w:r>
      <w:r>
        <w:t xml:space="preserve">coefficients are all positive and jointly significant (Wald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): parallel trends are</w:t>
      </w:r>
      <w:r>
        <w:t xml:space="preserve"> </w:t>
      </w:r>
      <w:r>
        <w:t xml:space="preserve">rejected, and there is no downward break at the October-2023 effective date.</w:t>
      </w:r>
    </w:p>
    <w:bookmarkEnd w:id="43"/>
    <w:bookmarkStart w:id="47" w:name="fig:means"/>
    <w:p>
      <w:pPr>
        <w:pStyle w:val="CaptionedFigure"/>
      </w:pPr>
      <w:r>
        <w:drawing>
          <wp:inline>
            <wp:extent cx="5067300" cy="1977014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2_groupmeans.pdf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7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Raw group means over time. Left: the treated–control idiosyncratic-volatility gap</w:t>
      </w:r>
      <w:r>
        <w:t xml:space="preserve"> </w:t>
      </w:r>
      <w:r>
        <w:t xml:space="preserve">widens sharply during 2020–21 (COVID) and reverts—the source of the spurious DiD. Right:</w:t>
      </w:r>
      <w:r>
        <w:t xml:space="preserve"> </w:t>
      </w:r>
      <w:r>
        <w:t xml:space="preserve">investment/assets moves in lockstep across groups with no discontinuity at the rule date</w:t>
      </w:r>
      <w:r>
        <w:t xml:space="preserve"> </w:t>
      </w:r>
      <w:r>
        <w:t xml:space="preserve">(vertical line).</w:t>
      </w:r>
    </w:p>
    <w:bookmarkEnd w:id="47"/>
    <w:bookmarkStart w:id="51" w:name="fig:ri"/>
    <w:p>
      <w:pPr>
        <w:pStyle w:val="CaptionedFigure"/>
      </w:pPr>
      <w:r>
        <w:drawing>
          <wp:inline>
            <wp:extent cx="3840480" cy="230124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3_randinf.pdf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0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Randomization inference for the idiosyncratic-volatility DiD. Histogram: the</w:t>
      </w:r>
      <w:r>
        <w:t xml:space="preserve"> </w:t>
      </w:r>
      <w:r>
        <w:t xml:space="preserve">distribution of the DiD coefficient under 500 random permutations of the treatment label. The</w:t>
      </w:r>
      <w:r>
        <w:t xml:space="preserve"> </w:t>
      </w:r>
      <w:r>
        <w:t xml:space="preserve">actual estimate (red line) lies far in the left tail (RI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0.002</m:t>
        </m:r>
      </m:oMath>
      <w:r>
        <w:t xml:space="preserve">); because random assignment</w:t>
      </w:r>
      <w:r>
        <w:t xml:space="preserve"> </w:t>
      </w:r>
      <w:r>
        <w:t xml:space="preserve">ignores firm size, this locates the volatility signal in the size structure of treatment, not in</w:t>
      </w:r>
      <w:r>
        <w:t xml:space="preserve"> </w:t>
      </w:r>
      <w:r>
        <w:t xml:space="preserve">Rule 10D-1.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Coauthorship is provisional: the student is listed as a coauthor and authorship is confirmed upon completing the reserved hand-collection contribution (Task 1 in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). A note on author order and status: the student is listed first here as a program convention, but in finance and economics published author order is conventionally alphabetical; all authorship on this draft is tentative and specific to the ASSIP 2026 program at this stage.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Chen: ASSIP 2026, George Mason University.</w:t>
      </w:r>
      <w:r>
        <w:t xml:space="preserve"> </w:t>
      </w:r>
      <w:r>
        <w:t xml:space="preserve">Gao (corresponding author): Costello College of Business, George Mason University,</w:t>
      </w:r>
      <w:r>
        <w:t xml:space="preserve"> </w:t>
      </w:r>
      <w:r>
        <w:rPr>
          <w:rStyle w:val="VerbatimChar"/>
        </w:rPr>
        <w:t xml:space="preserve">lgao9@gmu.edu</w:t>
      </w:r>
      <w:r>
        <w:t xml:space="preserve">. This is a student–faculty working paper prepared in the ASSIP 2026</w:t>
      </w:r>
      <w:r>
        <w:t xml:space="preserve"> </w:t>
      </w:r>
      <w:r>
        <w:t xml:space="preserve">Empirical Finance research group. All data are from WRDS (Compustat, CRSP, Execucomp) and</w:t>
      </w:r>
      <w:r>
        <w:t xml:space="preserve"> </w:t>
      </w:r>
      <w:r>
        <w:t xml:space="preserve">S&amp;P index-constituent files; every number in the paper traces to a CSV in</w:t>
      </w:r>
      <w:r>
        <w:t xml:space="preserve"> </w:t>
      </w:r>
      <w:r>
        <w:rPr>
          <w:rStyle w:val="VerbatimChar"/>
        </w:rPr>
        <w:t xml:space="preserve">output/tables/</w:t>
      </w:r>
      <w:r>
        <w:t xml:space="preserve"> </w:t>
      </w:r>
      <w:r>
        <w:t xml:space="preserve">and is reproduced by the code in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. We thank the ASSIP</w:t>
      </w:r>
      <w:r>
        <w:t xml:space="preserve"> </w:t>
      </w:r>
      <w:r>
        <w:t xml:space="preserve">2026 cohort for comments. Any errors are our own.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df" /><Relationship Type="http://schemas.openxmlformats.org/officeDocument/2006/relationships/image" Id="rId44" Target="media/rId44.pdf" /><Relationship Type="http://schemas.openxmlformats.org/officeDocument/2006/relationships/image" Id="rId48" Target="media/rId48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Did Mandatory Clawbacks Curb CEO Risk-Taking? Difference-in-Differences Evidence from SEC Rule 10D-1</dc:title>
  <dc:creator>Aiden Shanyu Chen; Lei Gao</dc:creator>
  <cp:keywords/>
  <dcterms:created xsi:type="dcterms:W3CDTF">2026-07-25T07:11:23Z</dcterms:created>
  <dcterms:modified xsi:type="dcterms:W3CDTF">2026-07-25T07:11:23Z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Voluntary clawback provisions are associated with less corporate risk-taking . We ask whether the mandatory clawback regime created by SEC Rule 10D-1 (adopted October 2022; listing standards effective October 2023) produced the same effect. Because a compliant policy was required of essentially every listed issuer, a clean control group needs firms for whom the mandate did not bind. We exploit the fact that voluntary clawbacks were already near-universal at large firms but rare at small ones by 2013 , and run a difference-in-differences comparing forced adopters (S&amp;P SmallCap 600) with already-covered controls (S&amp;P 500), using 753 firms and 8,222 firm-years (2015–2025) with firm and year fixed effects and firm-clustered standard errors. We find no robust evidence that the mandate changed CEO risk-taking. The direct investment/M&amp;A channels emphasized by the prior literature are flat: the post\timestreated coefficient is insignificant for investment/assets (+0.003, t=0.81), capex (-0.001, t=-1.30), R&amp;D (+0.002, t=1.33), and acquisitions (+0.002, t=0.81), as are leverage and cash. Stock-return volatility does fall for forced adopters (idiosyncratic vol. -0.027, t=-5.01), but this is not a clawback effect: parallel trends are rejected (pre-trend Wald p&lt;0.001), the event study shows no discontinuity at 2023, size-matching the treated and control firms attenuates it (to -0.021, t=-2.37), and size-based placebos that carry no clawback content reproduce it (S&amp;P 400 vs. 500: -0.018, t=-3.59). Two additions push past the usual “we found nothing” paper. First, randomization inference (500 permutations of treatment) gives the investment null a design-based p=0.43 while confirming the volatility coefficient is a systematic size phenomenon, not noise. Second, a minimum-detectable-effect analysis shows the null is informative: at 80% power we could have detected risk-taking changes of 5–16% of the outcome mean—smaller than the effects the voluntary-adoption literature reports—so the absence of an effect is evidence, not low power. Whether a true effect is hidden by our index-membership proxy for ex-ante clawback status is the question our hand-collection of 10D-1 provision strength is designed to answer. JEL: G32, G34, G38, K22, M12. Keywords: clawback, executive compensation, risk-taking, SEC Rule 10D-1, difference-in-differences, randomization inference, statistical power.</vt:lpwstr>
  </property>
  <property fmtid="{D5CDD505-2E9C-101B-9397-08002B2CF9AE}" pid="3" name="date">
    <vt:lpwstr>July 2026</vt:lpwstr>
  </property>
</Properties>
</file>