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df" ContentType="application/pdf"/>
  <Override PartName="/word/media/rId42.pdf" ContentType="application/pdf"/>
  <Override PartName="/word/media/rId4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Do Anomalies Die When They Are Published?</w:t>
      </w:r>
      <w:r>
        <w:br/>
      </w:r>
      <w:r>
        <w:rPr>
          <w:b/>
          <w:bCs/>
        </w:rPr>
        <w:t xml:space="preserve">Out-of-Sample and Post-Publication Decay in 212 Cross-Sectional Predictors</w:t>
      </w:r>
    </w:p>
    <w:p>
      <w:pPr>
        <w:pStyle w:val="Author"/>
      </w:pPr>
      <w:r>
        <w:t xml:space="preserve">Christopher Abhi Dadoo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 </w:t>
      </w:r>
      <w:r>
        <w:t xml:space="preserve">show that published stock-return anomalies weaken after</w:t>
      </w:r>
      <w:r>
        <w:t xml:space="preserve"> </w:t>
      </w:r>
      <w:r>
        <w:t xml:space="preserve">the academic articles that document them appear. We revisit their question with the full</w:t>
      </w:r>
      <w:r>
        <w:t xml:space="preserve"> </w:t>
      </w:r>
      <w:r>
        <w:t xml:space="preserve">Open Source Asset Pricing library—monthly long-short returns for</w:t>
      </w:r>
      <w:r>
        <w:t xml:space="preserve"> </w:t>
      </w:r>
      <w:r>
        <w:rPr>
          <w:b/>
          <w:bCs/>
        </w:rPr>
        <w:t xml:space="preserve">212</w:t>
      </w:r>
      <w:r>
        <w:t xml:space="preserve"> </w:t>
      </w:r>
      <w:r>
        <w:t xml:space="preserve">published</w:t>
      </w:r>
      <w:r>
        <w:t xml:space="preserve"> </w:t>
      </w:r>
      <w:r>
        <w:t xml:space="preserve">predictors,</w:t>
      </w:r>
      <w:r>
        <w:t xml:space="preserve"> </w:t>
      </w:r>
      <w:r>
        <w:rPr>
          <w:b/>
          <w:bCs/>
        </w:rPr>
        <w:t xml:space="preserve">173</w:t>
      </w:r>
      <w:r>
        <w:rPr>
          <w:b/>
          <w:bCs/>
        </w:rPr>
        <w:t xml:space="preserve">,</w:t>
      </w:r>
      <w:r>
        <w:rPr>
          <w:b/>
          <w:bCs/>
        </w:rPr>
        <w:t xml:space="preserve">302</w:t>
      </w:r>
      <w:r>
        <w:t xml:space="preserve"> </w:t>
      </w:r>
      <w:r>
        <w:t xml:space="preserve">anomaly-months over 1926–2024—and classify each</w:t>
      </w:r>
      <w:r>
        <w:t xml:space="preserve"> </w:t>
      </w:r>
      <w:r>
        <w:t xml:space="preserve">anomaly-month as in-sample, post-sample (out of sample but before publication), or</w:t>
      </w:r>
      <w:r>
        <w:t xml:space="preserve"> </w:t>
      </w:r>
      <w:r>
        <w:t xml:space="preserve">post-publication using each study’s original sample-end year and journal-publication year.</w:t>
      </w:r>
      <w:r>
        <w:t xml:space="preserve"> </w:t>
      </w:r>
      <w:r>
        <w:t xml:space="preserve">The average anomaly earns</w:t>
      </w:r>
      <w:r>
        <w:t xml:space="preserve"> </w:t>
      </w:r>
      <w:r>
        <w:rPr>
          <w:b/>
          <w:bCs/>
        </w:rPr>
        <w:t xml:space="preserve">0.61%</w:t>
      </w:r>
      <w:r>
        <w:t xml:space="preserve"> </w:t>
      </w:r>
      <w:r>
        <w:t xml:space="preserve">per month in sample; this falls to 0.42% out of</w:t>
      </w:r>
      <w:r>
        <w:t xml:space="preserve"> </w:t>
      </w:r>
      <w:r>
        <w:t xml:space="preserve">sample and to</w:t>
      </w:r>
      <w:r>
        <w:t xml:space="preserve"> </w:t>
      </w:r>
      <w:r>
        <w:rPr>
          <w:b/>
          <w:bCs/>
        </w:rPr>
        <w:t xml:space="preserve">0.30%</w:t>
      </w:r>
      <w:r>
        <w:t xml:space="preserve"> </w:t>
      </w:r>
      <w:r>
        <w:t xml:space="preserve">after publication—a within-anomaly decline of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b/>
          <w:bCs/>
        </w:rPr>
        <w:t xml:space="preserve">51%</w:t>
      </w:r>
      <w:r>
        <w:t xml:space="preserve"> </w:t>
      </w:r>
      <w:r>
        <w:t xml:space="preserve">(paired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7.6</m:t>
        </m:r>
      </m:oMath>
      <w:r>
        <w:t xml:space="preserve">). In a pooled panel with anomaly fixed effects the</w:t>
      </w:r>
      <w:r>
        <w:t xml:space="preserve"> </w:t>
      </w:r>
      <w:r>
        <w:t xml:space="preserve">post-publication return is</w:t>
      </w:r>
      <w:r>
        <w:t xml:space="preserve"> </w:t>
      </w:r>
      <m:oMath>
        <m:r>
          <m:t>0.27</m:t>
        </m:r>
      </m:oMath>
      <w:r>
        <w:t xml:space="preserve"> </w:t>
      </w:r>
      <w:r>
        <w:t xml:space="preserve">points per month lower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</m:t>
        </m:r>
      </m:oMath>
      <w:r>
        <w:t xml:space="preserve">), and the effect survives</w:t>
      </w:r>
      <w:r>
        <w:t xml:space="preserve"> </w:t>
      </w:r>
      <w:r>
        <w:t xml:space="preserve">anomaly-plus-calendar-month fixed effects (</w:t>
      </w:r>
      <m:oMath>
        <m:r>
          <m:rPr>
            <m:sty m:val="p"/>
          </m:rPr>
          <m:t>−</m:t>
        </m:r>
        <m:r>
          <m:t>0.24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</m:t>
        </m:r>
      </m:oMath>
      <w:r>
        <w:t xml:space="preserve">). The decay is thus large and</w:t>
      </w:r>
      <w:r>
        <w:t xml:space="preserve"> </w:t>
      </w:r>
      <w:r>
        <w:t xml:space="preserve">robust. Four extensions sharpen the interpretation without overclaiming. First, the decay is</w:t>
      </w:r>
      <w:r>
        <w:t xml:space="preserve"> </w:t>
      </w:r>
      <w:r>
        <w:t xml:space="preserve">strongly</w:t>
      </w:r>
      <w:r>
        <w:t xml:space="preserve"> </w:t>
      </w:r>
      <w:r>
        <w:rPr>
          <w:i/>
          <w:iCs/>
        </w:rPr>
        <w:t xml:space="preserve">heterogeneous</w:t>
      </w:r>
      <w:r>
        <w:t xml:space="preserve"> </w:t>
      </w:r>
      <w:r>
        <w:t xml:space="preserve">in observable strength: anomalies with above-median in-sample</w:t>
      </w:r>
      <w:r>
        <w:t xml:space="preserve"> </w:t>
      </w:r>
      <w:r>
        <w:t xml:space="preserve">returns lose an extra</w:t>
      </w:r>
      <w:r>
        <w:t xml:space="preserve"> </w:t>
      </w:r>
      <m:oMath>
        <m:r>
          <m:rPr>
            <m:sty m:val="p"/>
          </m:rPr>
          <m:t>−</m:t>
        </m:r>
        <m:r>
          <m:t>0.28</m:t>
        </m:r>
      </m:oMath>
      <w:r>
        <w:t xml:space="preserve"> </w:t>
      </w:r>
      <w:r>
        <w:t xml:space="preserve">points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</m:t>
        </m:r>
      </m:oMath>
      <w:r>
        <w:t xml:space="preserve">) beyond the baseline, exactly the</w:t>
      </w:r>
      <w:r>
        <w:t xml:space="preserve"> </w:t>
      </w:r>
      <w:r>
        <w:t xml:space="preserve">cross-sectional pattern</w:t>
      </w:r>
      <w:r>
        <w:t xml:space="preserve"> </w:t>
      </w:r>
      <w:r>
        <w:t xml:space="preserve"> </w:t>
      </w:r>
      <w:r>
        <w:t xml:space="preserve">predict (though partly regression to the</w:t>
      </w:r>
      <w:r>
        <w:t xml:space="preserve"> </w:t>
      </w:r>
      <w:r>
        <w:t xml:space="preserve">mean). Second, because every anomaly is eventually</w:t>
      </w:r>
      <w:r>
        <w:t xml:space="preserve"> </w:t>
      </w:r>
      <w:r>
        <w:t xml:space="preserve">“treated,”</w:t>
      </w:r>
      <w:r>
        <w:t xml:space="preserve"> </w:t>
      </w:r>
      <w:r>
        <w:t xml:space="preserve">we build a</w:t>
      </w:r>
      <w:r>
        <w:t xml:space="preserve"> </w:t>
      </w:r>
      <w:r>
        <w:rPr>
          <w:i/>
          <w:iCs/>
        </w:rPr>
        <w:t xml:space="preserve">not-yet-published-control</w:t>
      </w:r>
      <w:r>
        <w:t xml:space="preserve"> </w:t>
      </w:r>
      <w:r>
        <w:t xml:space="preserve">stacked difference-in-differences: it gives a clear</w:t>
      </w:r>
      <w:r>
        <w:t xml:space="preserve"> </w:t>
      </w:r>
      <m:oMath>
        <m:r>
          <m:rPr>
            <m:sty m:val="p"/>
          </m:rPr>
          <m:t>−</m:t>
        </m:r>
        <m:r>
          <m:t>0.37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5.2</m:t>
        </m:r>
      </m:oMath>
      <w:r>
        <w:t xml:space="preserve">) with cohort-anomaly</w:t>
      </w:r>
      <w:r>
        <w:t xml:space="preserve"> </w:t>
      </w:r>
      <w:r>
        <w:t xml:space="preserve">fixed effects but only</w:t>
      </w:r>
      <w:r>
        <w:t xml:space="preserve"> </w:t>
      </w:r>
      <m:oMath>
        <m:r>
          <m:rPr>
            <m:sty m:val="p"/>
          </m:rPr>
          <m:t>−</m:t>
        </m:r>
        <m:r>
          <m:t>0.05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) once cohort</w:t>
      </w:r>
      <m:oMath>
        <m:r>
          <m:rPr>
            <m:sty m:val="p"/>
          </m:rPr>
          <m:t>×</m:t>
        </m:r>
      </m:oMath>
      <w:r>
        <w:t xml:space="preserve">calendar-year effects absorb the</w:t>
      </w:r>
      <w:r>
        <w:t xml:space="preserve"> </w:t>
      </w:r>
      <w:r>
        <w:t xml:space="preserve">common trend—so the drop is largely an out-of-sample phenomenon, not a discrete publication</w:t>
      </w:r>
      <w:r>
        <w:t xml:space="preserve"> </w:t>
      </w:r>
      <w:r>
        <w:t xml:space="preserve">kink. Third,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that permutes each anomaly’s publication date</w:t>
      </w:r>
      <w:r>
        <w:t xml:space="preserve"> </w:t>
      </w:r>
      <w:r>
        <w:t xml:space="preserve">within its own out-of-sample life shows the true date is not special for the level decay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0.31</m:t>
        </m:r>
      </m:oMath>
      <w:r>
        <w:t xml:space="preserve">) and only marginally so for the incremental effect (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). Fourth,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analysis shows the null on the risk-versus-mispricing split is</w:t>
      </w:r>
      <w:r>
        <w:t xml:space="preserve"> </w:t>
      </w:r>
      <w:r>
        <w:t xml:space="preserve">informative only for large differences (</w:t>
      </w:r>
      <m:oMath>
        <m:r>
          <m:rPr>
            <m:sty m:val="p"/>
          </m:rPr>
          <m:t>≥</m:t>
        </m:r>
      </m:oMath>
      <w:r>
        <w:t xml:space="preserve">39% of the in-sample mean), which is exactly why</w:t>
      </w:r>
      <w:r>
        <w:t xml:space="preserve"> </w:t>
      </w:r>
      <w:r>
        <w:t xml:space="preserve">the pivotal hand-collection task—reading each original article’s stated economic framing—is</w:t>
      </w:r>
      <w:r>
        <w:t xml:space="preserve"> </w:t>
      </w:r>
      <w:r>
        <w:t xml:space="preserve">left to the student.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G12, G14, G11.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anomalies, market efficiency, return predictability, publication, limits to</w:t>
      </w:r>
      <w:r>
        <w:t xml:space="preserve"> </w:t>
      </w:r>
      <w:r>
        <w:t xml:space="preserve">arbitrage, randomization inference, stacked difference-in-differences.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central tension in empirical asset pricing is whether documented cross-sectional return</w:t>
      </w:r>
      <w:r>
        <w:t xml:space="preserve"> </w:t>
      </w:r>
      <w:r>
        <w:t xml:space="preserve">predictors reflect</w:t>
      </w:r>
      <w:r>
        <w:t xml:space="preserve"> </w:t>
      </w:r>
      <w:r>
        <w:rPr>
          <w:i/>
          <w:iCs/>
        </w:rPr>
        <w:t xml:space="preserve">risk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mispricing</w:t>
      </w:r>
      <w:r>
        <w:t xml:space="preserve">.</w:t>
      </w:r>
      <w:r>
        <w:t xml:space="preserve"> </w:t>
      </w:r>
      <w:r>
        <w:t xml:space="preserve"> </w:t>
      </w:r>
      <w:r>
        <w:t xml:space="preserve">sharpen the</w:t>
      </w:r>
      <w:r>
        <w:t xml:space="preserve"> </w:t>
      </w:r>
      <w:r>
        <w:t xml:space="preserve">question by asking what happens to an anomaly’s long-short return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academic</w:t>
      </w:r>
      <w:r>
        <w:t xml:space="preserve"> </w:t>
      </w:r>
      <w:r>
        <w:t xml:space="preserve">paper documenting it is published. If a predictor is compensation for risk, publicizing it</w:t>
      </w:r>
      <w:r>
        <w:t xml:space="preserve"> </w:t>
      </w:r>
      <w:r>
        <w:t xml:space="preserve">should not change its return; if it is mispricing, sophisticated investors who read the paper</w:t>
      </w:r>
      <w:r>
        <w:t xml:space="preserve"> </w:t>
      </w:r>
      <w:r>
        <w:t xml:space="preserve">should trade against it and shrink it. They find that anomaly returns are 26% lower out of</w:t>
      </w:r>
      <w:r>
        <w:t xml:space="preserve"> </w:t>
      </w:r>
      <w:r>
        <w:t xml:space="preserve">sample and 58% lower post-publication, evidence that academic research itself erodes</w:t>
      </w:r>
      <w:r>
        <w:t xml:space="preserve"> </w:t>
      </w:r>
      <w:r>
        <w:t xml:space="preserve">predictability. This paper re-examines that finding on the largest openly available anomaly</w:t>
      </w:r>
      <w:r>
        <w:t xml:space="preserve"> </w:t>
      </w:r>
      <w:r>
        <w:t xml:space="preserve">library and asks two questions: (i) how large is the out-of-sample and post-publication decay</w:t>
      </w:r>
      <w:r>
        <w:t xml:space="preserve"> </w:t>
      </w:r>
      <w:r>
        <w:t xml:space="preserve">when measured on 212 predictors through 2024, and (ii) is the decay concentrated in</w:t>
      </w:r>
      <w:r>
        <w:t xml:space="preserve"> </w:t>
      </w:r>
      <w:r>
        <w:t xml:space="preserve">mispricing-framed anomalies, as the arbitrage story predicts?</w:t>
      </w:r>
    </w:p>
    <w:p>
      <w:pPr>
        <w:pStyle w:val="BodyText"/>
      </w:pPr>
      <w:r>
        <w:t xml:space="preserve">We use the Open Source Asset Pricing dataset of</w:t>
      </w:r>
      <w:r>
        <w:t xml:space="preserve"> </w:t>
      </w:r>
      <w:r>
        <w:t xml:space="preserve">, which provides</w:t>
      </w:r>
      <w:r>
        <w:t xml:space="preserve"> </w:t>
      </w:r>
      <w:r>
        <w:t xml:space="preserve">monthly long-short returns for 212 published predictors together with a metadata file</w:t>
      </w:r>
      <w:r>
        <w:t xml:space="preserve"> </w:t>
      </w:r>
      <w:r>
        <w:t xml:space="preserve">recording each predictor’s original authors, journal, publication year, and sample window.</w:t>
      </w:r>
      <w:r>
        <w:t xml:space="preserve"> </w:t>
      </w:r>
      <w:r>
        <w:t xml:space="preserve">We form a panel of 173</w:t>
      </w:r>
      <w:r>
        <w:t xml:space="preserve">,</w:t>
      </w:r>
      <w:r>
        <w:t xml:space="preserve">302 anomaly-months (1926–2024) and label each observation</w:t>
      </w:r>
      <w:r>
        <w:t xml:space="preserve"> </w:t>
      </w:r>
      <w:r>
        <w:rPr>
          <w:i/>
          <w:iCs/>
        </w:rPr>
        <w:t xml:space="preserve">in-sample</w:t>
      </w:r>
      <w:r>
        <w:t xml:space="preserve"> </w:t>
      </w:r>
      <w:r>
        <w:t xml:space="preserve">(calendar year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the study’s sample-end year),</w:t>
      </w:r>
      <w:r>
        <w:t xml:space="preserve"> </w:t>
      </w:r>
      <w:r>
        <w:rPr>
          <w:i/>
          <w:iCs/>
        </w:rPr>
        <w:t xml:space="preserve">post-sample</w:t>
      </w:r>
      <w:r>
        <w:t xml:space="preserve"> </w:t>
      </w:r>
      <w:r>
        <w:t xml:space="preserve">(after</w:t>
      </w:r>
      <w:r>
        <w:t xml:space="preserve"> </w:t>
      </w:r>
      <w:r>
        <w:t xml:space="preserve">the sample ends but before publication), or</w:t>
      </w:r>
      <w:r>
        <w:t xml:space="preserve"> </w:t>
      </w:r>
      <w:r>
        <w:rPr>
          <w:i/>
          <w:iCs/>
        </w:rPr>
        <w:t xml:space="preserve">post-publication</w:t>
      </w:r>
      <w:r>
        <w:t xml:space="preserve"> </w:t>
      </w:r>
      <w:r>
        <w:t xml:space="preserve">(publication year and</w:t>
      </w:r>
      <w:r>
        <w:t xml:space="preserve"> </w:t>
      </w:r>
      <w:r>
        <w:t xml:space="preserve">after), exactly the three regimes of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Our first result confirms and updates theirs. The equal-weighted average anomaly earns</w:t>
      </w:r>
      <w:r>
        <w:t xml:space="preserve"> </w:t>
      </w:r>
      <w:r>
        <w:rPr>
          <w:b/>
          <w:bCs/>
        </w:rPr>
        <w:t xml:space="preserve">0.61%</w:t>
      </w:r>
      <w:r>
        <w:t xml:space="preserve"> </w:t>
      </w:r>
      <w:r>
        <w:t xml:space="preserve">per month in sample,</w:t>
      </w:r>
      <w:r>
        <w:t xml:space="preserve"> </w:t>
      </w:r>
      <w:r>
        <w:rPr>
          <w:b/>
          <w:bCs/>
        </w:rPr>
        <w:t xml:space="preserve">0.42%</w:t>
      </w:r>
      <w:r>
        <w:t xml:space="preserve"> </w:t>
      </w:r>
      <w:r>
        <w:t xml:space="preserve">post-sample, and</w:t>
      </w:r>
      <w:r>
        <w:t xml:space="preserve"> </w:t>
      </w:r>
      <w:r>
        <w:rPr>
          <w:b/>
          <w:bCs/>
        </w:rPr>
        <w:t xml:space="preserve">0.30%</w:t>
      </w:r>
      <w:r>
        <w:t xml:space="preserve"> </w:t>
      </w:r>
      <w:r>
        <w:t xml:space="preserve">post-publication: a</w:t>
      </w:r>
      <w:r>
        <w:t xml:space="preserve"> </w:t>
      </w:r>
      <m:oMath>
        <m:r>
          <m:rPr>
            <m:sty m:val="p"/>
          </m:rPr>
          <m:t>−</m:t>
        </m:r>
        <m:r>
          <m:t>32</m:t>
        </m:r>
        <m:r>
          <m:rPr>
            <m:sty m:val="p"/>
          </m:rPr>
          <m:t>%</m:t>
        </m:r>
      </m:oMath>
      <w:r>
        <w:t xml:space="preserve"> </w:t>
      </w:r>
      <w:r>
        <w:t xml:space="preserve">out-of-sample decline and a</w:t>
      </w:r>
      <w:r>
        <w:t xml:space="preserve"> </w:t>
      </w:r>
      <m:oMath>
        <m:r>
          <m:rPr>
            <m:sty m:val="p"/>
          </m:rPr>
          <m:t>−</m:t>
        </m:r>
        <m:r>
          <m:t>51</m:t>
        </m:r>
        <m:r>
          <m:rPr>
            <m:sty m:val="p"/>
          </m:rPr>
          <m:t>%</m:t>
        </m:r>
      </m:oMath>
      <w:r>
        <w:t xml:space="preserve"> </w:t>
      </w:r>
      <w:r>
        <w:t xml:space="preserve">post-publication decline</w:t>
      </w:r>
      <w:r>
        <w:t xml:space="preserve"> </w:t>
      </w:r>
      <w:r>
        <w:t xml:space="preserve">(paired within-anomaly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7.6</m:t>
        </m:r>
      </m:oMath>
      <w:r>
        <w:t xml:space="preserve">; Table </w:t>
      </w:r>
      <w:hyperlink w:anchor="tab:regime">
        <w:r>
          <w:rPr>
            <w:rStyle w:val="Hyperlink"/>
          </w:rPr>
          <w:t xml:space="preserve">2</w:t>
        </w:r>
      </w:hyperlink>
      <w:r>
        <w:t xml:space="preserve">). In a pooled panel the</w:t>
      </w:r>
      <w:r>
        <w:t xml:space="preserve"> </w:t>
      </w:r>
      <w:r>
        <w:t xml:space="preserve">post-publication indicator carries a coefficient of</w:t>
      </w:r>
      <w:r>
        <w:t xml:space="preserve"> </w:t>
      </w:r>
      <m:oMath>
        <m:r>
          <m:rPr>
            <m:sty m:val="p"/>
          </m:rPr>
          <m:t>−</m:t>
        </m:r>
        <m:r>
          <m:t>0.24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 </w:t>
      </w:r>
      <w:r>
        <w:t xml:space="preserve">points per month with</w:t>
      </w:r>
      <w:r>
        <w:t xml:space="preserve"> </w:t>
      </w:r>
      <m:oMath>
        <m:r>
          <m:t>t</m:t>
        </m:r>
      </m:oMath>
      <w:r>
        <w:t xml:space="preserve">-statistics from</w:t>
      </w:r>
      <w:r>
        <w:t xml:space="preserve"> </w:t>
      </w:r>
      <m:oMath>
        <m:r>
          <m:rPr>
            <m:sty m:val="p"/>
          </m:rPr>
          <m:t>−</m:t>
        </m:r>
        <m:r>
          <m:t>6.4</m:t>
        </m:r>
      </m:oMath>
      <w:r>
        <w:t xml:space="preserve"> </w:t>
      </w:r>
      <w:r>
        <w:t xml:space="preserve">(no fixed effects) to</w:t>
      </w:r>
      <w:r>
        <w:t xml:space="preserve"> </w:t>
      </w:r>
      <m:oMath>
        <m:r>
          <m:rPr>
            <m:sty m:val="p"/>
          </m:rPr>
          <m:t>−</m:t>
        </m:r>
        <m:r>
          <m:t>7.9</m:t>
        </m:r>
      </m:oMath>
      <w:r>
        <w:t xml:space="preserve"> </w:t>
      </w:r>
      <w:r>
        <w:t xml:space="preserve">(anomaly fixed effects), and it</w:t>
      </w:r>
      <w:r>
        <w:t xml:space="preserve"> </w:t>
      </w:r>
      <w:r>
        <w:t xml:space="preserve">remains</w:t>
      </w:r>
      <w:r>
        <w:t xml:space="preserve"> </w:t>
      </w:r>
      <m:oMath>
        <m:r>
          <m:rPr>
            <m:sty m:val="p"/>
          </m:rPr>
          <m:t>−</m:t>
        </m:r>
        <m:r>
          <m:t>0.24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</m:t>
        </m:r>
      </m:oMath>
      <w:r>
        <w:t xml:space="preserve">) with both anomaly and calendar-month fixed effects</w:t>
      </w:r>
      <w:r>
        <w:t xml:space="preserve"> </w:t>
      </w:r>
      <w:r>
        <w:t xml:space="preserve">(Table </w:t>
      </w:r>
      <w:hyperlink w:anchor="tab:panel">
        <w:r>
          <w:rPr>
            <w:rStyle w:val="Hyperlink"/>
          </w:rPr>
          <w:t xml:space="preserve">3</w:t>
        </w:r>
      </w:hyperlink>
      <w:r>
        <w:t xml:space="preserve">). Figure </w:t>
      </w:r>
      <w:hyperlink w:anchor="fig:ev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plots the level in event-time: it sits near</w:t>
      </w:r>
      <w:r>
        <w:t xml:space="preserve"> </w:t>
      </w:r>
      <w:r>
        <w:t xml:space="preserve">100% of the in-sample mean until the publication year and then falls to roughly 55–60%,</w:t>
      </w:r>
      <w:r>
        <w:t xml:space="preserve"> </w:t>
      </w:r>
      <w:r>
        <w:t xml:space="preserve">where it stays.</w:t>
      </w:r>
    </w:p>
    <w:p>
      <w:pPr>
        <w:pStyle w:val="BodyText"/>
      </w:pPr>
      <w:r>
        <w:t xml:space="preserve">Our second and third results are honest qualifications that a naive reading would miss.</w:t>
      </w:r>
      <w:r>
        <w:t xml:space="preserve"> </w:t>
      </w:r>
      <w:r>
        <w:rPr>
          <w:i/>
          <w:iCs/>
        </w:rPr>
        <w:t xml:space="preserve">First</w:t>
      </w:r>
      <w:r>
        <w:t xml:space="preserve">, the decline is best described as an</w:t>
      </w:r>
      <w:r>
        <w:t xml:space="preserve"> </w:t>
      </w:r>
      <w:r>
        <w:rPr>
          <w:i/>
          <w:iCs/>
        </w:rPr>
        <w:t xml:space="preserve">out-of-sample</w:t>
      </w:r>
      <w:r>
        <w:t xml:space="preserve"> </w:t>
      </w:r>
      <w:r>
        <w:t xml:space="preserve">effect rather than a</w:t>
      </w:r>
      <w:r>
        <w:t xml:space="preserve"> </w:t>
      </w:r>
      <w:r>
        <w:t xml:space="preserve">sharp publication event. Following</w:t>
      </w:r>
      <w:r>
        <w:t xml:space="preserve"> </w:t>
      </w:r>
      <w:r>
        <w:t xml:space="preserve">, we decompose the decline into an</w:t>
      </w:r>
      <w:r>
        <w:t xml:space="preserve"> </w:t>
      </w:r>
      <w:r>
        <w:t xml:space="preserve">“out-of-sample”</w:t>
      </w:r>
      <w:r>
        <w:t xml:space="preserve"> </w:t>
      </w:r>
      <w:r>
        <w:t xml:space="preserve">component (present as soon as the original sample ends) and an</w:t>
      </w:r>
      <w:r>
        <w:t xml:space="preserve"> </w:t>
      </w:r>
      <w:r>
        <w:t xml:space="preserve">“extra-at-publication”</w:t>
      </w:r>
      <w:r>
        <w:t xml:space="preserve"> </w:t>
      </w:r>
      <w:r>
        <w:t xml:space="preserve">component. With anomaly fixed effects the extra publication effect is</w:t>
      </w:r>
      <w:r>
        <w:t xml:space="preserve"> </w:t>
      </w:r>
      <w:r>
        <w:t xml:space="preserve">economically and statistically meaningful (</w:t>
      </w:r>
      <m:oMath>
        <m:r>
          <m:rPr>
            <m:sty m:val="p"/>
          </m:rPr>
          <m:t>−</m:t>
        </m:r>
        <m:r>
          <m:t>0.13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</m:t>
        </m:r>
      </m:oMath>
      <w:r>
        <w:t xml:space="preserve">). But once we add calendar-year</w:t>
      </w:r>
      <w:r>
        <w:t xml:space="preserve"> </w:t>
      </w:r>
      <w:r>
        <w:t xml:space="preserve">(or -month) fixed effects, the post-sample and post-publication coefficients become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0.245</m:t>
        </m:r>
      </m:oMath>
      <w:r>
        <w:t xml:space="preserve"> </w:t>
      </w:r>
      <w:r>
        <w:t xml:space="preserve">each) and the incremental publication effect collapses to zero</w:t>
      </w:r>
      <w:r>
        <w:t xml:space="preserve"> </w:t>
      </w:r>
      <w:r>
        <w:t xml:space="preserve">(Table </w:t>
      </w:r>
      <w:hyperlink w:anchor="tab:panel">
        <w:r>
          <w:rPr>
            <w:rStyle w:val="Hyperlink"/>
          </w:rPr>
          <w:t xml:space="preserve">3</w:t>
        </w:r>
      </w:hyperlink>
      <w:r>
        <w:t xml:space="preserve">). Because anomalies were published in a small number of overlapping</w:t>
      </w:r>
      <w:r>
        <w:t xml:space="preserve"> </w:t>
      </w:r>
      <w:r>
        <w:t xml:space="preserve">decades, the discrete</w:t>
      </w:r>
      <w:r>
        <w:t xml:space="preserve"> </w:t>
      </w:r>
      <w:r>
        <w:t xml:space="preserve">“publication kink”</w:t>
      </w:r>
      <w:r>
        <w:t xml:space="preserve"> </w:t>
      </w:r>
      <w:r>
        <w:t xml:space="preserve">is hard to separate from the general downward drift</w:t>
      </w:r>
      <w:r>
        <w:t xml:space="preserve"> </w:t>
      </w:r>
      <w:r>
        <w:t xml:space="preserve">in anomaly profits over calendar time</w:t>
      </w:r>
      <w:r>
        <w:t xml:space="preserve"> </w:t>
      </w:r>
      <w:r>
        <w:t xml:space="preserve">. We report this</w:t>
      </w:r>
      <w:r>
        <w:t xml:space="preserve"> </w:t>
      </w:r>
      <w:r>
        <w:t xml:space="preserve">transparently rather than claim a clean event.</w:t>
      </w:r>
    </w:p>
    <w:p>
      <w:pPr>
        <w:pStyle w:val="BodyText"/>
      </w:pPr>
      <w:r>
        <w:rPr>
          <w:i/>
          <w:iCs/>
        </w:rPr>
        <w:t xml:space="preserve">Second</w:t>
      </w:r>
      <w:r>
        <w:t xml:space="preserve">, the arbitrage story predicts that</w:t>
      </w:r>
      <w:r>
        <w:t xml:space="preserve"> </w:t>
      </w:r>
      <w:r>
        <w:rPr>
          <w:i/>
          <w:iCs/>
        </w:rPr>
        <w:t xml:space="preserve">mispricing</w:t>
      </w:r>
      <w:r>
        <w:t xml:space="preserve">-framed anomalies should</w:t>
      </w:r>
      <w:r>
        <w:t xml:space="preserve"> </w:t>
      </w:r>
      <w:r>
        <w:t xml:space="preserve">decay more than</w:t>
      </w:r>
      <w:r>
        <w:t xml:space="preserve"> </w:t>
      </w:r>
      <w:r>
        <w:rPr>
          <w:i/>
          <w:iCs/>
        </w:rPr>
        <w:t xml:space="preserve">risk</w:t>
      </w:r>
      <w:r>
        <w:t xml:space="preserve">-framed ones. We cannot confirm this with the metadata alone. Using</w:t>
      </w:r>
      <w:r>
        <w:t xml:space="preserve"> </w:t>
      </w:r>
      <w:r>
        <w:t xml:space="preserve">the Open Source Asset Pricing economic-category field to proxy for framing, the</w:t>
      </w:r>
      <w:r>
        <w:t xml:space="preserve"> </w:t>
      </w:r>
      <w:r>
        <w:t xml:space="preserve">post-publication decay is statistically indistinguishable between the two groups: the</w:t>
      </w:r>
      <w:r>
        <w:t xml:space="preserve"> </w:t>
      </w:r>
      <w:r>
        <w:t xml:space="preserve">risk</w:t>
      </w:r>
      <m:oMath>
        <m:r>
          <m:rPr>
            <m:sty m:val="p"/>
          </m:rPr>
          <m:t>×</m:t>
        </m:r>
      </m:oMath>
      <w:r>
        <w:t xml:space="preserve">post-publication interaction is</w:t>
      </w:r>
      <w:r>
        <w:t xml:space="preserve"> </w:t>
      </w:r>
      <m:oMath>
        <m:r>
          <m:rPr>
            <m:sty m:val="p"/>
          </m:rPr>
          <m:t>−</m:t>
        </m:r>
        <m:r>
          <m:t>0.03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) when liquidity anomalies are</w:t>
      </w:r>
      <w:r>
        <w:t xml:space="preserve"> </w:t>
      </w:r>
      <w:r>
        <w:t xml:space="preserve">counted as risk-based and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) when they are not (Table </w:t>
      </w:r>
      <w:hyperlink w:anchor="tab:hetero">
        <w:r>
          <w:rPr>
            <w:rStyle w:val="Hyperlink"/>
          </w:rPr>
          <w:t xml:space="preserve">4</w:t>
        </w:r>
      </w:hyperlink>
      <w:r>
        <w:t xml:space="preserve">;</w:t>
      </w:r>
      <w:r>
        <w:t xml:space="preserve"> </w:t>
      </w:r>
      <w:r>
        <w:t xml:space="preserve">Figure </w:t>
      </w:r>
      <w:hyperlink w:anchor="fig:frame">
        <w:r>
          <w:rPr>
            <w:rStyle w:val="Hyperlink"/>
          </w:rPr>
          <w:t xml:space="preserve">2</w:t>
        </w:r>
      </w:hyperlink>
      <w:r>
        <w:t xml:space="preserve">). The sign of the difference is not even stable across a reasonable</w:t>
      </w:r>
      <w:r>
        <w:t xml:space="preserve"> </w:t>
      </w:r>
      <w:r>
        <w:t xml:space="preserve">definitional choice. The reason is instructive: the category field is a coarse taxonomy of</w:t>
      </w:r>
      <w:r>
        <w:t xml:space="preserve"> </w:t>
      </w:r>
      <w:r>
        <w:rPr>
          <w:i/>
          <w:iCs/>
        </w:rPr>
        <w:t xml:space="preserve">mechanism</w:t>
      </w:r>
      <w:r>
        <w:t xml:space="preserve">, not of the</w:t>
      </w:r>
      <w:r>
        <w:t xml:space="preserve"> </w:t>
      </w:r>
      <w:r>
        <w:rPr>
          <w:i/>
          <w:iCs/>
        </w:rPr>
        <w:t xml:space="preserve">authors’ stated economic interpretation</w:t>
      </w:r>
      <w:r>
        <w:t xml:space="preserve">. Book-to-market,</w:t>
      </w:r>
      <w:r>
        <w:t xml:space="preserve"> </w:t>
      </w:r>
      <w:r>
        <w:t xml:space="preserve">for instance, is coded</w:t>
      </w:r>
      <w:r>
        <w:t xml:space="preserve"> </w:t>
      </w:r>
      <w:r>
        <w:t xml:space="preserve">“valuation”</w:t>
      </w:r>
      <w:r>
        <w:t xml:space="preserve"> </w:t>
      </w:r>
      <w:r>
        <w:t xml:space="preserve">here yet is framed as compensation for risk by</w:t>
      </w:r>
      <w:r>
        <w:t xml:space="preserve"> </w:t>
      </w:r>
      <w:r>
        <w:t xml:space="preserve">. Separating a risk framing from a mispricing framing therefore requires</w:t>
      </w:r>
      <w:r>
        <w:t xml:space="preserve"> </w:t>
      </w:r>
      <w:r>
        <w:t xml:space="preserve">reading each original article—the hand-collection task at the heart of the student’s</w:t>
      </w:r>
      <w:r>
        <w:t xml:space="preserve"> </w:t>
      </w:r>
      <w:r>
        <w:t xml:space="preserve">contribution to this project.</w:t>
      </w:r>
    </w:p>
    <w:p>
      <w:pPr>
        <w:pStyle w:val="BodyText"/>
      </w:pPr>
      <w:r>
        <w:rPr>
          <w:b/>
          <w:bCs/>
        </w:rPr>
        <w:t xml:space="preserve">Four extensions push the paper past a bare replication.</w:t>
      </w:r>
      <w:r>
        <w:t xml:space="preserve"> </w:t>
      </w:r>
      <w:r>
        <w:t xml:space="preserve">First, we show that the decay</w:t>
      </w:r>
      <w:r>
        <w:t xml:space="preserve"> </w:t>
      </w:r>
      <w:r>
        <w:t xml:space="preserve">is strongly heterogeneous in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anomaly strength: predictors whose in-sample</w:t>
      </w:r>
      <w:r>
        <w:t xml:space="preserve"> </w:t>
      </w:r>
      <w:r>
        <w:t xml:space="preserve">long-short return is above the cross-sectional median lose an additional</w:t>
      </w:r>
      <w:r>
        <w:t xml:space="preserve"> </w:t>
      </w:r>
      <m:oMath>
        <m:r>
          <m:rPr>
            <m:sty m:val="p"/>
          </m:rPr>
          <m:t>−</m:t>
        </m:r>
        <m:r>
          <m:t>0.28</m:t>
        </m:r>
      </m:oMath>
      <w:r>
        <w:t xml:space="preserve"> </w:t>
      </w:r>
      <w:r>
        <w:t xml:space="preserve">points per</w:t>
      </w:r>
      <w:r>
        <w:t xml:space="preserve"> </w:t>
      </w:r>
      <w:r>
        <w:t xml:space="preserve">month at publication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</m:t>
        </m:r>
      </m:oMath>
      <w:r>
        <w:t xml:space="preserve">) on top of a baseline</w:t>
      </w:r>
      <w:r>
        <w:t xml:space="preserve"> </w:t>
      </w:r>
      <m:oMath>
        <m:r>
          <m:rPr>
            <m:sty m:val="p"/>
          </m:rPr>
          <m:t>−</m:t>
        </m:r>
        <m:r>
          <m:t>0.13</m:t>
        </m:r>
      </m:oMath>
      <w:r>
        <w:t xml:space="preserve">, and stronger in-sample</w:t>
      </w:r>
      <w:r>
        <w:t xml:space="preserve"> </w:t>
      </w:r>
      <m:oMath>
        <m:r>
          <m:t>t</m:t>
        </m:r>
      </m:oMath>
      <w:r>
        <w:t xml:space="preserve">-statistics carry an extra</w:t>
      </w:r>
      <w:r>
        <w:t xml:space="preserve"> </w:t>
      </w:r>
      <m:oMath>
        <m:r>
          <m:rPr>
            <m:sty m:val="p"/>
          </m:rPr>
          <m:t>−</m:t>
        </m:r>
        <m:r>
          <m:t>0.16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</m:oMath>
      <w:r>
        <w:t xml:space="preserve">) (Section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r>
        <w:t xml:space="preserve">Table </w:t>
      </w:r>
      <w:hyperlink w:anchor="tab:hetero-ext">
        <w:r>
          <w:rPr>
            <w:rStyle w:val="Hyperlink"/>
          </w:rPr>
          <w:t xml:space="preserve">5</w:t>
        </w:r>
      </w:hyperlink>
      <w:r>
        <w:t xml:space="preserve">). This is precisely the cross-sectional prediction of</w:t>
      </w:r>
      <w:r>
        <w:t xml:space="preserve"> </w:t>
      </w:r>
      <w:r>
        <w:t xml:space="preserve">—high-return anomalies attract more arbitrage—though we are careful</w:t>
      </w:r>
      <w:r>
        <w:t xml:space="preserve"> </w:t>
      </w:r>
      <w:r>
        <w:t xml:space="preserve">to note that selecting on high in-sample returns mechanically induces some reversion</w:t>
      </w:r>
      <w:r>
        <w:t xml:space="preserve"> </w:t>
      </w:r>
      <w:r>
        <w:t xml:space="preserve">. Second, because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anomaly is eventually published, a</w:t>
      </w:r>
      <w:r>
        <w:t xml:space="preserve"> </w:t>
      </w:r>
      <w:r>
        <w:t xml:space="preserve">conventional two-way fixed-effects panel implicitly uses already-published anomalies as</w:t>
      </w:r>
      <w:r>
        <w:t xml:space="preserve"> </w:t>
      </w:r>
      <w:r>
        <w:t xml:space="preserve">controls, the</w:t>
      </w:r>
      <w:r>
        <w:t xml:space="preserve"> </w:t>
      </w:r>
      <w:r>
        <w:t xml:space="preserve">“bad comparison”</w:t>
      </w:r>
      <w:r>
        <w:t xml:space="preserve"> </w:t>
      </w:r>
      <w:r>
        <w:t xml:space="preserve">problem of staggered adoption</w:t>
      </w:r>
      <w:r>
        <w:t xml:space="preserve"> </w:t>
      </w:r>
      <w:r>
        <w:t xml:space="preserve">. We therefore estimate a</w:t>
      </w:r>
      <w:r>
        <w:t xml:space="preserve"> </w:t>
      </w:r>
      <w:r>
        <w:rPr>
          <w:i/>
          <w:iCs/>
        </w:rPr>
        <w:t xml:space="preserve">not-yet-published-control</w:t>
      </w:r>
      <w:r>
        <w:t xml:space="preserve"> </w:t>
      </w:r>
      <w:r>
        <w:t xml:space="preserve">stacked difference-in-differences</w:t>
      </w:r>
      <w:r>
        <w:t xml:space="preserve"> </w:t>
      </w:r>
      <w:r>
        <w:t xml:space="preserve">: each publication cohort is compared only</w:t>
      </w:r>
      <w:r>
        <w:t xml:space="preserve"> </w:t>
      </w:r>
      <w:r>
        <w:t xml:space="preserve">to anomalies not yet published within the event window. The stacked estimate is</w:t>
      </w:r>
      <w:r>
        <w:t xml:space="preserve"> </w:t>
      </w:r>
      <m:oMath>
        <m:r>
          <m:rPr>
            <m:sty m:val="p"/>
          </m:rPr>
          <m:t>−</m:t>
        </m:r>
        <m:r>
          <m:t>0.37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5.2</m:t>
        </m:r>
      </m:oMath>
      <w:r>
        <w:t xml:space="preserve">) with cohort-anomaly fixed effects but attenuates to a statistically insignificant</w:t>
      </w:r>
      <w:r>
        <w:t xml:space="preserve"> </w:t>
      </w:r>
      <m:oMath>
        <m:r>
          <m:rPr>
            <m:sty m:val="p"/>
          </m:rPr>
          <m:t>−</m:t>
        </m:r>
        <m:r>
          <m:t>0.05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) once cohort</w:t>
      </w:r>
      <m:oMath>
        <m:r>
          <m:rPr>
            <m:sty m:val="p"/>
          </m:rPr>
          <m:t>×</m:t>
        </m:r>
      </m:oMath>
      <w:r>
        <w:t xml:space="preserve">calendar-year fixed effects absorb the common decline</w:t>
      </w:r>
      <w:r>
        <w:t xml:space="preserve"> </w:t>
      </w:r>
      <w:r>
        <w:t xml:space="preserve">(Section </w:t>
      </w:r>
      <w:hyperlink w:anchor="sec:stacked">
        <w:r>
          <w:rPr>
            <w:rStyle w:val="Hyperlink"/>
          </w:rPr>
          <w:t xml:space="preserve">7</w:t>
        </w:r>
      </w:hyperlink>
      <w:r>
        <w:t xml:space="preserve">, Table </w:t>
      </w:r>
      <w:hyperlink w:anchor="tab:stacked">
        <w:r>
          <w:rPr>
            <w:rStyle w:val="Hyperlink"/>
          </w:rPr>
          <w:t xml:space="preserve">6</w:t>
        </w:r>
      </w:hyperlink>
      <w:r>
        <w:t xml:space="preserve">), corroborating our reading that the drop is</w:t>
      </w:r>
      <w:r>
        <w:t xml:space="preserve"> </w:t>
      </w:r>
      <w:r>
        <w:t xml:space="preserve">predominantly out-of-sample rather than a distinct publication event. Third, we run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 </w:t>
      </w:r>
      <w:r>
        <w:t xml:space="preserve">that permutes each anomaly’s publication date</w:t>
      </w:r>
      <w:r>
        <w:t xml:space="preserve"> </w:t>
      </w:r>
      <w:r>
        <w:t xml:space="preserve">to a random point within its own out-of-sample life; the true date is not special for the level</w:t>
      </w:r>
      <w:r>
        <w:t xml:space="preserve"> </w:t>
      </w:r>
      <w:r>
        <w:t xml:space="preserve">decay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0.31</m:t>
        </m:r>
      </m:oMath>
      <w:r>
        <w:t xml:space="preserve">) and only marginally so for the incremental effect (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</w:t>
      </w:r>
      <w:r>
        <w:t xml:space="preserve"> </w:t>
      </w:r>
      <w:r>
        <w:t xml:space="preserve">(Section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, 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). Fourth, we treat the H2/H3</w:t>
      </w:r>
      <w:r>
        <w:t xml:space="preserve"> </w:t>
      </w:r>
      <w:r>
        <w:t xml:space="preserve">nulls quantitatively, reporting minimum detectable effects: at 80% power the design could</w:t>
      </w:r>
      <w:r>
        <w:t xml:space="preserve"> </w:t>
      </w:r>
      <w:r>
        <w:t xml:space="preserve">detect an incremental publication effect of 27% of the in-sample mean and a</w:t>
      </w:r>
      <w:r>
        <w:t xml:space="preserve"> </w:t>
      </w:r>
      <w:r>
        <w:t xml:space="preserve">risk-versus-mispricing gap of 39%, so the framing null rules out only large differences</w:t>
      </w:r>
      <w:r>
        <w:t xml:space="preserve"> </w:t>
      </w:r>
      <w:r>
        <w:t xml:space="preserve">(Section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, 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). That bound is exactly why the student’s</w:t>
      </w:r>
      <w:r>
        <w:t xml:space="preserve"> </w:t>
      </w:r>
      <w:r>
        <w:t xml:space="preserve">hand-coded framing is the decisive next step.</w:t>
      </w:r>
    </w:p>
    <w:p>
      <w:pPr>
        <w:pStyle w:val="BodyText"/>
      </w:pPr>
      <w:r>
        <w:t xml:space="preserve">We contribute to three literatures. We update the publication-decay evidence of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to a larger, openly reproducible</w:t>
      </w:r>
      <w:r>
        <w:t xml:space="preserve"> </w:t>
      </w:r>
      <w:r>
        <w:t xml:space="preserve">anomaly set running through 2024, and we show that the headline decay is robust while its</w:t>
      </w:r>
      <w:r>
        <w:t xml:space="preserve"> </w:t>
      </w:r>
      <w:r>
        <w:rPr>
          <w:i/>
          <w:iCs/>
        </w:rPr>
        <w:t xml:space="preserve">causal attribution to publication per se</w:t>
      </w:r>
      <w:r>
        <w:t xml:space="preserve"> </w:t>
      </w:r>
      <w:r>
        <w:t xml:space="preserve">is more fragile than commonly assumed once</w:t>
      </w:r>
      <w:r>
        <w:t xml:space="preserve"> </w:t>
      </w:r>
      <w:r>
        <w:t xml:space="preserve">one confronts the staggered-timing problem directly. We add to work documenting the general</w:t>
      </w:r>
      <w:r>
        <w:t xml:space="preserve"> </w:t>
      </w:r>
      <w:r>
        <w:t xml:space="preserve">attenuation of anomalies</w:t>
      </w:r>
      <w:r>
        <w:t xml:space="preserve"> </w:t>
      </w:r>
      <w:r>
        <w:t xml:space="preserve"> </w:t>
      </w:r>
      <w:r>
        <w:t xml:space="preserve">and the statistical fragility</w:t>
      </w:r>
      <w:r>
        <w:t xml:space="preserve"> </w:t>
      </w:r>
      <w:r>
        <w:t xml:space="preserve">of the anomaly zoo</w:t>
      </w:r>
      <w:r>
        <w:t xml:space="preserve"> </w:t>
      </w:r>
      <w:r>
        <w:t xml:space="preserve">, and to the recent econometrics of</w:t>
      </w:r>
      <w:r>
        <w:t xml:space="preserve"> </w:t>
      </w:r>
      <w:r>
        <w:t xml:space="preserve">difference-in-differences under variation in treatment timing</w:t>
      </w:r>
      <w:r>
        <w:t xml:space="preserve"> </w:t>
      </w:r>
      <w:r>
        <w:t xml:space="preserve">. And we speak to the risk-versus-mispricing</w:t>
      </w:r>
      <w:r>
        <w:t xml:space="preserve"> </w:t>
      </w:r>
      <w:r>
        <w:t xml:space="preserve">debate</w:t>
      </w:r>
      <w:r>
        <w:t xml:space="preserve"> </w:t>
      </w:r>
      <w:r>
        <w:t xml:space="preserve"> </w:t>
      </w:r>
      <w:r>
        <w:t xml:space="preserve">by showing that testing it demands the</w:t>
      </w:r>
      <w:r>
        <w:t xml:space="preserve"> </w:t>
      </w:r>
      <w:r>
        <w:t xml:space="preserve">human-coded framing that motivates the manual work in Section </w:t>
      </w:r>
      <w:hyperlink w:anchor="sec:tasks">
        <w:r>
          <w:rPr>
            <w:rStyle w:val="Hyperlink"/>
          </w:rPr>
          <w:t xml:space="preserve">11</w:t>
        </w:r>
      </w:hyperlink>
      <w:r>
        <w:t xml:space="preserve">.</w:t>
      </w:r>
      <w:r>
        <w:t xml:space="preserve"> </w:t>
      </w:r>
      <w:r>
        <w:t xml:space="preserve">Section </w:t>
      </w:r>
      <w:hyperlink w:anchor="sec:hy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develops hypotheses, 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</w:t>
      </w:r>
      <w:r>
        <w:t xml:space="preserve"> </w:t>
      </w:r>
      <w:r>
        <w:t xml:space="preserve">literature,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 and research design,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main results, 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 heterogeneity, Section </w:t>
      </w:r>
      <w:hyperlink w:anchor="sec:stacked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the not-yet-published-control design,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randomization inference,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the power analysis, Section </w:t>
      </w:r>
      <w:hyperlink w:anchor="sec:rob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robustness, and</w:t>
      </w:r>
      <w:r>
        <w:t xml:space="preserve"> </w:t>
      </w:r>
      <w:r>
        <w:t xml:space="preserve">Section </w:t>
      </w:r>
      <w:hyperlink w:anchor="sec:task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concludes.</w:t>
      </w:r>
    </w:p>
    <w:bookmarkEnd w:id="11"/>
    <w:bookmarkStart w:id="12" w:name="sec:hyp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 </w:t>
      </w:r>
      <w:r>
        <w:t xml:space="preserve">formalize three views. Under</w:t>
      </w:r>
      <w:r>
        <w:t xml:space="preserve"> </w:t>
      </w:r>
      <w:r>
        <w:rPr>
          <w:i/>
          <w:iCs/>
        </w:rPr>
        <w:t xml:space="preserve">data mining</w:t>
      </w:r>
      <w:r>
        <w:t xml:space="preserve">, an in-sample</w:t>
      </w:r>
      <w:r>
        <w:t xml:space="preserve"> </w:t>
      </w:r>
      <w:r>
        <w:t xml:space="preserve">anomaly is a statistical fluke and should disappear as soon as one leaves the original sample,</w:t>
      </w:r>
      <w:r>
        <w:t xml:space="preserve"> </w:t>
      </w:r>
      <w:r>
        <w:t xml:space="preserve">publication or not. Under</w:t>
      </w:r>
      <w:r>
        <w:t xml:space="preserve"> </w:t>
      </w:r>
      <w:r>
        <w:rPr>
          <w:i/>
          <w:iCs/>
        </w:rPr>
        <w:t xml:space="preserve">risk-based</w:t>
      </w:r>
      <w:r>
        <w:t xml:space="preserve"> </w:t>
      </w:r>
      <w:r>
        <w:t xml:space="preserve">pricing, the long-short return is compensation for</w:t>
      </w:r>
      <w:r>
        <w:t xml:space="preserve"> </w:t>
      </w:r>
      <w:r>
        <w:t xml:space="preserve">a systematic factor and should persist even after the pattern is publicized. Under</w:t>
      </w:r>
      <w:r>
        <w:t xml:space="preserve"> </w:t>
      </w:r>
      <w:r>
        <w:rPr>
          <w:i/>
          <w:iCs/>
        </w:rPr>
        <w:t xml:space="preserve">mispricing corrected by arbitrage</w:t>
      </w:r>
      <w:r>
        <w:t xml:space="preserve">, the return persists out of sample until the paper</w:t>
      </w:r>
      <w:r>
        <w:t xml:space="preserve"> </w:t>
      </w:r>
      <w:r>
        <w:t xml:space="preserve">alerts investors, who then trade it away, so the decline should be concentrated</w:t>
      </w:r>
      <w:r>
        <w:t xml:space="preserve"> </w:t>
      </w:r>
      <w:r>
        <w:rPr>
          <w:i/>
          <w:iCs/>
        </w:rPr>
        <w:t xml:space="preserve">at and</w:t>
      </w:r>
      <w:r>
        <w:rPr>
          <w:i/>
          <w:iCs/>
        </w:rPr>
        <w:t xml:space="preserve"> </w:t>
      </w:r>
      <w:r>
        <w:rPr>
          <w:i/>
          <w:iCs/>
        </w:rPr>
        <w:t xml:space="preserve">after publication</w:t>
      </w:r>
      <w:r>
        <w:t xml:space="preserve">. These map to testable predictions.</w:t>
      </w:r>
    </w:p>
    <w:p>
      <w:pPr>
        <w:pStyle w:val="BlockText"/>
      </w:pPr>
      <w:r>
        <w:rPr>
          <w:b/>
          <w:bCs/>
        </w:rPr>
        <w:t xml:space="preserve">H1 (Publication decay).</w:t>
      </w:r>
      <w:r>
        <w:t xml:space="preserve"> </w:t>
      </w:r>
      <w:r>
        <w:t xml:space="preserve">Anomaly long-short returns are lower post-publication than</w:t>
      </w:r>
      <w:r>
        <w:t xml:space="preserve"> </w:t>
      </w:r>
      <w:r>
        <w:t xml:space="preserve">in-sample, and lower still than in the post-sample-pre-publication window.</w:t>
      </w:r>
    </w:p>
    <w:p>
      <w:pPr>
        <w:pStyle w:val="BlockText"/>
      </w:pPr>
      <w:r>
        <w:rPr>
          <w:b/>
          <w:bCs/>
        </w:rPr>
        <w:t xml:space="preserve">H2 (Incremental publication effect).</w:t>
      </w:r>
      <w:r>
        <w:t xml:space="preserve"> </w:t>
      </w:r>
      <w:r>
        <w:t xml:space="preserve">Beyond any general out-of-sample decline, there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drop that begins specifically at publication (the arbitrage</w:t>
      </w:r>
      <w:r>
        <w:t xml:space="preserve"> </w:t>
      </w:r>
      <w:r>
        <w:t xml:space="preserve">prediction, distinct from pure data-mining).</w:t>
      </w:r>
    </w:p>
    <w:p>
      <w:pPr>
        <w:pStyle w:val="BlockText"/>
      </w:pPr>
      <w:r>
        <w:rPr>
          <w:b/>
          <w:bCs/>
        </w:rPr>
        <w:t xml:space="preserve">H3 (Framing heterogeneity).</w:t>
      </w:r>
      <w:r>
        <w:t xml:space="preserve"> </w:t>
      </w:r>
      <w:r>
        <w:t xml:space="preserve">The decay is larger for mispricing-framed anomalies than</w:t>
      </w:r>
      <w:r>
        <w:t xml:space="preserve"> </w:t>
      </w:r>
      <w:r>
        <w:t xml:space="preserve">for risk-framed anomalies, because only mispricing is arbitraged away.</w:t>
      </w:r>
    </w:p>
    <w:p>
      <w:pPr>
        <w:pStyle w:val="FirstParagraph"/>
      </w:pPr>
      <w:r>
        <w:t xml:space="preserve">H1 is a level prediction; H2 is the sharper causal claim that isolates publication from mere</w:t>
      </w:r>
      <w:r>
        <w:t xml:space="preserve"> </w:t>
      </w:r>
      <w:r>
        <w:t xml:space="preserve">out-of-sample decay; H3 is the cross-sectional test that would adjudicate risk versus</w:t>
      </w:r>
      <w:r>
        <w:t xml:space="preserve"> </w:t>
      </w:r>
      <w:r>
        <w:t xml:space="preserve">mispricing. We find strong support for H1, fragile support for H2, and no reliable support for</w:t>
      </w:r>
      <w:r>
        <w:t xml:space="preserve"> </w:t>
      </w:r>
      <w:r>
        <w:t xml:space="preserve">H3</w:t>
      </w:r>
      <w:r>
        <w:t xml:space="preserve"> </w:t>
      </w:r>
      <w:r>
        <w:rPr>
          <w:i/>
          <w:iCs/>
        </w:rPr>
        <w:t xml:space="preserve">with the metadata proxy</w:t>
      </w:r>
      <w:r>
        <w:t xml:space="preserve">—a null that we argue reflects the crudeness of the proxy,</w:t>
      </w:r>
      <w:r>
        <w:t xml:space="preserve"> </w:t>
      </w:r>
      <w:r>
        <w:t xml:space="preserve">not the absence of an effect. A fourth,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cross-sectional prediction lets us</w:t>
      </w:r>
      <w:r>
        <w:t xml:space="preserve"> </w:t>
      </w:r>
      <w:r>
        <w:t xml:space="preserve">probe the arbitrage mechanism without the reserved framing variable:</w:t>
      </w:r>
    </w:p>
    <w:p>
      <w:pPr>
        <w:pStyle w:val="BlockText"/>
      </w:pPr>
      <w:r>
        <w:rPr>
          <w:b/>
          <w:bCs/>
        </w:rPr>
        <w:t xml:space="preserve">H4 (Strength heterogeneity).</w:t>
      </w:r>
      <w:r>
        <w:t xml:space="preserve"> </w:t>
      </w:r>
      <w:r>
        <w:t xml:space="preserve">If arbitrage drives the decay, anomalies that were</w:t>
      </w:r>
      <w:r>
        <w:t xml:space="preserve"> </w:t>
      </w:r>
      <w:r>
        <w:rPr>
          <w:i/>
          <w:iCs/>
        </w:rPr>
        <w:t xml:space="preserve">stronger in sample</w:t>
      </w:r>
      <w:r>
        <w:t xml:space="preserve">—higher long-short returns, larger</w:t>
      </w:r>
      <w:r>
        <w:t xml:space="preserve"> </w:t>
      </w:r>
      <m:oMath>
        <m:r>
          <m:t>t</m:t>
        </m:r>
      </m:oMath>
      <w:r>
        <w:t xml:space="preserve">-statistics, more prominent</w:t>
      </w:r>
      <w:r>
        <w:t xml:space="preserve"> </w:t>
      </w:r>
      <w:r>
        <w:t xml:space="preserve">outlets—should decay more, because they are more attractive to trade.</w:t>
      </w:r>
    </w:p>
    <w:p>
      <w:pPr>
        <w:pStyle w:val="FirstParagraph"/>
      </w:pPr>
      <w:r>
        <w:t xml:space="preserve">H4 is testable from observable metadata alone and is the subject of 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.</w:t>
      </w:r>
    </w:p>
    <w:bookmarkEnd w:id="12"/>
    <w:bookmarkStart w:id="13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economics of anomaly decay after</w:t>
      </w:r>
      <w:r>
        <w:t xml:space="preserve"> </w:t>
      </w:r>
      <w:r>
        <w:t xml:space="preserve">publication.</w:t>
      </w:r>
      <w:r>
        <w:t xml:space="preserve"> </w:t>
      </w:r>
      <w:r>
        <w:t xml:space="preserve"> </w:t>
      </w:r>
      <w:r>
        <w:t xml:space="preserve">is the touchstone: studying 97 predictors, they find</w:t>
      </w:r>
      <w:r>
        <w:t xml:space="preserve"> </w:t>
      </w:r>
      <w:r>
        <w:t xml:space="preserve">returns fall 26% out of sample and a further amount at publication, and interpret the extra</w:t>
      </w:r>
      <w:r>
        <w:t xml:space="preserve"> </w:t>
      </w:r>
      <w:r>
        <w:t xml:space="preserve">drop as evidence that arbitrageurs read academic research and trade against mispricing.</w:t>
      </w:r>
      <w:r>
        <w:t xml:space="preserve"> </w:t>
      </w:r>
      <w:r>
        <w:t xml:space="preserve"> </w:t>
      </w:r>
      <w:r>
        <w:t xml:space="preserve">extend the question internationally and find that the post-publication</w:t>
      </w:r>
      <w:r>
        <w:t xml:space="preserve"> </w:t>
      </w:r>
      <w:r>
        <w:t xml:space="preserve">decline is concentrated in the United States, where arbitrage capital is deepest.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document a broader secular attenuation of</w:t>
      </w:r>
      <w:r>
        <w:t xml:space="preserve"> </w:t>
      </w:r>
      <w:r>
        <w:t xml:space="preserve">anomalies as liquidity and trading activity have risen. Our contribution to this strand is</w:t>
      </w:r>
      <w:r>
        <w:t xml:space="preserve"> </w:t>
      </w:r>
      <w:r>
        <w:t xml:space="preserve">scale and openness—212 predictors through 2024 from a fully reproducible library—and a</w:t>
      </w:r>
      <w:r>
        <w:t xml:space="preserve"> </w:t>
      </w:r>
      <w:r>
        <w:t xml:space="preserve">direct confrontation with the identification problem that publication dates cluster in calendar</w:t>
      </w:r>
      <w:r>
        <w:t xml:space="preserve"> </w:t>
      </w:r>
      <w:r>
        <w:t xml:space="preserve">time, so that</w:t>
      </w:r>
      <w:r>
        <w:t xml:space="preserve"> </w:t>
      </w:r>
      <w:r>
        <w:t xml:space="preserve">“out-of-sample”</w:t>
      </w:r>
      <w:r>
        <w:t xml:space="preserve"> </w:t>
      </w:r>
      <w:r>
        <w:t xml:space="preserve">and</w:t>
      </w:r>
      <w:r>
        <w:t xml:space="preserve"> </w:t>
      </w:r>
      <w:r>
        <w:t xml:space="preserve">“at-publication”</w:t>
      </w:r>
      <w:r>
        <w:t xml:space="preserve"> </w:t>
      </w:r>
      <w:r>
        <w:t xml:space="preserve">declines are hard to separate.</w:t>
      </w:r>
    </w:p>
    <w:p>
      <w:pPr>
        <w:pStyle w:val="BodyText"/>
      </w:pPr>
      <w:r>
        <w:t xml:space="preserve">The second strand is the statistical fragility of the</w:t>
      </w:r>
      <w:r>
        <w:t xml:space="preserve"> </w:t>
      </w:r>
      <w:r>
        <w:t xml:space="preserve">“anomaly zoo.”</w:t>
      </w:r>
      <w:r>
        <w:t xml:space="preserve"> </w:t>
      </w:r>
      <w:r>
        <w:t xml:space="preserve"> </w:t>
      </w:r>
      <w:r>
        <w:t xml:space="preserve">argue that conventional</w:t>
      </w:r>
      <w:r>
        <w:t xml:space="preserve"> </w:t>
      </w:r>
      <m:oMath>
        <m:r>
          <m:t>t</m:t>
        </m:r>
      </m:oMath>
      <w:r>
        <w:t xml:space="preserve">-thresholds are far too lax given the number of predictors tested and</w:t>
      </w:r>
      <w:r>
        <w:t xml:space="preserve"> </w:t>
      </w:r>
      <w:r>
        <w:t xml:space="preserve">propose multiple-testing corrections;</w:t>
      </w:r>
      <w:r>
        <w:t xml:space="preserve"> </w:t>
      </w:r>
      <w:r>
        <w:t xml:space="preserve"> </w:t>
      </w:r>
      <w:r>
        <w:t xml:space="preserve">show that a large share of</w:t>
      </w:r>
      <w:r>
        <w:t xml:space="preserve"> </w:t>
      </w:r>
      <w:r>
        <w:t xml:space="preserve">published anomalies fail to replicate under common protocols. This literature matters for our</w:t>
      </w:r>
      <w:r>
        <w:t xml:space="preserve"> </w:t>
      </w:r>
      <w:r>
        <w:t xml:space="preserve">heterogeneity result: because we sort on</w:t>
      </w:r>
      <w:r>
        <w:t xml:space="preserve"> </w:t>
      </w:r>
      <w:r>
        <w:rPr>
          <w:i/>
          <w:iCs/>
        </w:rPr>
        <w:t xml:space="preserve">in-sample</w:t>
      </w:r>
      <w:r>
        <w:t xml:space="preserve"> </w:t>
      </w:r>
      <w:r>
        <w:t xml:space="preserve">strength, part of any extra decay for</w:t>
      </w:r>
      <w:r>
        <w:t xml:space="preserve"> </w:t>
      </w:r>
      <w:r>
        <w:t xml:space="preserve">high-return anomalies is mechanical reversion (a strong in-sample draw is partly luck that does</w:t>
      </w:r>
      <w:r>
        <w:t xml:space="preserve"> </w:t>
      </w:r>
      <w:r>
        <w:t xml:space="preserve">not repeat), and we flag this explicitly rather than read the cross-sectional pattern as pure</w:t>
      </w:r>
      <w:r>
        <w:t xml:space="preserve"> </w:t>
      </w:r>
      <w:r>
        <w:t xml:space="preserve">arbitrage.</w:t>
      </w:r>
    </w:p>
    <w:p>
      <w:pPr>
        <w:pStyle w:val="BodyText"/>
      </w:pPr>
      <w:r>
        <w:t xml:space="preserve">The third strand is the econometrics of difference-in-differences and design-based inference,</w:t>
      </w:r>
      <w:r>
        <w:t xml:space="preserve"> </w:t>
      </w:r>
      <w:r>
        <w:t xml:space="preserve">which we import into the anomaly-decay setting. When treatment timing is staggered—as</w:t>
      </w:r>
      <w:r>
        <w:t xml:space="preserve"> </w:t>
      </w:r>
      <w:r>
        <w:t xml:space="preserve">publication is—two-way fixed-effects estimators can place negative weight on some</w:t>
      </w:r>
      <w:r>
        <w:t xml:space="preserve"> </w:t>
      </w:r>
      <w:r>
        <w:t xml:space="preserve">comparisons and use already-treated units as controls</w:t>
      </w:r>
      <w:r>
        <w:t xml:space="preserve"> </w:t>
      </w:r>
      <w:r>
        <w:t xml:space="preserve">.</w:t>
      </w:r>
      <w:r>
        <w:t xml:space="preserve"> </w:t>
      </w:r>
      <w:r>
        <w:t xml:space="preserve"> </w:t>
      </w:r>
      <w:r>
        <w:t xml:space="preserve">propose a</w:t>
      </w:r>
      <w:r>
        <w:t xml:space="preserve"> </w:t>
      </w:r>
      <w:r>
        <w:t xml:space="preserve">“stacked”</w:t>
      </w:r>
      <w:r>
        <w:t xml:space="preserve"> </w:t>
      </w:r>
      <w:r>
        <w:t xml:space="preserve">design that</w:t>
      </w:r>
      <w:r>
        <w:t xml:space="preserve"> </w:t>
      </w:r>
      <w:r>
        <w:t xml:space="preserve">compares each treatment cohort only to not-yet-treated units; we adapt it to anomalies in</w:t>
      </w:r>
      <w:r>
        <w:t xml:space="preserve"> </w:t>
      </w:r>
      <w:r>
        <w:t xml:space="preserve">Section </w:t>
      </w:r>
      <w:hyperlink w:anchor="sec:stacked">
        <w:r>
          <w:rPr>
            <w:rStyle w:val="Hyperlink"/>
          </w:rPr>
          <w:t xml:space="preserve">7</w:t>
        </w:r>
      </w:hyperlink>
      <w:r>
        <w:t xml:space="preserve">. For inference with clustered, serially correlated panels and a</w:t>
      </w:r>
      <w:r>
        <w:t xml:space="preserve"> </w:t>
      </w:r>
      <w:r>
        <w:t xml:space="preserve">modest number of natural experiments,</w:t>
      </w:r>
      <w:r>
        <w:t xml:space="preserve"> </w:t>
      </w:r>
      <w:r>
        <w:t xml:space="preserve"> </w:t>
      </w:r>
      <w:r>
        <w:t xml:space="preserve">advocates randomization tests, which we</w:t>
      </w:r>
      <w:r>
        <w:t xml:space="preserve"> </w:t>
      </w:r>
      <w:r>
        <w:t xml:space="preserve">use in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. Finally, methodologists urge that a statistically insignificant</w:t>
      </w:r>
      <w:r>
        <w:t xml:space="preserve"> </w:t>
      </w:r>
      <w:r>
        <w:t xml:space="preserve">estimate be interpreted through its power and confidence interval rather than treated as proof</w:t>
      </w:r>
      <w:r>
        <w:t xml:space="preserve"> </w:t>
      </w:r>
      <w:r>
        <w:t xml:space="preserve">of no effect</w:t>
      </w:r>
      <w:r>
        <w:t xml:space="preserve"> </w:t>
      </w:r>
      <w:r>
        <w:t xml:space="preserve">;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follows that guidance</w:t>
      </w:r>
      <w:r>
        <w:t xml:space="preserve"> </w:t>
      </w:r>
      <w:r>
        <w:t xml:space="preserve">literally, reporting minimum detectable effects for the H2 and H3 nulls.</w:t>
      </w:r>
    </w:p>
    <w:bookmarkEnd w:id="13"/>
    <w:bookmarkStart w:id="19" w:name="sec:data"/>
    <w:p>
      <w:pPr>
        <w:pStyle w:val="Heading1"/>
      </w:pPr>
      <w:r>
        <w:t xml:space="preserve">Data and Research Design</w:t>
      </w:r>
    </w:p>
    <w:bookmarkStart w:id="14" w:name="source."/>
    <w:p>
      <w:pPr>
        <w:pStyle w:val="Heading4"/>
      </w:pPr>
      <w:r>
        <w:t xml:space="preserve">Source.</w:t>
      </w:r>
    </w:p>
    <w:p>
      <w:pPr>
        <w:pStyle w:val="FirstParagraph"/>
      </w:pPr>
      <w:r>
        <w:t xml:space="preserve">We use the Open Source Asset Pricing library</w:t>
      </w:r>
      <w:r>
        <w:t xml:space="preserve"> </w:t>
      </w:r>
      <w:r>
        <w:t xml:space="preserve">, downloaded directly from the project’s public repository. Two files</w:t>
      </w:r>
      <w:r>
        <w:t xml:space="preserve"> </w:t>
      </w:r>
      <w:r>
        <w:t xml:space="preserve">enter the analysis.</w:t>
      </w:r>
      <w:r>
        <w:t xml:space="preserve"> </w:t>
      </w:r>
      <w:r>
        <w:rPr>
          <w:rStyle w:val="VerbatimChar"/>
        </w:rPr>
        <w:t xml:space="preserve">PredictorLSretWide.csv</w:t>
      </w:r>
      <w:r>
        <w:t xml:space="preserve"> </w:t>
      </w:r>
      <w:r>
        <w:t xml:space="preserve">gives the monthly long-short return (in</w:t>
      </w:r>
      <w:r>
        <w:t xml:space="preserve"> </w:t>
      </w:r>
      <w:r>
        <w:t xml:space="preserve">percent, signed so that the in-sample mean is positive) of each predictor’s decile (or</w:t>
      </w:r>
      <w:r>
        <w:t xml:space="preserve"> </w:t>
      </w:r>
      <w:r>
        <w:t xml:space="preserve">otherwise sorted) portfolio.</w:t>
      </w:r>
      <w:r>
        <w:t xml:space="preserve"> </w:t>
      </w:r>
      <w:r>
        <w:rPr>
          <w:rStyle w:val="VerbatimChar"/>
        </w:rPr>
        <w:t xml:space="preserve">SignalDoc.csv</w:t>
      </w:r>
      <w:r>
        <w:t xml:space="preserve"> </w:t>
      </w:r>
      <w:r>
        <w:t xml:space="preserve">gives, for each predictor, the original</w:t>
      </w:r>
      <w:r>
        <w:t xml:space="preserve"> </w:t>
      </w:r>
      <w:r>
        <w:t xml:space="preserve">study’s authors, journal, publication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SampleStartYear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SampleEndYear</w:t>
      </w:r>
      <w:r>
        <w:t xml:space="preserve">, an economic-category field (</w:t>
      </w:r>
      <w:r>
        <w:rPr>
          <w:rStyle w:val="VerbatimChar"/>
        </w:rPr>
        <w:t xml:space="preserve">Cat.Economic</w:t>
      </w:r>
      <w:r>
        <w:t xml:space="preserve">), and the study’s</w:t>
      </w:r>
      <w:r>
        <w:t xml:space="preserve"> </w:t>
      </w:r>
      <w:r>
        <w:t xml:space="preserve">reported in-sample long-short return and</w:t>
      </w:r>
      <w:r>
        <w:t xml:space="preserve"> </w:t>
      </w:r>
      <m:oMath>
        <m:r>
          <m:t>t</m:t>
        </m:r>
      </m:oMath>
      <w:r>
        <w:t xml:space="preserve">-statistic.</w:t>
      </w:r>
    </w:p>
    <w:bookmarkEnd w:id="14"/>
    <w:bookmarkStart w:id="15" w:name="sample-construction."/>
    <w:p>
      <w:pPr>
        <w:pStyle w:val="Heading4"/>
      </w:pPr>
      <w:r>
        <w:t xml:space="preserve">Sample construction.</w:t>
      </w:r>
    </w:p>
    <w:p>
      <w:pPr>
        <w:pStyle w:val="FirstParagraph"/>
      </w:pPr>
      <w:r>
        <w:t xml:space="preserve">We keep the 212 entries flagged as</w:t>
      </w:r>
      <w:r>
        <w:t xml:space="preserve"> </w:t>
      </w:r>
      <w:r>
        <w:rPr>
          <w:rStyle w:val="VerbatimChar"/>
        </w:rPr>
        <w:t xml:space="preserve">Predictor</w:t>
      </w:r>
      <w:r>
        <w:t xml:space="preserve"> </w:t>
      </w:r>
      <w:r>
        <w:t xml:space="preserve">(dropping placebos and withdrawn signals), all of which have a publication year and a</w:t>
      </w:r>
      <w:r>
        <w:t xml:space="preserve"> </w:t>
      </w:r>
      <w:r>
        <w:t xml:space="preserve">sample-end year, and reshape the returns to a long anomaly-month panel. The merged panel has</w:t>
      </w:r>
      <w:r>
        <w:t xml:space="preserve"> </w:t>
      </w:r>
      <w:r>
        <w:rPr>
          <w:b/>
          <w:bCs/>
        </w:rPr>
        <w:t xml:space="preserve">173</w:t>
      </w:r>
      <w:r>
        <w:rPr>
          <w:b/>
          <w:bCs/>
        </w:rPr>
        <w:t xml:space="preserve">,</w:t>
      </w:r>
      <w:r>
        <w:rPr>
          <w:b/>
          <w:bCs/>
        </w:rPr>
        <w:t xml:space="preserve">302</w:t>
      </w:r>
      <w:r>
        <w:t xml:space="preserve"> </w:t>
      </w:r>
      <w:r>
        <w:t xml:space="preserve">non-missing anomaly-months across</w:t>
      </w:r>
      <w:r>
        <w:t xml:space="preserve"> </w:t>
      </w:r>
      <w:r>
        <w:rPr>
          <w:b/>
          <w:bCs/>
        </w:rPr>
        <w:t xml:space="preserve">212</w:t>
      </w:r>
      <w:r>
        <w:t xml:space="preserve"> </w:t>
      </w:r>
      <w:r>
        <w:t xml:space="preserve">anomalies, with a median of</w:t>
      </w:r>
      <w:r>
        <w:t xml:space="preserve"> </w:t>
      </w:r>
      <w:r>
        <w:t xml:space="preserve">858 monthly observations per anomaly and calendar coverage 1926–2024. For every anomaly-month</w:t>
      </w:r>
      <w:r>
        <w:t xml:space="preserve"> </w:t>
      </w:r>
      <w:r>
        <w:t xml:space="preserve">we assign a regime from the study’s own sample-end year (</w:t>
      </w:r>
      <m:oMath>
        <m:sSubSup>
          <m:e>
            <m:r>
              <m:t>τ</m:t>
            </m:r>
          </m:e>
          <m:sub>
            <m:r>
              <m:t>i</m:t>
            </m:r>
          </m:sub>
          <m:sup>
            <m:r>
              <m:t>e</m:t>
            </m:r>
            <m:r>
              <m:t>n</m:t>
            </m:r>
            <m:r>
              <m:t>d</m:t>
            </m:r>
          </m:sup>
        </m:sSubSup>
      </m:oMath>
      <w:r>
        <w:t xml:space="preserve">) and publication year</w:t>
      </w:r>
      <w:r>
        <w:t xml:space="preserve"> </w:t>
      </w:r>
      <w:r>
        <w:t xml:space="preserve">(</w:t>
      </w:r>
      <m:oMath>
        <m:sSubSup>
          <m:e>
            <m:r>
              <m:t>τ</m:t>
            </m:r>
          </m:e>
          <m:sub>
            <m:r>
              <m:t>i</m:t>
            </m:r>
          </m:sub>
          <m:sup>
            <m:r>
              <m:t>p</m:t>
            </m:r>
            <m:r>
              <m:t>u</m:t>
            </m:r>
            <m:r>
              <m:t>b</m:t>
            </m:r>
          </m:sup>
        </m:sSubSup>
      </m:oMath>
      <w:r>
        <w:t xml:space="preserve">), with</w:t>
      </w:r>
      <w:r>
        <w:t xml:space="preserve"> </w:t>
      </w:r>
      <m:oMath>
        <m:sSubSup>
          <m:e>
            <m:r>
              <m:t>τ</m:t>
            </m:r>
          </m:e>
          <m:sub>
            <m:r>
              <m:t>i</m:t>
            </m:r>
          </m:sub>
          <m:sup>
            <m:r>
              <m:t>p</m:t>
            </m:r>
            <m:r>
              <m:t>u</m:t>
            </m:r>
            <m:r>
              <m:t>b</m:t>
            </m:r>
          </m:sup>
        </m:sSubSup>
        <m:r>
          <m:rPr>
            <m:sty m:val="p"/>
          </m:rPr>
          <m:t>≥</m:t>
        </m:r>
        <m:sSubSup>
          <m:e>
            <m:r>
              <m:t>τ</m:t>
            </m:r>
          </m:e>
          <m:sub>
            <m:r>
              <m:t>i</m:t>
            </m:r>
          </m:sub>
          <m:sup>
            <m:r>
              <m:t>e</m:t>
            </m:r>
            <m:r>
              <m:t>n</m:t>
            </m:r>
            <m:r>
              <m:t>d</m:t>
            </m:r>
          </m:sup>
        </m:sSubSup>
      </m:oMath>
      <w:r>
        <w:t xml:space="preserve"> </w:t>
      </w:r>
      <w:r>
        <w:t xml:space="preserve">for all 212 anomalies: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in-sample: 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τ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n</m:t>
              </m:r>
              <m:r>
                <m:t>d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post-sample: </m:t>
          </m:r>
          <m:sSubSup>
            <m:e>
              <m:r>
                <m:t>τ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n</m:t>
              </m:r>
              <m:r>
                <m:t>d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τ</m:t>
              </m:r>
            </m:e>
            <m:sub>
              <m:r>
                <m:t>i</m:t>
              </m:r>
            </m:sub>
            <m:sup>
              <m:r>
                <m:t>p</m:t>
              </m:r>
              <m:r>
                <m:t>u</m:t>
              </m:r>
              <m:r>
                <m:t>b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post-pub: 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sSubSup>
            <m:e>
              <m:r>
                <m:t>τ</m:t>
              </m:r>
            </m:e>
            <m:sub>
              <m:r>
                <m:t>i</m:t>
              </m:r>
            </m:sub>
            <m:sup>
              <m:r>
                <m:t>p</m:t>
              </m:r>
              <m:r>
                <m:t>u</m:t>
              </m:r>
              <m:r>
                <m:t>b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resulting split: 111</w:t>
      </w:r>
      <w:r>
        <w:t xml:space="preserve">,</w:t>
      </w:r>
      <w:r>
        <w:t xml:space="preserve">352 in-sample, 9</w:t>
      </w:r>
      <w:r>
        <w:t xml:space="preserve">,</w:t>
      </w:r>
      <w:r>
        <w:t xml:space="preserve">042</w:t>
      </w:r>
      <w:r>
        <w:t xml:space="preserve"> </w:t>
      </w:r>
      <w:r>
        <w:t xml:space="preserve">post-sample, and 52</w:t>
      </w:r>
      <w:r>
        <w:t xml:space="preserve">,</w:t>
      </w:r>
      <w:r>
        <w:t xml:space="preserve">908 post-publication anomaly-months.</w:t>
      </w:r>
    </w:p>
    <w:bookmarkEnd w:id="15"/>
    <w:bookmarkStart w:id="16" w:name="baseline-specification."/>
    <w:p>
      <w:pPr>
        <w:pStyle w:val="Heading4"/>
      </w:pPr>
      <w:r>
        <w:t xml:space="preserve">Baseline specification.</w:t>
      </w:r>
    </w:p>
    <w:p>
      <w:pPr>
        <w:pStyle w:val="FirstParagraph"/>
      </w:pPr>
      <w:r>
        <w:t xml:space="preserve">For anomaly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month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estimate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PostSample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PostPub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regime dummies are mutually exclusive (base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in-sample),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anomaly and calendar-time fixed effects, and standard errors are clustered by anomaly (and</w:t>
      </w:r>
      <w:r>
        <w:t xml:space="preserve"> </w:t>
      </w:r>
      <w:r>
        <w:t xml:space="preserve">two-way by anomaly and month in the demanding specifications). We separately estimate the nested</w:t>
      </w:r>
      <w:r>
        <w:t xml:space="preserve"> </w:t>
      </w:r>
      <w:r>
        <w:t xml:space="preserve"> </w:t>
      </w:r>
      <w:r>
        <w:t xml:space="preserve">decomposition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t> </m:t>
        </m:r>
        <m:sSub>
          <m:e>
            <m:r>
              <m:rPr>
                <m:nor/>
                <m:sty m:val="p"/>
              </m:rPr>
              <m:t>OOS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nor/>
                <m:sty m:val="p"/>
              </m:rPr>
              <m:t>Pub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, where</w:t>
      </w:r>
      <w:r>
        <w:t xml:space="preserve"> </w:t>
      </w:r>
      <m:oMath>
        <m:r>
          <m:rPr>
            <m:nor/>
            <m:sty m:val="p"/>
          </m:rPr>
          <m:t>OOS</m:t>
        </m:r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sSubSup>
          <m:e>
            <m:r>
              <m:t>τ</m:t>
            </m:r>
          </m:e>
          <m:sub>
            <m:r>
              <m:t>i</m:t>
            </m:r>
          </m:sub>
          <m:sup>
            <m:r>
              <m:t>e</m:t>
            </m:r>
            <m:r>
              <m:t>n</m:t>
            </m:r>
            <m:r>
              <m:t>d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Pub</m:t>
        </m:r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Sup>
          <m:e>
            <m:r>
              <m:t>τ</m:t>
            </m:r>
          </m:e>
          <m:sub>
            <m:r>
              <m:t>i</m:t>
            </m:r>
          </m:sub>
          <m:sup>
            <m:r>
              <m:t>p</m:t>
            </m:r>
            <m:r>
              <m:t>u</m:t>
            </m:r>
            <m:r>
              <m:t>b</m:t>
            </m:r>
          </m:sup>
        </m:sSubSup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decline attributable</w:t>
      </w:r>
      <w:r>
        <w:t xml:space="preserve"> </w:t>
      </w:r>
      <w:r>
        <w:t xml:space="preserve">to publication itself.</w:t>
      </w:r>
    </w:p>
    <w:bookmarkEnd w:id="16"/>
    <w:bookmarkStart w:id="17" w:name="risk-versus-mispricing-proxy."/>
    <w:p>
      <w:pPr>
        <w:pStyle w:val="Heading4"/>
      </w:pPr>
      <w:r>
        <w:t xml:space="preserve">Risk-versus-mispricing proxy.</w:t>
      </w:r>
    </w:p>
    <w:p>
      <w:pPr>
        <w:pStyle w:val="FirstParagraph"/>
      </w:pPr>
      <w:r>
        <w:t xml:space="preserve">The Open Source Asset Pricing category field is a</w:t>
      </w:r>
      <w:r>
        <w:t xml:space="preserve"> </w:t>
      </w:r>
      <w:r>
        <w:t xml:space="preserve">taxonomy of mechanism (e.g. </w:t>
      </w:r>
      <w:r>
        <w:t xml:space="preserve">“momentum,”</w:t>
      </w:r>
      <w:r>
        <w:t xml:space="preserve"> </w:t>
      </w:r>
      <w:r>
        <w:t xml:space="preserve">“accruals,”</w:t>
      </w:r>
      <w:r>
        <w:t xml:space="preserve"> </w:t>
      </w:r>
      <w:r>
        <w:t xml:space="preserve">“valuation,”</w:t>
      </w:r>
      <w:r>
        <w:t xml:space="preserve"> </w:t>
      </w:r>
      <w:r>
        <w:t xml:space="preserve">“liquidity,”</w:t>
      </w:r>
      <w:r>
        <w:t xml:space="preserve"> </w:t>
      </w:r>
      <w:r>
        <w:t xml:space="preserve">“volatility”</w:t>
      </w:r>
      <w:r>
        <w:t xml:space="preserve">). To proxy for the risk-versus-mispricing framing that H3 requires, we label an</w:t>
      </w:r>
      <w:r>
        <w:t xml:space="preserve"> </w:t>
      </w:r>
      <w:r>
        <w:t xml:space="preserve">anomaly</w:t>
      </w:r>
      <w:r>
        <w:t xml:space="preserve"> </w:t>
      </w:r>
      <w:r>
        <w:rPr>
          <w:i/>
          <w:iCs/>
        </w:rPr>
        <w:t xml:space="preserve">risk-framed</w:t>
      </w:r>
      <w:r>
        <w:t xml:space="preserve"> </w:t>
      </w:r>
      <w:r>
        <w:t xml:space="preserve">if its category is one of an explicitly risk-based set</w:t>
      </w:r>
      <w:r>
        <w:t xml:space="preserve"> </w:t>
      </w:r>
      <m:oMath>
        <m:r>
          <m:rPr>
            <m:sty m:val="p"/>
          </m:rPr>
          <m:t>{</m:t>
        </m:r>
      </m:oMath>
      <w:r>
        <w:t xml:space="preserve">risk, market risk, cash flow risk, default risk, option risk, volatility, liquidity</w:t>
      </w:r>
      <m:oMath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mispricing-framed</w:t>
      </w:r>
      <w:r>
        <w:t xml:space="preserve"> </w:t>
      </w:r>
      <w:r>
        <w:t xml:space="preserve">otherwise. This yields 27 risk-framed and 185 mispricing-framed</w:t>
      </w:r>
      <w:r>
        <w:t xml:space="preserve"> </w:t>
      </w:r>
      <w:r>
        <w:t xml:space="preserve">anomalies (18 versus 194 if liquidity is excluded). We stress that this is a</w:t>
      </w:r>
      <w:r>
        <w:t xml:space="preserve"> </w:t>
      </w:r>
      <w:r>
        <w:rPr>
          <w:i/>
          <w:iCs/>
        </w:rPr>
        <w:t xml:space="preserve">crude</w:t>
      </w:r>
      <w:r>
        <w:t xml:space="preserve"> </w:t>
      </w:r>
      <w:r>
        <w:t xml:space="preserve">stand-in for the authors’ stated economic story—many predictors admit both readings—and</w:t>
      </w:r>
      <w:r>
        <w:t xml:space="preserve"> </w:t>
      </w:r>
      <w:r>
        <w:t xml:space="preserve">Section </w:t>
      </w:r>
      <w:hyperlink w:anchor="sec:task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assigns the careful hand-coding to the student.</w:t>
      </w:r>
    </w:p>
    <w:bookmarkEnd w:id="17"/>
    <w:bookmarkStart w:id="18" w:name="four-design-based-extensions."/>
    <w:p>
      <w:pPr>
        <w:pStyle w:val="Heading4"/>
      </w:pPr>
      <w:r>
        <w:t xml:space="preserve">Four design-based extensions.</w:t>
      </w:r>
    </w:p>
    <w:p>
      <w:pPr>
        <w:pStyle w:val="FirstParagraph"/>
      </w:pPr>
      <w:r>
        <w:t xml:space="preserve">Beyond equation </w:t>
      </w:r>
      <w:hyperlink w:anchor="eq:main">
        <w:r>
          <w:rPr>
            <w:rStyle w:val="Hyperlink"/>
          </w:rPr>
          <w:t xml:space="preserve">[eq:main]</w:t>
        </w:r>
      </w:hyperlink>
      <w:r>
        <w:t xml:space="preserve"> </w:t>
      </w:r>
      <w:r>
        <w:t xml:space="preserve">we add four analyses</w:t>
      </w:r>
      <w:r>
        <w:t xml:space="preserve"> </w:t>
      </w:r>
      <w:r>
        <w:t xml:space="preserve">that use</w:t>
      </w:r>
      <w:r>
        <w:t xml:space="preserve"> </w:t>
      </w:r>
      <w:r>
        <w:rPr>
          <w:i/>
          <w:iCs/>
        </w:rPr>
        <w:t xml:space="preserve">observable metadata only</w:t>
      </w:r>
      <w:r>
        <w:t xml:space="preserve"> </w:t>
      </w:r>
      <w:r>
        <w:t xml:space="preserve">and never the reserved framing variable. (1)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 </w:t>
      </w:r>
      <w:r>
        <w:t xml:space="preserve">interacts the regime dummies with observable pre-set moderators (in-sample</w:t>
      </w:r>
      <w:r>
        <w:t xml:space="preserve"> </w:t>
      </w:r>
      <w:r>
        <w:t xml:space="preserve">return, in-sample</w:t>
      </w:r>
      <w:r>
        <w:t xml:space="preserve"> </w:t>
      </w:r>
      <m:oMath>
        <m:r>
          <m:t>t</m:t>
        </m:r>
      </m:oMath>
      <w:r>
        <w:t xml:space="preserve">-statistic, journal prominence, publication era) to test H4. (2) A</w:t>
      </w:r>
      <w:r>
        <w:t xml:space="preserve"> </w:t>
      </w:r>
      <w:r>
        <w:rPr>
          <w:i/>
          <w:iCs/>
        </w:rPr>
        <w:t xml:space="preserve">not-yet-published-control stacked DiD</w:t>
      </w:r>
      <w:r>
        <w:t xml:space="preserve"> </w:t>
      </w:r>
      <w:r>
        <w:t xml:space="preserve">compares each publication cohort only to anomalies</w:t>
      </w:r>
      <w:r>
        <w:t xml:space="preserve"> </w:t>
      </w:r>
      <w:r>
        <w:t xml:space="preserve">not yet published within the window, purging the staggered-timing bias. (3)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permutes each anomaly’s publication date within its own</w:t>
      </w:r>
      <w:r>
        <w:t xml:space="preserve"> </w:t>
      </w:r>
      <w:r>
        <w:t xml:space="preserve">out-of-sample life to ask whether the true date is special. (4)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calculation converts the H2 and H3 nulls into quantitative bounds. Together these move the paper</w:t>
      </w:r>
      <w:r>
        <w:t xml:space="preserve"> </w:t>
      </w:r>
      <w:r>
        <w:t xml:space="preserve">from</w:t>
      </w:r>
      <w:r>
        <w:t xml:space="preserve"> </w:t>
      </w:r>
      <w:r>
        <w:t xml:space="preserve">“we replicate McLean–Pontiff”</w:t>
      </w:r>
      <w:r>
        <w:t xml:space="preserve"> </w:t>
      </w:r>
      <w:r>
        <w:t xml:space="preserve">to a set of falsifiable, design-based statements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for which</w:t>
      </w:r>
      <w:r>
        <w:t xml:space="preserve"> </w:t>
      </w:r>
      <w:r>
        <w:t xml:space="preserve">anomalies the decay occurs.</w:t>
      </w:r>
    </w:p>
    <w:bookmarkEnd w:id="18"/>
    <w:bookmarkEnd w:id="19"/>
    <w:bookmarkStart w:id="23" w:name="sec:res"/>
    <w:p>
      <w:pPr>
        <w:pStyle w:val="Heading1"/>
      </w:pPr>
      <w:r>
        <w:t xml:space="preserve">Main Results</w:t>
      </w:r>
    </w:p>
    <w:bookmarkStart w:id="20" w:name="level-decay-h1."/>
    <w:p>
      <w:pPr>
        <w:pStyle w:val="Heading4"/>
      </w:pPr>
      <w:r>
        <w:t xml:space="preserve">Level decay (H1).</w:t>
      </w:r>
    </w:p>
    <w:p>
      <w:pPr>
        <w:pStyle w:val="FirstParagraph"/>
      </w:pPr>
      <w:r>
        <w:t xml:space="preserve">Table </w:t>
      </w:r>
      <w:hyperlink w:anchor="tab:regim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mean long-short returns by regime.</w:t>
      </w:r>
      <w:r>
        <w:t xml:space="preserve"> </w:t>
      </w:r>
      <w:r>
        <w:t xml:space="preserve">Equal-weighting across anomalies, the average predictor earns</w:t>
      </w:r>
      <w:r>
        <w:t xml:space="preserve"> </w:t>
      </w:r>
      <w:r>
        <w:rPr>
          <w:b/>
          <w:bCs/>
        </w:rPr>
        <w:t xml:space="preserve">0.614%</w:t>
      </w:r>
      <w:r>
        <w:t xml:space="preserve"> </w:t>
      </w:r>
      <w:r>
        <w:t xml:space="preserve">per month in</w:t>
      </w:r>
      <w:r>
        <w:t xml:space="preserve"> </w:t>
      </w:r>
      <w:r>
        <w:t xml:space="preserve">sample (</w:t>
      </w:r>
      <m:oMath>
        <m:r>
          <m:t>t</m:t>
        </m:r>
        <m:r>
          <m:rPr>
            <m:sty m:val="p"/>
          </m:rPr>
          <m:t>=</m:t>
        </m:r>
        <m:r>
          <m:t>20.1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0.417%</w:t>
      </w:r>
      <w:r>
        <w:t xml:space="preserve"> </w:t>
      </w:r>
      <w:r>
        <w:t xml:space="preserve">post-sample (</w:t>
      </w:r>
      <m:oMath>
        <m:r>
          <m:t>t</m:t>
        </m:r>
        <m:r>
          <m:rPr>
            <m:sty m:val="p"/>
          </m:rPr>
          <m:t>=</m:t>
        </m:r>
        <m:r>
          <m:t>6.8</m:t>
        </m:r>
      </m:oMath>
      <w:r>
        <w:t xml:space="preserve">), and</w:t>
      </w:r>
      <w:r>
        <w:t xml:space="preserve"> </w:t>
      </w:r>
      <w:r>
        <w:rPr>
          <w:b/>
          <w:bCs/>
        </w:rPr>
        <w:t xml:space="preserve">0.303%</w:t>
      </w:r>
      <w:r>
        <w:t xml:space="preserve"> </w:t>
      </w:r>
      <w:r>
        <w:t xml:space="preserve">post-publication (</w:t>
      </w:r>
      <m:oMath>
        <m:r>
          <m:t>t</m:t>
        </m:r>
        <m:r>
          <m:rPr>
            <m:sty m:val="p"/>
          </m:rPr>
          <m:t>=</m:t>
        </m:r>
        <m:r>
          <m:t>6.9</m:t>
        </m:r>
      </m:oMath>
      <w:r>
        <w:t xml:space="preserve">)—67.9% and 49.3% of the in-sample mean, respectively. The paired</w:t>
      </w:r>
      <w:r>
        <w:t xml:space="preserve"> </w:t>
      </w:r>
      <w:r>
        <w:t xml:space="preserve">within-anomaly declines are</w:t>
      </w:r>
      <w:r>
        <w:t xml:space="preserve"> </w:t>
      </w:r>
      <m:oMath>
        <m:r>
          <m:rPr>
            <m:sty m:val="p"/>
          </m:rPr>
          <m:t>−</m:t>
        </m:r>
        <m:r>
          <m:t>0.197</m:t>
        </m:r>
      </m:oMath>
      <w:r>
        <w:t xml:space="preserve"> </w:t>
      </w:r>
      <w:r>
        <w:t xml:space="preserve">points post-sample (</w:t>
      </w:r>
      <m:oMath>
        <m:r>
          <m:rPr>
            <m:sty m:val="p"/>
          </m:rPr>
          <m:t>−</m:t>
        </m:r>
        <m:r>
          <m:t>32.1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3.1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−</m:t>
        </m:r>
        <m:r>
          <m:t>0.312</m:t>
        </m:r>
      </m:oMath>
      <w:r>
        <w:t xml:space="preserve"> </w:t>
      </w:r>
      <w:r>
        <w:t xml:space="preserve">points post-publication (</w:t>
      </w:r>
      <m:oMath>
        <m:r>
          <m:rPr>
            <m:sty m:val="p"/>
          </m:rPr>
          <m:t>−</m:t>
        </m:r>
        <m:r>
          <m:t>50.7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7.6</m:t>
        </m:r>
      </m:oMath>
      <w:r>
        <w:t xml:space="preserve">). These magnitudes closely track the 26% and</w:t>
      </w:r>
      <w:r>
        <w:t xml:space="preserve"> </w:t>
      </w:r>
      <w:r>
        <w:t xml:space="preserve">58% of</w:t>
      </w:r>
      <w:r>
        <w:t xml:space="preserve"> </w:t>
      </w:r>
      <w:r>
        <w:t xml:space="preserve">, confirming H1 on an independent, larger, more recent sample.</w:t>
      </w:r>
    </w:p>
    <w:bookmarkEnd w:id="20"/>
    <w:bookmarkStart w:id="21" w:name="X02e5fe3ac2f1d4a2c8a91b52b6ae41231952331"/>
    <w:p>
      <w:pPr>
        <w:pStyle w:val="Heading4"/>
      </w:pPr>
      <w:r>
        <w:t xml:space="preserve">Panel estimates and the publication</w:t>
      </w:r>
      <w:r>
        <w:t xml:space="preserve"> </w:t>
      </w:r>
      <w:r>
        <w:t xml:space="preserve">“kink”</w:t>
      </w:r>
      <w:r>
        <w:t xml:space="preserve"> </w:t>
      </w:r>
      <w:r>
        <w:t xml:space="preserve">(H2).</w:t>
      </w:r>
    </w:p>
    <w:p>
      <w:pPr>
        <w:pStyle w:val="FirstParagraph"/>
      </w:pPr>
      <w:r>
        <w:t xml:space="preserve">Table </w:t>
      </w:r>
      <w:hyperlink w:anchor="tab:pane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regresses</w:t>
      </w:r>
      <w:r>
        <w:t xml:space="preserve"> </w:t>
      </w:r>
      <w:r>
        <w:t xml:space="preserve">the monthly return on post-sample and post-publication indicators (columns report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both relative to in-sample), and separately estimates the nested</w:t>
      </w:r>
      <w:r>
        <w:t xml:space="preserve"> </w:t>
      </w:r>
      <w:r>
        <w:t xml:space="preserve"> </w:t>
      </w:r>
      <w:r>
        <w:t xml:space="preserve">decomposition into an out-of-sample dummy and an extra-at-publication</w:t>
      </w:r>
      <w:r>
        <w:t xml:space="preserve"> </w:t>
      </w:r>
      <w:r>
        <w:t xml:space="preserve">dummy (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). With no fixed effects the post-publication coefficient is</w:t>
      </w:r>
      <w:r>
        <w:t xml:space="preserve"> </w:t>
      </w:r>
      <m:oMath>
        <m:r>
          <m:rPr>
            <m:sty m:val="p"/>
          </m:rPr>
          <m:t>−</m:t>
        </m:r>
        <m:r>
          <m:t>0.244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</m:oMath>
      <w:r>
        <w:t xml:space="preserve">);</w:t>
      </w:r>
      <w:r>
        <w:t xml:space="preserve"> </w:t>
      </w:r>
      <w:r>
        <w:t xml:space="preserve">with anomaly fixed effects it is</w:t>
      </w:r>
      <w:r>
        <w:t xml:space="preserve"> </w:t>
      </w:r>
      <m:oMath>
        <m:r>
          <m:rPr>
            <m:sty m:val="p"/>
          </m:rPr>
          <m:t>−</m:t>
        </m:r>
        <m:r>
          <m:t>0.272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</m:t>
        </m:r>
      </m:oMath>
      <w:r>
        <w:t xml:space="preserve">). Crucially, the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publication effect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0.093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</m:t>
        </m:r>
      </m:oMath>
      <w:r>
        <w:t xml:space="preserve">) without fixed effects and a significant</w:t>
      </w:r>
      <w:r>
        <w:t xml:space="preserve"> </w:t>
      </w:r>
      <m:oMath>
        <m:r>
          <m:rPr>
            <m:sty m:val="p"/>
          </m:rPr>
          <m:t>−</m:t>
        </m:r>
        <m:r>
          <m:t>0.127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</m:t>
        </m:r>
      </m:oMath>
      <w:r>
        <w:t xml:space="preserve">) with anomaly fixed effects—consistent with H2. But adding calendar-year</w:t>
      </w:r>
      <w:r>
        <w:t xml:space="preserve"> </w:t>
      </w:r>
      <w:r>
        <w:t xml:space="preserve">or calendar-month fixed effects makes the post-sample and post-publication coefficients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0.245</m:t>
        </m:r>
      </m:oMath>
      <w:r>
        <w:t xml:space="preserve"> </w:t>
      </w:r>
      <w:r>
        <w:t xml:space="preserve">each,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3.3</m:t>
        </m:r>
      </m:oMath>
      <w:r>
        <w:t xml:space="preserve">) and drives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zero. In other words, once</w:t>
      </w:r>
      <w:r>
        <w:t xml:space="preserve"> </w:t>
      </w:r>
      <w:r>
        <w:t xml:space="preserve">we compare anomalies to each other</w:t>
      </w:r>
      <w:r>
        <w:t xml:space="preserve"> </w:t>
      </w:r>
      <w:r>
        <w:rPr>
          <w:i/>
          <w:iCs/>
        </w:rPr>
        <w:t xml:space="preserve">within the same calendar period</w:t>
      </w:r>
      <w:r>
        <w:t xml:space="preserve">, the return is lower</w:t>
      </w:r>
      <w:r>
        <w:t xml:space="preserve"> </w:t>
      </w:r>
      <w:r>
        <w:t xml:space="preserve">whenever an anomaly is out of its original sample, but it does not drop</w:t>
      </w:r>
      <w:r>
        <w:t xml:space="preserve"> </w:t>
      </w:r>
      <w:r>
        <w:rPr>
          <w:i/>
          <w:iCs/>
        </w:rPr>
        <w:t xml:space="preserve">further</w:t>
      </w:r>
      <w:r>
        <w:t xml:space="preserve"> </w:t>
      </w:r>
      <w:r>
        <w:t xml:space="preserve">at the</w:t>
      </w:r>
      <w:r>
        <w:t xml:space="preserve"> </w:t>
      </w:r>
      <w:r>
        <w:t xml:space="preserve">moment of publication. Because publications cluster in a few decades, the discrete publication</w:t>
      </w:r>
      <w:r>
        <w:t xml:space="preserve"> </w:t>
      </w:r>
      <w:r>
        <w:t xml:space="preserve">event is econometrically hard to separate from the secular decline in anomaly profits. We read</w:t>
      </w:r>
      <w:r>
        <w:t xml:space="preserve"> </w:t>
      </w:r>
      <w:r>
        <w:t xml:space="preserve">this as strong support for H1 (out-of-sample decay) but only fragile, non-robust support for</w:t>
      </w:r>
      <w:r>
        <w:t xml:space="preserve"> </w:t>
      </w:r>
      <w:r>
        <w:t xml:space="preserve">H2 (a distinct publication kink).</w:t>
      </w:r>
    </w:p>
    <w:bookmarkEnd w:id="21"/>
    <w:bookmarkStart w:id="22" w:name="framing-heterogeneity-h3."/>
    <w:p>
      <w:pPr>
        <w:pStyle w:val="Heading4"/>
      </w:pPr>
      <w:r>
        <w:t xml:space="preserve">Framing heterogeneity (H3).</w:t>
      </w:r>
    </w:p>
    <w:p>
      <w:pPr>
        <w:pStyle w:val="FirstParagraph"/>
      </w:pPr>
      <w:r>
        <w:t xml:space="preserve">Table </w:t>
      </w:r>
      <w:hyperlink w:anchor="tab:heter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interacts the post-publication</w:t>
      </w:r>
      <w:r>
        <w:t xml:space="preserve"> </w:t>
      </w:r>
      <w:r>
        <w:t xml:space="preserve">indicator with the risk-framed proxy. Under the broad proxy the mispricing group decays by</w:t>
      </w:r>
      <w:r>
        <w:t xml:space="preserve"> </w:t>
      </w:r>
      <m:oMath>
        <m:r>
          <m:rPr>
            <m:sty m:val="p"/>
          </m:rPr>
          <m:t>−</m:t>
        </m:r>
        <m:r>
          <m:t>0.242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5.7</m:t>
        </m:r>
      </m:oMath>
      <w:r>
        <w:t xml:space="preserve">) and the risk</w:t>
      </w:r>
      <m:oMath>
        <m:r>
          <m:rPr>
            <m:sty m:val="p"/>
          </m:rPr>
          <m:t>×</m:t>
        </m:r>
      </m:oMath>
      <w:r>
        <w:t xml:space="preserve">post-publication interaction is</w:t>
      </w:r>
      <w:r>
        <w:t xml:space="preserve"> </w:t>
      </w:r>
      <m:oMath>
        <m:r>
          <m:rPr>
            <m:sty m:val="p"/>
          </m:rPr>
          <m:t>−</m:t>
        </m:r>
        <m:r>
          <m:t>0.034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),</w:t>
      </w:r>
      <w:r>
        <w:t xml:space="preserve"> </w:t>
      </w:r>
      <w:r>
        <w:t xml:space="preserve">implying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decay for risk anomalies—the opposite of H3, but statistically zero.</w:t>
      </w:r>
      <w:r>
        <w:t xml:space="preserve"> </w:t>
      </w:r>
      <w:r>
        <w:t xml:space="preserve">Under the narrow proxy the interaction is</w:t>
      </w:r>
      <w:r>
        <w:t xml:space="preserve"> </w:t>
      </w:r>
      <m:oMath>
        <m:r>
          <m:rPr>
            <m:sty m:val="p"/>
          </m:rPr>
          <m:t>+</m:t>
        </m:r>
        <m:r>
          <m:t>0.096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), implying less decay for risk</w:t>
      </w:r>
      <w:r>
        <w:t xml:space="preserve"> </w:t>
      </w:r>
      <w:r>
        <w:t xml:space="preserve">anomalies, again insignificant. The sign is not robust to whether liquidity is treated as risk.</w:t>
      </w:r>
      <w:r>
        <w:t xml:space="preserve"> </w:t>
      </w:r>
      <w:r>
        <w:t xml:space="preserve">Figure </w:t>
      </w:r>
      <w:hyperlink w:anchor="fig:fram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both groups falling in near-parallel from in-sample to</w:t>
      </w:r>
      <w:r>
        <w:t xml:space="preserve"> </w:t>
      </w:r>
      <w:r>
        <w:t xml:space="preserve">post-publication. We therefore find</w:t>
      </w:r>
      <w:r>
        <w:t xml:space="preserve"> </w:t>
      </w:r>
      <w:r>
        <w:rPr>
          <w:i/>
          <w:iCs/>
        </w:rPr>
        <w:t xml:space="preserve">no reliable evidence</w:t>
      </w:r>
      <w:r>
        <w:t xml:space="preserve"> </w:t>
      </w:r>
      <w:r>
        <w:t xml:space="preserve">for H3 using the metadata</w:t>
      </w:r>
      <w:r>
        <w:t xml:space="preserve"> </w:t>
      </w:r>
      <w:r>
        <w:t xml:space="preserve">proxy. This is exactly the boundary at which automated classification fails and human coding</w:t>
      </w:r>
      <w:r>
        <w:t xml:space="preserve"> </w:t>
      </w:r>
      <w:r>
        <w:t xml:space="preserve">is required: a mechanism label is not an economic-interpretation label.</w:t>
      </w:r>
    </w:p>
    <w:bookmarkEnd w:id="22"/>
    <w:bookmarkEnd w:id="23"/>
    <w:bookmarkStart w:id="24" w:name="sec:het"/>
    <w:p>
      <w:pPr>
        <w:pStyle w:val="Heading1"/>
      </w:pPr>
      <w:r>
        <w:t xml:space="preserve">Heterogeneity in the Decay</w:t>
      </w:r>
    </w:p>
    <w:p>
      <w:pPr>
        <w:pStyle w:val="FirstParagraph"/>
      </w:pPr>
      <w:r>
        <w:t xml:space="preserve">If arbitrage rather than pure data-mining drives the decline, the anomalies that were</w:t>
      </w:r>
      <w:r>
        <w:t xml:space="preserve"> </w:t>
      </w:r>
      <w:r>
        <w:rPr>
          <w:i/>
          <w:iCs/>
        </w:rPr>
        <w:t xml:space="preserve">stronger in sample</w:t>
      </w:r>
      <w:r>
        <w:t xml:space="preserve"> </w:t>
      </w:r>
      <w:r>
        <w:t xml:space="preserve">should decay more, because they are the most attractive targets for</w:t>
      </w:r>
      <w:r>
        <w:t xml:space="preserve"> </w:t>
      </w:r>
      <w:r>
        <w:t xml:space="preserve">sophisticated capital (H4). Table </w:t>
      </w:r>
      <w:hyperlink w:anchor="tab:hetero-ex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tests this with four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moderators fixed at the study level—above-median in-sample long-short return, above-median</w:t>
      </w:r>
      <w:r>
        <w:t xml:space="preserve"> </w:t>
      </w:r>
      <w:r>
        <w:t xml:space="preserve">in-sample</w:t>
      </w:r>
      <w:r>
        <w:t xml:space="preserve"> </w:t>
      </w:r>
      <m:oMath>
        <m:r>
          <m:t>t</m:t>
        </m:r>
      </m:oMath>
      <w:r>
        <w:t xml:space="preserve">-statistic, publication in a top-3 finance journal (</w:t>
      </w:r>
      <w:r>
        <w:rPr>
          <w:i/>
          <w:iCs/>
        </w:rPr>
        <w:t xml:space="preserve">JF/JFE/RFS</w:t>
      </w:r>
      <w:r>
        <w:t xml:space="preserve">), and a</w:t>
      </w:r>
      <w:r>
        <w:t xml:space="preserve"> </w:t>
      </w:r>
      <w:r>
        <w:t xml:space="preserve">modern-era indicator (published in 2006 or later)—by adding the interaction</w:t>
      </w:r>
      <w:r>
        <w:t xml:space="preserve"> </w:t>
      </w:r>
      <m:oMath>
        <m:r>
          <m:rPr>
            <m:nor/>
            <m:sty m:val="p"/>
          </m:rPr>
          <m:t>PostPub</m:t>
        </m:r>
        <m:r>
          <m:rPr>
            <m:sty m:val="p"/>
          </m:rPr>
          <m:t>×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high 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to equation </w:t>
      </w:r>
      <w:hyperlink w:anchor="eq:main">
        <w:r>
          <w:rPr>
            <w:rStyle w:val="Hyperlink"/>
          </w:rPr>
          <w:t xml:space="preserve">[eq:main]</w:t>
        </w:r>
      </w:hyperlink>
      <w:r>
        <w:t xml:space="preserve"> </w:t>
      </w:r>
      <w:r>
        <w:t xml:space="preserve">with anomaly fixed</w:t>
      </w:r>
      <w:r>
        <w:t xml:space="preserve"> </w:t>
      </w:r>
      <w:r>
        <w:t xml:space="preserve">effects. The pattern is sharp on the strength margins and matches the arbitrage prediction. For</w:t>
      </w:r>
      <w:r>
        <w:t xml:space="preserve"> </w:t>
      </w:r>
      <w:r>
        <w:t xml:space="preserve">in-sample return, the low-strength group decays by</w:t>
      </w:r>
      <w:r>
        <w:t xml:space="preserve"> </w:t>
      </w:r>
      <m:oMath>
        <m:r>
          <m:rPr>
            <m:sty m:val="p"/>
          </m:rPr>
          <m:t>−</m:t>
        </m:r>
        <m:r>
          <m:t>0.132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4.0</m:t>
        </m:r>
      </m:oMath>
      <w:r>
        <w:t xml:space="preserve">) and the high-strength</w:t>
      </w:r>
      <w:r>
        <w:t xml:space="preserve"> </w:t>
      </w:r>
      <w:r>
        <w:t xml:space="preserve">group decays by an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m:oMath>
        <m:r>
          <m:rPr>
            <m:sty m:val="p"/>
          </m:rPr>
          <m:t>−</m:t>
        </m:r>
        <m:r>
          <m:t>0.280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</m:t>
        </m:r>
      </m:oMath>
      <w:r>
        <w:t xml:space="preserve">), for a total post-publication decline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0.41</m:t>
        </m:r>
      </m:oMath>
      <w:r>
        <w:t xml:space="preserve"> </w:t>
      </w:r>
      <w:r>
        <w:t xml:space="preserve">points per month—triple the baseline. In-sample</w:t>
      </w:r>
      <w:r>
        <w:t xml:space="preserve"> </w:t>
      </w:r>
      <m:oMath>
        <m:r>
          <m:t>t</m:t>
        </m:r>
      </m:oMath>
      <w:r>
        <w:t xml:space="preserve">-statistic tells the same</w:t>
      </w:r>
      <w:r>
        <w:t xml:space="preserve"> </w:t>
      </w:r>
      <w:r>
        <w:t xml:space="preserve">story: an extra</w:t>
      </w:r>
      <w:r>
        <w:t xml:space="preserve"> </w:t>
      </w:r>
      <m:oMath>
        <m:r>
          <m:rPr>
            <m:sty m:val="p"/>
          </m:rPr>
          <m:t>−</m:t>
        </m:r>
        <m:r>
          <m:t>0.160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</m:oMath>
      <w:r>
        <w:t xml:space="preserve">) for statistically stronger anomalies. Journal prominence</w:t>
      </w:r>
      <w:r>
        <w:t xml:space="preserve"> </w:t>
      </w:r>
      <w:r>
        <w:t xml:space="preserve">does not sharpen the decay (interaction</w:t>
      </w:r>
      <w:r>
        <w:t xml:space="preserve"> </w:t>
      </w:r>
      <m:oMath>
        <m:r>
          <m:rPr>
            <m:sty m:val="p"/>
          </m:rPr>
          <m:t>+</m:t>
        </m:r>
        <m:r>
          <m:t>0.049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</m:t>
        </m:r>
      </m:oMath>
      <w:r>
        <w:t xml:space="preserve">)—prestige is not the operative</w:t>
      </w:r>
      <w:r>
        <w:t xml:space="preserve"> </w:t>
      </w:r>
      <w:r>
        <w:t xml:space="preserve">margin—while modern-era anomalies decay marginally more (</w:t>
      </w:r>
      <m:oMath>
        <m:r>
          <m:rPr>
            <m:sty m:val="p"/>
          </m:rPr>
          <m:t>−</m:t>
        </m:r>
        <m:r>
          <m:t>0.117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</m:t>
        </m:r>
      </m:oMath>
      <w:r>
        <w:t xml:space="preserve">), consistent with</w:t>
      </w:r>
      <w:r>
        <w:t xml:space="preserve"> </w:t>
      </w:r>
      <w:r>
        <w:t xml:space="preserve">faster arbitrage in the recent, more liquid era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We are deliberately cautious about the interpretation. Sorting on</w:t>
      </w:r>
      <w:r>
        <w:t xml:space="preserve"> </w:t>
      </w:r>
      <w:r>
        <w:rPr>
          <w:i/>
          <w:iCs/>
        </w:rPr>
        <w:t xml:space="preserve">in-sample</w:t>
      </w:r>
      <w:r>
        <w:t xml:space="preserve"> </w:t>
      </w:r>
      <w:r>
        <w:t xml:space="preserve">strength</w:t>
      </w:r>
      <w:r>
        <w:t xml:space="preserve"> </w:t>
      </w:r>
      <w:r>
        <w:t xml:space="preserve">mechanically induces reversion: an anomaly with an unusually high in-sample return has, in part,</w:t>
      </w:r>
      <w:r>
        <w:t xml:space="preserve"> </w:t>
      </w:r>
      <w:r>
        <w:t xml:space="preserve">drawn a lucky sample that will not repeat out of sample regardless of arbitrage</w:t>
      </w:r>
      <w:r>
        <w:t xml:space="preserve"> </w:t>
      </w:r>
      <w:r>
        <w:t xml:space="preserve">. The strength result is therefore consistent with</w:t>
      </w:r>
      <w:r>
        <w:t xml:space="preserve"> </w:t>
      </w:r>
      <w:r>
        <w:t xml:space="preserve">arbitrage but does not prove it, and we do not lean on it as a causal test. Its role is to show</w:t>
      </w:r>
      <w:r>
        <w:t xml:space="preserve"> </w:t>
      </w:r>
      <w:r>
        <w:t xml:space="preserve">that the aggregate decay is not uniform noise—it concentrates precisely where both arbitrage</w:t>
      </w:r>
      <w:r>
        <w:t xml:space="preserve"> </w:t>
      </w:r>
      <w:r>
        <w:t xml:space="preserve">and reversion predict—and to demonstrate that observable moderators, unlike the reserved</w:t>
      </w:r>
      <w:r>
        <w:t xml:space="preserve"> </w:t>
      </w:r>
      <w:r>
        <w:t xml:space="preserve">risk-versus-mispricing framing, are available for this cross-sectional cut. The moderator 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adjudicate risk versus mispricing is the authors’ stated economic story, which we</w:t>
      </w:r>
      <w:r>
        <w:t xml:space="preserve"> </w:t>
      </w:r>
      <w:r>
        <w:t xml:space="preserve">do not construct here; it is the student’s Task 2.</w:t>
      </w:r>
    </w:p>
    <w:bookmarkEnd w:id="24"/>
    <w:bookmarkStart w:id="25" w:name="sec:stacked"/>
    <w:p>
      <w:pPr>
        <w:pStyle w:val="Heading1"/>
      </w:pPr>
      <w:r>
        <w:t xml:space="preserve">A Not-Yet-Published-Control Design</w:t>
      </w:r>
    </w:p>
    <w:p>
      <w:pPr>
        <w:pStyle w:val="FirstParagraph"/>
      </w:pPr>
      <w:r>
        <w:t xml:space="preserve">The fragility of H2 in Table </w:t>
      </w:r>
      <w:hyperlink w:anchor="tab:pane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could reflect a genuine absence of a publication</w:t>
      </w:r>
      <w:r>
        <w:t xml:space="preserve"> </w:t>
      </w:r>
      <w:r>
        <w:t xml:space="preserve">kink, or an artifact of how two-way fixed effects handle staggered treatment. Because every</w:t>
      </w:r>
      <w:r>
        <w:t xml:space="preserve"> </w:t>
      </w:r>
      <w:r>
        <w:t xml:space="preserve">anomaly is eventually published, the anomaly-plus-time specification identifies the</w:t>
      </w:r>
      <w:r>
        <w:t xml:space="preserve"> </w:t>
      </w:r>
      <w:r>
        <w:t xml:space="preserve">post-publication coefficient partly by comparing newly published anomalies to</w:t>
      </w:r>
      <w:r>
        <w:t xml:space="preserve"> </w:t>
      </w:r>
      <w:r>
        <w:rPr>
          <w:i/>
          <w:iCs/>
        </w:rPr>
        <w:t xml:space="preserve">already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ones, a comparison that the staggered-DiD literature shows can be</w:t>
      </w:r>
      <w:r>
        <w:t xml:space="preserve"> </w:t>
      </w:r>
      <w:r>
        <w:t xml:space="preserve">contaminated</w:t>
      </w:r>
      <w:r>
        <w:t xml:space="preserve"> </w:t>
      </w:r>
      <w:r>
        <w:t xml:space="preserve">. To remove that contamination we adopt the</w:t>
      </w:r>
      <w:r>
        <w:t xml:space="preserve"> </w:t>
      </w:r>
      <w:r>
        <w:t xml:space="preserve">stacked design of</w:t>
      </w:r>
      <w:r>
        <w:t xml:space="preserve"> </w:t>
      </w:r>
      <w:r>
        <w:t xml:space="preserve">, collapsing the data to anomaly-years. For each three-year</w:t>
      </w:r>
      <w:r>
        <w:t xml:space="preserve"> </w:t>
      </w:r>
      <w:r>
        <w:t xml:space="preserve">publication cohort centered on year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we form a clean sub-experiment: the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units are anomalies published in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; the</w:t>
      </w:r>
      <w:r>
        <w:t xml:space="preserve"> </w:t>
      </w:r>
      <w:r>
        <w:rPr>
          <w:i/>
          <w:iCs/>
        </w:rPr>
        <w:t xml:space="preserve">controls</w:t>
      </w:r>
      <w:r>
        <w:t xml:space="preserve"> </w:t>
      </w:r>
      <w:r>
        <w:t xml:space="preserve">are anomalies</w:t>
      </w:r>
      <w:r>
        <w:t xml:space="preserve"> </w:t>
      </w:r>
      <w:r>
        <w:rPr>
          <w:i/>
          <w:iCs/>
        </w:rPr>
        <w:t xml:space="preserve">not yet published</w:t>
      </w:r>
      <w:r>
        <w:t xml:space="preserve"> </w:t>
      </w:r>
      <w:r>
        <w:t xml:space="preserve">anywhere in the</w:t>
      </w:r>
      <w:r>
        <w:t xml:space="preserve"> </w:t>
      </w:r>
      <m:oMath>
        <m:r>
          <m:rPr>
            <m:sty m:val="p"/>
          </m:rPr>
          <m:t>±</m:t>
        </m:r>
        <m:r>
          <m:t>8</m:t>
        </m:r>
      </m:oMath>
      <w:r>
        <w:t xml:space="preserve">-year window (publication year</w:t>
      </w:r>
      <w:r>
        <w:t xml:space="preserve"> </w:t>
      </w:r>
      <m:oMath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8</m:t>
        </m:r>
      </m:oMath>
      <w:r>
        <w:t xml:space="preserve">); the</w:t>
      </w:r>
      <w:r>
        <w:t xml:space="preserve"> </w:t>
      </w:r>
      <w:r>
        <w:t xml:space="preserve">post indicator is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</m:oMath>
      <w:r>
        <w:t xml:space="preserve">; and the estimand is the coefficient on</w:t>
      </w:r>
      <w:r>
        <w:t xml:space="preserve"> </w:t>
      </w:r>
      <m:oMath>
        <m:r>
          <m:rPr>
            <m:nor/>
            <m:sty m:val="p"/>
          </m:rPr>
          <m:t>Post</m:t>
        </m:r>
        <m:r>
          <m:rPr>
            <m:sty m:val="p"/>
          </m:rPr>
          <m:t>×</m:t>
        </m:r>
        <m:r>
          <m:rPr>
            <m:nor/>
            <m:sty m:val="p"/>
          </m:rPr>
          <m:t>Treated</m:t>
        </m:r>
      </m:oMath>
      <w:r>
        <w:t xml:space="preserve">. We stack the nine identified cohorts (19</w:t>
      </w:r>
      <w:r>
        <w:t xml:space="preserve">,</w:t>
      </w:r>
      <w:r>
        <w:t xml:space="preserve">433 anomaly-year</w:t>
      </w:r>
      <w:r>
        <w:t xml:space="preserve"> </w:t>
      </w:r>
      <w:r>
        <w:t xml:space="preserve">observations) and estimate with cohort-anomaly fixed effects, clustering by anomaly.</w:t>
      </w:r>
    </w:p>
    <w:p>
      <w:pPr>
        <w:pStyle w:val="BodyText"/>
      </w:pPr>
      <w:r>
        <w:t xml:space="preserve">Table </w:t>
      </w:r>
      <w:hyperlink w:anchor="tab:stacke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result and it is instructive. With cohort-anomaly fixed</w:t>
      </w:r>
      <w:r>
        <w:t xml:space="preserve"> </w:t>
      </w:r>
      <w:r>
        <w:t xml:space="preserve">effects and a common post indicator, the stacked post-publication effect is</w:t>
      </w:r>
      <w:r>
        <w:t xml:space="preserve"> </w:t>
      </w:r>
      <m:oMath>
        <m:r>
          <m:rPr>
            <m:sty m:val="p"/>
          </m:rPr>
          <m:t>−</m:t>
        </m:r>
        <m:r>
          <m:t>0.374</m:t>
        </m:r>
      </m:oMath>
      <w:r>
        <w:t xml:space="preserve"> </w:t>
      </w:r>
      <w:r>
        <w:t xml:space="preserve">points per</w:t>
      </w:r>
      <w:r>
        <w:t xml:space="preserve"> </w:t>
      </w:r>
      <w:r>
        <w:t xml:space="preserve">month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5.2</m:t>
        </m:r>
      </m:oMath>
      <w:r>
        <w:t xml:space="preserve">): comparing newly published anomalies only to not-yet-published ones, published</w:t>
      </w:r>
      <w:r>
        <w:t xml:space="preserve"> </w:t>
      </w:r>
      <w:r>
        <w:t xml:space="preserve">anomalies do earn substantially less. But once we add cohort</w:t>
      </w:r>
      <m:oMath>
        <m:r>
          <m:rPr>
            <m:sty m:val="p"/>
          </m:rPr>
          <m:t>×</m:t>
        </m:r>
      </m:oMath>
      <w:r>
        <w:t xml:space="preserve">calendar-year fixed</w:t>
      </w:r>
      <w:r>
        <w:t xml:space="preserve"> </w:t>
      </w:r>
      <w:r>
        <w:t xml:space="preserve">effects—so that treated and control anomalies are compared</w:t>
      </w:r>
      <w:r>
        <w:t xml:space="preserve"> </w:t>
      </w:r>
      <w:r>
        <w:rPr>
          <w:i/>
          <w:iCs/>
        </w:rPr>
        <w:t xml:space="preserve">within the same calendar</w:t>
      </w:r>
      <w:r>
        <w:rPr>
          <w:i/>
          <w:iCs/>
        </w:rPr>
        <w:t xml:space="preserve"> </w:t>
      </w:r>
      <w:r>
        <w:rPr>
          <w:i/>
          <w:iCs/>
        </w:rPr>
        <w:t xml:space="preserve">year of the same sub-experiment</w:t>
      </w:r>
      <w:r>
        <w:t xml:space="preserve">—the estimate attenuates to a statistically insignificant</w:t>
      </w:r>
      <w:r>
        <w:t xml:space="preserve"> </w:t>
      </w:r>
      <m:oMath>
        <m:r>
          <m:rPr>
            <m:sty m:val="p"/>
          </m:rPr>
          <m:t>−</m:t>
        </m:r>
        <m:r>
          <m:t>0.053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). The clean design thus delivers the same verdict as the two-way FE panel,</w:t>
      </w:r>
      <w:r>
        <w:t xml:space="preserve"> </w:t>
      </w:r>
      <w:r>
        <w:t xml:space="preserve">now free of the bad-comparison critique: the raw published-versus-unpublished gap is large, but</w:t>
      </w:r>
      <w:r>
        <w:t xml:space="preserve"> </w:t>
      </w:r>
      <w:r>
        <w:t xml:space="preserve">almost all of it is common calendar-time decline in anomaly profits rather than a treatment</w:t>
      </w:r>
      <w:r>
        <w:t xml:space="preserve"> </w:t>
      </w:r>
      <w:r>
        <w:t xml:space="preserve">effect that switches on at each anomaly’s own publication date. This is strong, design-based</w:t>
      </w:r>
      <w:r>
        <w:t xml:space="preserve"> </w:t>
      </w:r>
      <w:r>
        <w:t xml:space="preserve">support for H1 and against a distinct H2 kink.</w:t>
      </w:r>
    </w:p>
    <w:bookmarkEnd w:id="25"/>
    <w:bookmarkStart w:id="26" w:name="sec:ri"/>
    <w:p>
      <w:pPr>
        <w:pStyle w:val="Heading1"/>
      </w:pPr>
      <w:r>
        <w:t xml:space="preserve">Randomization and Timing-Specificity Inference</w:t>
      </w:r>
    </w:p>
    <w:p>
      <w:pPr>
        <w:pStyle w:val="FirstParagraph"/>
      </w:pPr>
      <w:r>
        <w:t xml:space="preserve">Our clustered standard errors rest on asymptotics with 212 anomaly clusters and serially</w:t>
      </w:r>
      <w:r>
        <w:t xml:space="preserve"> </w:t>
      </w:r>
      <w:r>
        <w:t xml:space="preserve">correlated returns;</w:t>
      </w:r>
      <w:r>
        <w:t xml:space="preserve"> </w:t>
      </w:r>
      <w:r>
        <w:t xml:space="preserve"> </w:t>
      </w:r>
      <w:r>
        <w:t xml:space="preserve">shows such inference can overstate significance. More</w:t>
      </w:r>
      <w:r>
        <w:t xml:space="preserve"> </w:t>
      </w:r>
      <w:r>
        <w:t xml:space="preserve">fundamentally, we want to know whether the decay is tied to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publication date or</w:t>
      </w:r>
      <w:r>
        <w:t xml:space="preserve"> </w:t>
      </w:r>
      <w:r>
        <w:t xml:space="preserve">would appear at any later date in an anomaly’s life. We therefore run a randomization /</w:t>
      </w:r>
      <w:r>
        <w:t xml:space="preserve"> </w:t>
      </w:r>
      <w:r>
        <w:t xml:space="preserve">timing-specificity test: holding each anomaly’s real sample-end fixed, we draw a</w:t>
      </w:r>
      <w:r>
        <w:t xml:space="preserve"> </w:t>
      </w:r>
      <w:r>
        <w:rPr>
          <w:i/>
          <w:iCs/>
        </w:rPr>
        <w:t xml:space="preserve">fake</w:t>
      </w:r>
      <w:r>
        <w:t xml:space="preserve"> </w:t>
      </w:r>
      <w:r>
        <w:t xml:space="preserve">publication year uniformly from within that anomaly’s own out-of-sample life</w:t>
      </w:r>
      <w:r>
        <w:t xml:space="preserve"> </w:t>
      </w:r>
      <w:r>
        <w:t xml:space="preserve">(sample-end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through its last observed year), rebuild the post-publication (and nested</w:t>
      </w:r>
      <w:r>
        <w:t xml:space="preserve"> </w:t>
      </w:r>
      <w:r>
        <w:t xml:space="preserve">publication) indicators, and re-estimate the anomaly-fixed-effects panel. Repeating this 500</w:t>
      </w:r>
      <w:r>
        <w:t xml:space="preserve"> </w:t>
      </w:r>
      <w:r>
        <w:t xml:space="preserve">times traces the distribution of the decay coefficient under random within-life event dates,</w:t>
      </w:r>
      <w:r>
        <w:t xml:space="preserve"> </w:t>
      </w:r>
      <w:r>
        <w:t xml:space="preserve">against which we compare the actual estimate.</w:t>
      </w:r>
    </w:p>
    <w:p>
      <w:pPr>
        <w:pStyle w:val="BodyText"/>
      </w:pPr>
      <w:r>
        <w:t xml:space="preserve">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 the result, and the correct reading is</w:t>
      </w:r>
      <w:r>
        <w:t xml:space="preserve"> </w:t>
      </w:r>
      <w:r>
        <w:t xml:space="preserve">subtle. Because anomaly returns drift downward over each predictor’s life, 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later</w:t>
      </w:r>
      <w:r>
        <w:t xml:space="preserve"> </w:t>
      </w:r>
      <w:r>
        <w:t xml:space="preserve">date already produces a negative coefficient—the placebo mean level-decay is</w:t>
      </w:r>
      <w:r>
        <w:t xml:space="preserve"> </w:t>
      </w:r>
      <m:oMath>
        <m:r>
          <m:rPr>
            <m:sty m:val="p"/>
          </m:rPr>
          <m:t>−</m:t>
        </m:r>
        <m:r>
          <m:t>0.250</m:t>
        </m:r>
      </m:oMath>
      <w:r>
        <w:t xml:space="preserve">, almost</w:t>
      </w:r>
      <w:r>
        <w:t xml:space="preserve"> </w:t>
      </w:r>
      <w:r>
        <w:t xml:space="preserve">identical to the actual</w:t>
      </w:r>
      <w:r>
        <w:t xml:space="preserve"> </w:t>
      </w:r>
      <m:oMath>
        <m:r>
          <m:rPr>
            <m:sty m:val="p"/>
          </m:rPr>
          <m:t>−</m:t>
        </m:r>
        <m:r>
          <m:t>0.259</m:t>
        </m:r>
      </m:oMath>
      <w:r>
        <w:t xml:space="preserve">. The true date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special for the level of</w:t>
      </w:r>
      <w:r>
        <w:t xml:space="preserve"> </w:t>
      </w:r>
      <w:r>
        <w:t xml:space="preserve">the decline (randomization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0.31</m:t>
        </m:r>
      </m:oMath>
      <w:r>
        <w:t xml:space="preserve">): H1 is a pervasive out-of-sample phenomenon, not something</w:t>
      </w:r>
      <w:r>
        <w:t xml:space="preserve"> </w:t>
      </w:r>
      <w:r>
        <w:t xml:space="preserve">that switches on at the exact publication month. For the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effect (the extra</w:t>
      </w:r>
      <w:r>
        <w:t xml:space="preserve"> </w:t>
      </w:r>
      <w:r>
        <w:t xml:space="preserve">drop beyond general out-of-sample decay), the actual estimate</w:t>
      </w:r>
      <w:r>
        <w:t xml:space="preserve"> </w:t>
      </w:r>
      <m:oMath>
        <m:r>
          <m:rPr>
            <m:sty m:val="p"/>
          </m:rPr>
          <m:t>−</m:t>
        </m:r>
        <m:r>
          <m:t>0.127</m:t>
        </m:r>
      </m:oMath>
      <w:r>
        <w:t xml:space="preserve"> </w:t>
      </w:r>
      <w:r>
        <w:t xml:space="preserve">lies in the left tail of</w:t>
      </w:r>
      <w:r>
        <w:t xml:space="preserve"> </w:t>
      </w:r>
      <w:r>
        <w:t xml:space="preserve">the placebo distribution (placebo mean</w:t>
      </w:r>
      <w:r>
        <w:t xml:space="preserve"> </w:t>
      </w:r>
      <m:oMath>
        <m:r>
          <m:rPr>
            <m:sty m:val="p"/>
          </m:rPr>
          <m:t>−</m:t>
        </m:r>
        <m:r>
          <m:t>0.077</m:t>
        </m:r>
      </m:oMath>
      <w:r>
        <w:t xml:space="preserve">), but only marginally so (randomization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). Randomization inference thus reaches the same conclusion as the stacked design</w:t>
      </w:r>
      <w:r>
        <w:t xml:space="preserve"> </w:t>
      </w:r>
      <w:r>
        <w:t xml:space="preserve">through an entirely different route: the level decay is real and robust, while a distinct</w:t>
      </w:r>
      <w:r>
        <w:t xml:space="preserve"> </w:t>
      </w:r>
      <w:r>
        <w:rPr>
          <w:i/>
          <w:iCs/>
        </w:rPr>
        <w:t xml:space="preserve">publication-timed</w:t>
      </w:r>
      <w:r>
        <w:t xml:space="preserve"> </w:t>
      </w:r>
      <w:r>
        <w:t xml:space="preserve">effect is at best weakly identified. This is the design-based version of</w:t>
      </w:r>
      <w:r>
        <w:t xml:space="preserve"> </w:t>
      </w:r>
      <w:r>
        <w:t xml:space="preserve">our headline qualification, and we present it as such rather than forcing a tail reading.</w:t>
      </w:r>
    </w:p>
    <w:bookmarkEnd w:id="26"/>
    <w:bookmarkStart w:id="27" w:name="sec:power"/>
    <w:p>
      <w:pPr>
        <w:pStyle w:val="Heading1"/>
      </w:pPr>
      <w:r>
        <w:t xml:space="preserve">Is the Null Informative? Power and Minimum Detectable Effects</w:t>
      </w:r>
    </w:p>
    <w:p>
      <w:pPr>
        <w:pStyle w:val="FirstParagraph"/>
      </w:pPr>
      <w:r>
        <w:t xml:space="preserve">A null is only interesting if the design could have detected a real effect. 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reports, for the three quantities where we report a weak or null result, the minimum detectable</w:t>
      </w:r>
      <w:r>
        <w:t xml:space="preserve"> </w:t>
      </w:r>
      <w:r>
        <w:t xml:space="preserve">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expressed in percent per month and as a share of the pooled</w:t>
      </w:r>
      <w:r>
        <w:t xml:space="preserve"> </w:t>
      </w:r>
      <w:r>
        <w:t xml:space="preserve">in-sample mean (0.581%). The headline decay is well powered: its MDE is</w:t>
      </w:r>
      <w:r>
        <w:t xml:space="preserve"> </w:t>
      </w:r>
      <m:oMath>
        <m:r>
          <m:t>0.096</m:t>
        </m:r>
      </m:oMath>
      <w:r>
        <w:t xml:space="preserve">, only 16.6% of</w:t>
      </w:r>
      <w:r>
        <w:t xml:space="preserve"> </w:t>
      </w:r>
      <w:r>
        <w:t xml:space="preserve">the in-sample mean, far below the estimated</w:t>
      </w:r>
      <w:r>
        <w:t xml:space="preserve"> </w:t>
      </w:r>
      <m:oMath>
        <m:r>
          <m:rPr>
            <m:sty m:val="p"/>
          </m:rPr>
          <m:t>−</m:t>
        </m:r>
        <m:r>
          <m:t>0.272</m:t>
        </m:r>
      </m:oMath>
      <w:r>
        <w:t xml:space="preserve">. The incremental publication effect has an</w:t>
      </w:r>
      <w:r>
        <w:t xml:space="preserve"> </w:t>
      </w:r>
      <w:r>
        <w:t xml:space="preserve">MDE of</w:t>
      </w:r>
      <w:r>
        <w:t xml:space="preserve"> </w:t>
      </w:r>
      <m:oMath>
        <m:r>
          <m:t>0.160</m:t>
        </m:r>
      </m:oMath>
      <w:r>
        <w:t xml:space="preserve"> </w:t>
      </w:r>
      <w:r>
        <w:t xml:space="preserve">(27.5% of the in-sample mean); the design could have detected an</w:t>
      </w:r>
      <w:r>
        <w:t xml:space="preserve"> </w:t>
      </w:r>
      <w:r>
        <w:t xml:space="preserve">extra-at-publication drop of that size, so the fragile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an informative upper bound—any</w:t>
      </w:r>
      <w:r>
        <w:t xml:space="preserve"> </w:t>
      </w:r>
      <w:r>
        <w:t xml:space="preserve">distinct publication kink is at most about a quarter of the in-sample premium, not a large</w:t>
      </w:r>
      <w:r>
        <w:t xml:space="preserve"> </w:t>
      </w:r>
      <w:r>
        <w:t xml:space="preserve">effect we simply missed. The risk-versus-mispricing interaction is the least powered: its MDE is</w:t>
      </w:r>
      <w:r>
        <w:t xml:space="preserve"> </w:t>
      </w:r>
      <m:oMath>
        <m:r>
          <m:t>0.228</m:t>
        </m:r>
      </m:oMath>
      <w:r>
        <w:t xml:space="preserve">, or 39.3% of the in-sample mean. The design can rule out only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framing</w:t>
      </w:r>
      <w:r>
        <w:t xml:space="preserve"> </w:t>
      </w:r>
      <w:r>
        <w:t xml:space="preserve">differences; a moderate but economically meaningful gap between risk- and mispricing-framed</w:t>
      </w:r>
      <w:r>
        <w:t xml:space="preserve"> </w:t>
      </w:r>
      <w:r>
        <w:t xml:space="preserve">anomalies would be undetectable with the coarse category proxy and only 27 risk-framed</w:t>
      </w:r>
      <w:r>
        <w:t xml:space="preserve"> </w:t>
      </w:r>
      <w:r>
        <w:t xml:space="preserve">anomalies. This is the quantitative case for the hand-collection: sharpening H3 needs a</w:t>
      </w:r>
      <w:r>
        <w:t xml:space="preserve"> </w:t>
      </w:r>
      <w:r>
        <w:t xml:space="preserve">better-measured framing variable, not merely more data, and that variable is the student’s to</w:t>
      </w:r>
      <w:r>
        <w:t xml:space="preserve"> </w:t>
      </w:r>
      <w:r>
        <w:t xml:space="preserve">build.</w:t>
      </w:r>
    </w:p>
    <w:bookmarkEnd w:id="27"/>
    <w:bookmarkStart w:id="28" w:name="sec:rob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probes the H1 result. (i) Rescaling each anomaly’s return so that its</w:t>
      </w:r>
      <w:r>
        <w:t xml:space="preserve"> </w:t>
      </w:r>
      <w:r>
        <w:t xml:space="preserve">own in-sample mean equals 100 (a scale-free measure), the post-publication level is</w:t>
      </w:r>
      <w:r>
        <w:t xml:space="preserve"> </w:t>
      </w:r>
      <m:oMath>
        <m:r>
          <m:rPr>
            <m:sty m:val="p"/>
          </m:rPr>
          <m:t>−</m:t>
        </m:r>
        <m:r>
          <m:t>39.8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), i.e. about 40% below in-sample—consistent with the equal-weighted 51%. (ii)</w:t>
      </w:r>
      <w:r>
        <w:t xml:space="preserve"> </w:t>
      </w:r>
      <w:r>
        <w:t xml:space="preserve">Restricting to the modern 1963-onward sample strengthens the effect (</w:t>
      </w:r>
      <m:oMath>
        <m:r>
          <m:rPr>
            <m:sty m:val="p"/>
          </m:rPr>
          <m:t>−</m:t>
        </m:r>
        <m:r>
          <m:t>0.318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9.3</m:t>
        </m:r>
      </m:oMath>
      <w:r>
        <w:t xml:space="preserve">).</w:t>
      </w:r>
      <w:r>
        <w:t xml:space="preserve"> </w:t>
      </w:r>
      <w:r>
        <w:t xml:space="preserve">(iii) Requiring at least 36 post-publication months per anomaly leaves the estimate essentially</w:t>
      </w:r>
      <w:r>
        <w:t xml:space="preserve"> </w:t>
      </w:r>
      <w:r>
        <w:t xml:space="preserve">unchanged (</w:t>
      </w:r>
      <m:oMath>
        <m:r>
          <m:rPr>
            <m:sty m:val="p"/>
          </m:rPr>
          <m:t>−</m:t>
        </m:r>
        <m:r>
          <m:t>0.272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7.9</m:t>
        </m:r>
      </m:oMath>
      <w:r>
        <w:t xml:space="preserve">). (iv) Winsorizing returns at 1/99 gives</w:t>
      </w:r>
      <w:r>
        <w:t xml:space="preserve"> </w:t>
      </w:r>
      <m:oMath>
        <m:r>
          <m:rPr>
            <m:sty m:val="p"/>
          </m:rPr>
          <m:t>−</m:t>
        </m:r>
        <m:r>
          <m:t>0.236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8.1</m:t>
        </m:r>
      </m:oMath>
      <w:r>
        <w:t xml:space="preserve">).</w:t>
      </w:r>
      <w:r>
        <w:t xml:space="preserve"> </w:t>
      </w:r>
      <w:r>
        <w:t xml:space="preserve">(v) A placebo that back-dates each publication by 12 years yields a post-</w:t>
      </w:r>
      <w:r>
        <w:t xml:space="preserve">“publication”</w:t>
      </w:r>
      <w:r>
        <w:t xml:space="preserve"> </w:t>
      </w:r>
      <w:r>
        <w:t xml:space="preserve">coefficient of only</w:t>
      </w:r>
      <w:r>
        <w:t xml:space="preserve"> </w:t>
      </w:r>
      <m:oMath>
        <m:r>
          <m:rPr>
            <m:sty m:val="p"/>
          </m:rPr>
          <m:t>−</m:t>
        </m:r>
        <m:r>
          <m:t>0.108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)—materially weaker than the true</w:t>
      </w:r>
      <w:r>
        <w:t xml:space="preserve"> </w:t>
      </w:r>
      <m:oMath>
        <m:r>
          <m:rPr>
            <m:sty m:val="p"/>
          </m:rPr>
          <m:t>−</m:t>
        </m:r>
        <m:r>
          <m:t>0.244</m:t>
        </m:r>
      </m:oMath>
      <w:r>
        <w:t xml:space="preserve">—indicating</w:t>
      </w:r>
      <w:r>
        <w:t xml:space="preserve"> </w:t>
      </w:r>
      <w:r>
        <w:t xml:space="preserve">that the estimated decline is tied to the actual out-of-sample/publication timing rather than</w:t>
      </w:r>
      <w:r>
        <w:t xml:space="preserve"> </w:t>
      </w:r>
      <w:r>
        <w:t xml:space="preserve">being a mechanical artifact of any arbitrary date. The out-of-sample decay in anomaly returns</w:t>
      </w:r>
      <w:r>
        <w:t xml:space="preserve"> </w:t>
      </w:r>
      <w:r>
        <w:t xml:space="preserve">is thus a stable feature of the data; what remains genuinely uncertain is the finer</w:t>
      </w:r>
      <w:r>
        <w:t xml:space="preserve"> </w:t>
      </w:r>
      <w:r>
        <w:t xml:space="preserve">attribution to publication per se and the risk-versus-mispricing split.</w:t>
      </w:r>
    </w:p>
    <w:bookmarkEnd w:id="28"/>
    <w:bookmarkStart w:id="50" w:name="sec:tasks"/>
    <w:p>
      <w:pPr>
        <w:pStyle w:val="Heading1"/>
      </w:pPr>
      <w:r>
        <w:t xml:space="preserve">Conclusion and the pivotal hand-collection task</w:t>
      </w:r>
    </w:p>
    <w:p>
      <w:pPr>
        <w:pStyle w:val="FirstParagraph"/>
      </w:pPr>
      <w:r>
        <w:t xml:space="preserve">Using the full 212-predictor Open Source Asset Pricing library through 2024, we confirm the</w:t>
      </w:r>
      <w:r>
        <w:t xml:space="preserve"> </w:t>
      </w:r>
      <w:r>
        <w:t xml:space="preserve">central</w:t>
      </w:r>
      <w:r>
        <w:t xml:space="preserve"> </w:t>
      </w:r>
      <w:r>
        <w:t xml:space="preserve"> </w:t>
      </w:r>
      <w:r>
        <w:t xml:space="preserve">finding: anomaly long-short returns fall by roughly half from</w:t>
      </w:r>
      <w:r>
        <w:t xml:space="preserve"> </w:t>
      </w:r>
      <w:r>
        <w:t xml:space="preserve">their in-sample to their post-publication regime (</w:t>
      </w:r>
      <m:oMath>
        <m:r>
          <m:t>0.61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0.30</m:t>
        </m:r>
        <m:r>
          <m:rPr>
            <m:sty m:val="p"/>
          </m:rPr>
          <m:t>%</m:t>
        </m:r>
      </m:oMath>
      <w:r>
        <w:t xml:space="preserve"> </w:t>
      </w:r>
      <w:r>
        <w:t xml:space="preserve">per month;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7.6</m:t>
        </m:r>
      </m:oMath>
      <w:r>
        <w:t xml:space="preserve">),</w:t>
      </w:r>
      <w:r>
        <w:t xml:space="preserve"> </w:t>
      </w:r>
      <w:r>
        <w:t xml:space="preserve">and the decline is robust to fixed effects, winsorization, sample period, and a timing placebo.</w:t>
      </w:r>
      <w:r>
        <w:t xml:space="preserve"> </w:t>
      </w:r>
      <w:r>
        <w:t xml:space="preserve">The decay is strongly heterogeneous in observable strength—high in-sample-return anomalies</w:t>
      </w:r>
      <w:r>
        <w:t xml:space="preserve"> </w:t>
      </w:r>
      <w:r>
        <w:t xml:space="preserve">decay three times as much—consistent with (though not proof of) an arbitrage mechanism.</w:t>
      </w:r>
      <w:r>
        <w:t xml:space="preserve"> </w:t>
      </w:r>
      <w:r>
        <w:t xml:space="preserve">Two design-based tests we did not previously have both point the same way on the sharper causal</w:t>
      </w:r>
      <w:r>
        <w:t xml:space="preserve"> </w:t>
      </w:r>
      <w:r>
        <w:t xml:space="preserve">claim: a not-yet-published-control stacked difference-in-differences and a within-life</w:t>
      </w:r>
      <w:r>
        <w:t xml:space="preserve"> </w:t>
      </w:r>
      <w:r>
        <w:t xml:space="preserve">randomization test agree that almost all of the decline is a general out-of-sample /</w:t>
      </w:r>
      <w:r>
        <w:t xml:space="preserve"> </w:t>
      </w:r>
      <w:r>
        <w:t xml:space="preserve">calendar-time phenomenon, with at most a marginal drop timed to publication itself. And a power</w:t>
      </w:r>
      <w:r>
        <w:t xml:space="preserve"> </w:t>
      </w:r>
      <w:r>
        <w:t xml:space="preserve">analysis shows the framing null is informative only against large differences.</w:t>
      </w:r>
    </w:p>
    <w:p>
      <w:pPr>
        <w:pStyle w:val="BodyText"/>
      </w:pPr>
      <w:r>
        <w:t xml:space="preserve">Two questions the data alone cannot settle define the project’s human contribution. First,</w:t>
      </w:r>
      <w:r>
        <w:t xml:space="preserve"> </w:t>
      </w:r>
      <w:r>
        <w:t xml:space="preserve">whether there is a discrete</w:t>
      </w:r>
      <w:r>
        <w:t xml:space="preserve"> </w:t>
      </w:r>
      <w:r>
        <w:rPr>
          <w:i/>
          <w:iCs/>
        </w:rPr>
        <w:t xml:space="preserve">publication</w:t>
      </w:r>
      <w:r>
        <w:t xml:space="preserve"> </w:t>
      </w:r>
      <w:r>
        <w:t xml:space="preserve">effect beyond general out-of-sample decay is not</w:t>
      </w:r>
      <w:r>
        <w:t xml:space="preserve"> </w:t>
      </w:r>
      <w:r>
        <w:t xml:space="preserve">robustly identified from the metadata, because publication dates cluster in time; pinning down</w:t>
      </w:r>
      <w:r>
        <w:t xml:space="preserve"> </w:t>
      </w:r>
      <w:r>
        <w:t xml:space="preserve">each study’s</w:t>
      </w:r>
      <w:r>
        <w:t xml:space="preserve"> </w:t>
      </w:r>
      <w:r>
        <w:rPr>
          <w:i/>
          <w:iCs/>
        </w:rPr>
        <w:t xml:space="preserve">exact last sample month</w:t>
      </w:r>
      <w:r>
        <w:t xml:space="preserve"> </w:t>
      </w:r>
      <w:r>
        <w:t xml:space="preserve">(not just year), and the working-paper circulation</w:t>
      </w:r>
      <w:r>
        <w:t xml:space="preserve"> </w:t>
      </w:r>
      <w:r>
        <w:t xml:space="preserve">date at which arbitrage could have begun, would sharpen the event timing that our stacked and</w:t>
      </w:r>
      <w:r>
        <w:t xml:space="preserve"> </w:t>
      </w:r>
      <w:r>
        <w:t xml:space="preserve">randomization designs show is currently blurred. Second, and more fundamentally, the</w:t>
      </w:r>
      <w:r>
        <w:t xml:space="preserve"> </w:t>
      </w:r>
      <w:r>
        <w:t xml:space="preserve">risk-versus-mispricing test (H3) cannot be run on a mechanism taxonomy—it needs each original</w:t>
      </w:r>
      <w:r>
        <w:t xml:space="preserve"> </w:t>
      </w:r>
      <w:r>
        <w:t xml:space="preserve">article’s</w:t>
      </w:r>
      <w:r>
        <w:t xml:space="preserve"> </w:t>
      </w:r>
      <w:r>
        <w:rPr>
          <w:i/>
          <w:iCs/>
        </w:rPr>
        <w:t xml:space="preserve">stated economic interpretation</w:t>
      </w:r>
      <w:r>
        <w:t xml:space="preserve">, hand-read from the paper, and our power</w:t>
      </w:r>
      <w:r>
        <w:t xml:space="preserve"> </w:t>
      </w:r>
      <w:r>
        <w:t xml:space="preserve">analysis shows the coarse proxy can only detect large framing gaps. We hand this to the student:</w:t>
      </w:r>
      <w:r>
        <w:t xml:space="preserve"> </w:t>
      </w:r>
      <w:r>
        <w:t xml:space="preserve">recording the exact publication timing and risk-versus-mispricing framing for roughly 60</w:t>
      </w:r>
      <w:r>
        <w:t xml:space="preserve"> </w:t>
      </w:r>
      <w:r>
        <w:t xml:space="preserve">flagship anomalies is what turns this robust-but-coarse replication into a sharp test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anomalies die when they are published.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Callaway, B., Sant’Anna, P.H.C., 2021.</w:t>
      </w:r>
      <w:r>
        <w:t xml:space="preserve"> </w:t>
      </w:r>
      <w:r>
        <w:t xml:space="preserve">Difference-in-differences with multiple time periods. Journal of Econometrics 225, 200–230.</w:t>
      </w:r>
      <w:r>
        <w:t xml:space="preserve"> </w:t>
      </w:r>
      <w:r>
        <w:t xml:space="preserve">Cengiz, D., Dube, A., Lindner, A., Zipperer, B., 2019.</w:t>
      </w:r>
      <w:r>
        <w:t xml:space="preserve"> </w:t>
      </w:r>
      <w:r>
        <w:t xml:space="preserve">The effect of minimum wages on low-wage jobs. Quarterly Journal of Economics 134, 1405–1454.</w:t>
      </w:r>
      <w:r>
        <w:t xml:space="preserve"> </w:t>
      </w:r>
      <w:r>
        <w:t xml:space="preserve">Chen, A.Y., Zimmermann, T., 2022.</w:t>
      </w:r>
      <w:r>
        <w:t xml:space="preserve"> </w:t>
      </w:r>
      <w:r>
        <w:t xml:space="preserve">Open source cross-sectional asset pricing. Critical Finance Review 11, 207–264.</w:t>
      </w:r>
      <w:r>
        <w:t xml:space="preserve"> </w:t>
      </w:r>
      <w:r>
        <w:t xml:space="preserve">Chordia, T., Subrahmanyam, A., Tong, Q., 2014.</w:t>
      </w:r>
      <w:r>
        <w:t xml:space="preserve"> </w:t>
      </w:r>
      <w:r>
        <w:t xml:space="preserve">Have capital market anomalies attenuated in the recent era of high liquidity and trading activity?</w:t>
      </w:r>
      <w:r>
        <w:t xml:space="preserve"> </w:t>
      </w:r>
      <w:r>
        <w:t xml:space="preserve">Journal of Accounting and Economics 58, 41–58.</w:t>
      </w:r>
      <w:r>
        <w:t xml:space="preserve"> </w:t>
      </w:r>
      <w:r>
        <w:t xml:space="preserve">Cochrane, J.H., 2011.</w:t>
      </w:r>
      <w:r>
        <w:t xml:space="preserve"> </w:t>
      </w:r>
      <w:r>
        <w:t xml:space="preserve">Presidential address: discount rates. Journal of Finance 66, 1047–1108.</w:t>
      </w:r>
      <w:r>
        <w:t xml:space="preserve"> </w:t>
      </w:r>
      <w:r>
        <w:t xml:space="preserve">Fama, E.F., French, K.R., 1996.</w:t>
      </w:r>
      <w:r>
        <w:t xml:space="preserve"> </w:t>
      </w:r>
      <w:r>
        <w:t xml:space="preserve">Multifactor explanations of asset pricing anomalies. Journal of Finance 51, 55–84.</w:t>
      </w:r>
      <w:r>
        <w:t xml:space="preserve"> </w:t>
      </w:r>
      <w:r>
        <w:t xml:space="preserve">Goodman-Bacon, A., 2021.</w:t>
      </w:r>
      <w:r>
        <w:t xml:space="preserve"> </w:t>
      </w:r>
      <w:r>
        <w:t xml:space="preserve">Difference-in-differences with variation in treatment timing. Journal of Econometrics 225, 254–277.</w:t>
      </w:r>
      <w:r>
        <w:t xml:space="preserve"> </w:t>
      </w:r>
      <w:r>
        <w:t xml:space="preserve">Green, J., Hand, J.R.M., Zhang, X.F., 2017.</w:t>
      </w:r>
      <w:r>
        <w:t xml:space="preserve"> </w:t>
      </w:r>
      <w:r>
        <w:t xml:space="preserve">The characteristics that provide independent information about average U.S. monthly stock returns.</w:t>
      </w:r>
      <w:r>
        <w:t xml:space="preserve"> </w:t>
      </w:r>
      <w:r>
        <w:t xml:space="preserve">Review of Financial Studies 30, 4389–4436.</w:t>
      </w:r>
      <w:r>
        <w:t xml:space="preserve"> </w:t>
      </w:r>
      <w:r>
        <w:t xml:space="preserve">Harvey, C.R., Liu, Y., Zhu, H., 2016.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 </w:t>
      </w:r>
      <w:r>
        <w:t xml:space="preserve">and the cross-section of expected returns. Review of Financial Studies 29, 5–68.</w:t>
      </w:r>
      <w:r>
        <w:t xml:space="preserve"> </w:t>
      </w:r>
      <w:r>
        <w:t xml:space="preserve">Hou, K., Xue, C., Zhang, L., 2020.</w:t>
      </w:r>
      <w:r>
        <w:t xml:space="preserve"> </w:t>
      </w:r>
      <w:r>
        <w:t xml:space="preserve">Replicating anomalies. Review of Financial Studies 33, 2019–2133.</w:t>
      </w:r>
      <w:r>
        <w:t xml:space="preserve"> </w:t>
      </w:r>
      <w:r>
        <w:t xml:space="preserve">Ioannidis, J.P.A., Stanley, T.D., Doucouliagos, H.,</w:t>
      </w:r>
      <w:r>
        <w:t xml:space="preserve"> </w:t>
      </w:r>
      <w:r>
        <w:t xml:space="preserve">2017. The power of bias in economics research. Economic Journal 127, F236–F265.</w:t>
      </w:r>
      <w:r>
        <w:t xml:space="preserve"> </w:t>
      </w:r>
      <w:r>
        <w:t xml:space="preserve">Jacobs, H., Müller, S., 2020.</w:t>
      </w:r>
      <w:r>
        <w:t xml:space="preserve"> </w:t>
      </w:r>
      <w:r>
        <w:t xml:space="preserve">Anomalies across the globe: once public, no longer existent? Journal of Financial Economics 135, 213–230.</w:t>
      </w:r>
      <w:r>
        <w:t xml:space="preserve"> </w:t>
      </w:r>
      <w:r>
        <w:t xml:space="preserve">McLean, R.D., Pontiff, J., 2016.</w:t>
      </w:r>
      <w:r>
        <w:t xml:space="preserve"> </w:t>
      </w:r>
      <w:r>
        <w:t xml:space="preserve">Does academic research destroy stock return predictability? Journal of Finance 71, 5–32.</w:t>
      </w:r>
      <w:r>
        <w:t xml:space="preserve"> </w:t>
      </w:r>
      <w:r>
        <w:t xml:space="preserve">Shleifer, A., Vishny, R.W., 1997.</w:t>
      </w:r>
      <w:r>
        <w:t xml:space="preserve"> </w:t>
      </w:r>
      <w:r>
        <w:t xml:space="preserve">The limits of arbitrage. Journal of Finance 52, 35–55.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29" w:name="tab:sumstats"/>
    <w:p>
      <w:pPr>
        <w:pStyle w:val="TableCaption"/>
      </w:pPr>
      <w:r>
        <w:t xml:space="preserve">Sample composition by publication regime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mposition by publication regim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Anomaly-months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Anomalies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in-samp.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Post-sample (pre-pub.)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Post-publication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57.9</w:t>
            </w:r>
          </w:p>
        </w:tc>
      </w:tr>
    </w:tbl>
    <w:bookmarkEnd w:id="2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Monthly long-short returns (in %) for 212</w:t>
      </w:r>
      <w:r>
        <w:t xml:space="preserve"> </w:t>
      </w:r>
      <w:r>
        <w:t xml:space="preserve">Open Source Asset Pricing predictors, 1926–2024. Regime assigned from each study’s</w:t>
      </w:r>
      <w:r>
        <w:t xml:space="preserve"> </w:t>
      </w:r>
      <w:r>
        <w:t xml:space="preserve">sample-end year and publication year.</w:t>
      </w:r>
      <w:r>
        <w:t xml:space="preserve"> </w:t>
      </w:r>
      <w:r>
        <w:t xml:space="preserve">“% of in-samp.”</w:t>
      </w:r>
      <w:r>
        <w:t xml:space="preserve"> </w:t>
      </w:r>
      <w:r>
        <w:t xml:space="preserve">is the pooled regime mean divided by</w:t>
      </w:r>
      <w:r>
        <w:t xml:space="preserve"> </w:t>
      </w:r>
      <w:r>
        <w:t xml:space="preserve">the pooled in-sample mean.</w:t>
      </w:r>
    </w:p>
    <w:bookmarkStart w:id="30" w:name="tab:regime"/>
    <w:p>
      <w:pPr>
        <w:pStyle w:val="TableCaption"/>
      </w:pPr>
      <w:r>
        <w:t xml:space="preserve">Anomaly returns fall out of sample and again after publication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Anomaly returns fall out of sample and again after publication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Equal-weighted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in-samp.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Post-sample (pre-pub.)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Post-publication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49.3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Paired within-anomaly declines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Post-sample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In-sample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-0.197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(-3.1)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-32.1%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Post-pub.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In-sample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-0.312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(-7.6)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-50.7%</w:t>
            </w:r>
          </w:p>
        </w:tc>
      </w:tr>
    </w:tbl>
    <w:bookmarkEnd w:id="3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Equal-weighted mean is the cross-anomaly average</w:t>
      </w:r>
      <w:r>
        <w:t xml:space="preserve"> </w:t>
      </w:r>
      <w:r>
        <w:t xml:space="preserve">of each anomaly’s within-regime mean;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 the mean across the 212 anomalies. Paired</w:t>
      </w:r>
      <w:r>
        <w:t xml:space="preserve"> </w:t>
      </w:r>
      <w:r>
        <w:t xml:space="preserve">declines difference each anomaly’s regime mean from its own in-sample mean.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1" w:name="tab:panel"/>
    <w:p>
      <w:pPr>
        <w:pStyle w:val="TableCaption"/>
      </w:pPr>
      <w:r>
        <w:t xml:space="preserve">Panel regressions: post-sample and post-publication decay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anel regressions: post-sample and post-publication decay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Post-sample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Pub. (extra)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No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-0.151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-0.244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(-6.43)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(-1.59)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Anomaly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-0.272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-0.127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(-7.90)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Anomaly + 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(-3.57)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Anomaly + Month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-0.245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(-3.50)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the monthly long-short return (%).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coefficients on mutually exclusive post-sample and post-publication indicators</w:t>
      </w:r>
      <w:r>
        <w:t xml:space="preserve"> </w:t>
      </w:r>
      <w:r>
        <w:t xml:space="preserve">(base = in-sample).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extra-at-publication coefficient from the nested</w:t>
      </w:r>
      <w:r>
        <w:t xml:space="preserve"> </w:t>
      </w:r>
      <w:r>
        <w:t xml:space="preserve">out-of-sample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publication specification</w:t>
      </w:r>
      <w:r>
        <w:t xml:space="preserve"> </w:t>
      </w:r>
      <w:r>
        <w:t xml:space="preserve">, estimated under the</w:t>
      </w:r>
      <w:r>
        <w:t xml:space="preserve"> </w:t>
      </w:r>
      <w:r>
        <w:t xml:space="preserve">same fixed effects. SE clustered by anomaly in (1)–(2); two-way by anomaly and month in</w:t>
      </w:r>
      <w:r>
        <w:t xml:space="preserve"> </w:t>
      </w:r>
      <w:r>
        <w:t xml:space="preserve">(3)–(4).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2" w:name="tab:hetero"/>
    <w:p>
      <w:pPr>
        <w:pStyle w:val="TableCaption"/>
      </w:pPr>
      <w:r>
        <w:t xml:space="preserve">Framing heterogeneity: no reliable risk-vs-mispricing difference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aming heterogeneity: no reliable risk-vs-mispricing differenc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Implied decay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</w:t>
            </w:r>
            <w:r>
              <w:t xml:space="preserve"> </w:t>
            </w:r>
            <w:r>
              <w:t xml:space="preserve">Risk 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(mispr.)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Mispr.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risk proxy (incl. liquidity)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-0.242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(-5.71)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 risk proxy (excl. liquidity)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-0.254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(-6.23)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the monthly long-short return (%),</w:t>
      </w:r>
      <w:r>
        <w:t xml:space="preserve"> </w:t>
      </w:r>
      <w:r>
        <w:t xml:space="preserve">regressed on post-sample, post-publication, their interactions with the risk-framed proxy, and</w:t>
      </w:r>
      <w:r>
        <w:t xml:space="preserve"> </w:t>
      </w:r>
      <w:r>
        <w:t xml:space="preserve">the risk main effect; SE clustered by anomaly.</w:t>
      </w:r>
      <w:r>
        <w:t xml:space="preserve"> </w:t>
      </w:r>
      <w:r>
        <w:t xml:space="preserve">“Implied decay”</w:t>
      </w:r>
      <w:r>
        <w:t xml:space="preserve"> </w:t>
      </w:r>
      <w:r>
        <w:t xml:space="preserve">is the post-publication</w:t>
      </w:r>
      <w:r>
        <w:t xml:space="preserve"> </w:t>
      </w:r>
      <w:r>
        <w:t xml:space="preserve">coefficient for each group.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3" w:name="tab:hetero-ext"/>
    <w:p>
      <w:pPr>
        <w:pStyle w:val="TableCaption"/>
      </w:pPr>
      <w:r>
        <w:t xml:space="preserve">Heterogeneity of the decay by observable anomaly strength (H4)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Heterogeneity of the decay by observable anomaly strength (H4)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Anom.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(obs., pre-set)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(low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high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(high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lo/hi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in-sample 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-0.280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102/110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(-4.00)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(-4.30)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in-sample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-0.201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-0.160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97/91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(-5.26)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Top-3 journal (JF/JFE/RFS)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+0.049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79/133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(-8.99)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(+0.83)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era (pub.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-0.217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-0.117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102/110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(-4.15)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(-1.77)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adds</w:t>
      </w:r>
      <w:r>
        <w:t xml:space="preserve"> </w:t>
      </w:r>
      <m:oMath>
        <m:r>
          <m:rPr>
            <m:nor/>
            <m:sty m:val="p"/>
          </m:rPr>
          <m:t>PostPub</m:t>
        </m:r>
        <m:r>
          <m:rPr>
            <m:sty m:val="p"/>
          </m:rPr>
          <m:t>×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high 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(and the corresponding post-sample interaction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main effect) to equation </w:t>
      </w:r>
      <w:hyperlink w:anchor="eq:main">
        <w:r>
          <w:rPr>
            <w:rStyle w:val="Hyperlink"/>
          </w:rPr>
          <w:t xml:space="preserve">[eq:main]</w:t>
        </w:r>
      </w:hyperlink>
      <w:r>
        <w:t xml:space="preserve"> </w:t>
      </w:r>
      <w:r>
        <w:t xml:space="preserve">with anomaly fixed effects; SE clustered by</w:t>
      </w:r>
      <w:r>
        <w:t xml:space="preserve"> </w:t>
      </w:r>
      <w:r>
        <w:t xml:space="preserve">anomaly. Columns report the post-publication decay for the low-</w:t>
      </w:r>
      <m:oMath>
        <m:r>
          <m:t>M</m:t>
        </m:r>
      </m:oMath>
      <w:r>
        <w:t xml:space="preserve"> </w:t>
      </w:r>
      <w:r>
        <w:t xml:space="preserve">group, the extra decay for</w:t>
      </w:r>
      <w:r>
        <w:t xml:space="preserve"> </w:t>
      </w:r>
      <w:r>
        <w:t xml:space="preserve">the high-</w:t>
      </w:r>
      <m:oMath>
        <m:r>
          <m:t>M</m:t>
        </m:r>
      </m:oMath>
      <w:r>
        <w:t xml:space="preserve"> </w:t>
      </w:r>
      <w:r>
        <w:t xml:space="preserve">group, their sum, and the number of anomalies in each group. Moderators are</w:t>
      </w:r>
      <w:r>
        <w:t xml:space="preserve"> </w:t>
      </w:r>
      <w:r>
        <w:t xml:space="preserve">observable metadata fixed at the study level. Sorting on in-sample strength mechanically induces</w:t>
      </w:r>
      <w:r>
        <w:t xml:space="preserve"> </w:t>
      </w:r>
      <w:r>
        <w:t xml:space="preserve">some reversion</w:t>
      </w:r>
      <w:r>
        <w:t xml:space="preserve"> </w:t>
      </w:r>
      <w:r>
        <w:t xml:space="preserve">; the reserved risk-vs-mispricing framing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as a moderator (it is the student’s hand-collected variable).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4" w:name="tab:stacked"/>
    <w:p>
      <w:pPr>
        <w:pStyle w:val="TableCaption"/>
      </w:pPr>
      <w:r>
        <w:t xml:space="preserve">Not-yet-published-control stacked difference-in-differences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-yet-published-control stacked difference-in-differenc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Treated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Cohorts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Cohort-anomaly FE + 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-0.3741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(-5.21)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Cohort-anomaly FE + cohort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19,433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Anomaly-year data stacked into nine three-year</w:t>
      </w:r>
      <w:r>
        <w:t xml:space="preserve"> </w:t>
      </w:r>
      <w:r>
        <w:t xml:space="preserve">publication cohorts</w:t>
      </w:r>
      <w:r>
        <w:t xml:space="preserve"> </w:t>
      </w:r>
      <w:r>
        <w:t xml:space="preserve">. In each cohort, 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anomalies published within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year of the cohort center; controls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anomalies not yet published within the</w:t>
      </w:r>
      <w:r>
        <w:t xml:space="preserve"> </w:t>
      </w:r>
      <m:oMath>
        <m:r>
          <m:rPr>
            <m:sty m:val="p"/>
          </m:rPr>
          <m:t>±</m:t>
        </m:r>
        <m:r>
          <m:t>8</m:t>
        </m:r>
      </m:oMath>
      <w:r>
        <w:t xml:space="preserve">-year</w:t>
      </w:r>
      <w:r>
        <w:t xml:space="preserve"> </w:t>
      </w:r>
      <w:r>
        <w:t xml:space="preserve">window (publication year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center</w:t>
      </w:r>
      <w:r>
        <w:t xml:space="preserve"> </w:t>
      </w:r>
      <m:oMath>
        <m:r>
          <m:rPr>
            <m:sty m:val="p"/>
          </m:rPr>
          <m:t>+</m:t>
        </m:r>
        <m:r>
          <m:t>8</m:t>
        </m:r>
      </m:oMath>
      <w:r>
        <w:t xml:space="preserve">). Post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year</m:t>
        </m:r>
        <m:r>
          <m:rPr>
            <m:sty m:val="p"/>
          </m:rPr>
          <m:t>≥</m:t>
        </m:r>
        <m:r>
          <m:rPr>
            <m:nor/>
            <m:sty m:val="p"/>
          </m:rPr>
          <m:t>center</m:t>
        </m:r>
        <m:r>
          <m:rPr>
            <m:sty m:val="p"/>
          </m:rPr>
          <m:t>]</m:t>
        </m:r>
      </m:oMath>
      <w:r>
        <w:t xml:space="preserve">; the</w:t>
      </w:r>
      <w:r>
        <w:t xml:space="preserve"> </w:t>
      </w:r>
      <w:r>
        <w:t xml:space="preserve">estimand is Post</w:t>
      </w:r>
      <m:oMath>
        <m:r>
          <m:rPr>
            <m:sty m:val="p"/>
          </m:rPr>
          <m:t>×</m:t>
        </m:r>
      </m:oMath>
      <w:r>
        <w:t xml:space="preserve">Treated. Column (1) uses cohort-anomaly fixed effects and a common Post</w:t>
      </w:r>
      <w:r>
        <w:t xml:space="preserve"> </w:t>
      </w:r>
      <w:r>
        <w:t xml:space="preserve">main effect; column (2) adds cohort</w:t>
      </w:r>
      <m:oMath>
        <m:r>
          <m:rPr>
            <m:sty m:val="p"/>
          </m:rPr>
          <m:t>×</m:t>
        </m:r>
      </m:oMath>
      <w:r>
        <w:t xml:space="preserve">calendar-year fixed effects. SE clustered by anomaly.</w:t>
      </w:r>
      <w:r>
        <w:t xml:space="preserve"> </w:t>
      </w:r>
      <w:r>
        <w:t xml:space="preserve">The large raw effect in (1) is almost entirely common calendar-time decline: it vanishes in (2).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5" w:name="tab:ri"/>
    <w:p>
      <w:pPr>
        <w:pStyle w:val="TableCaption"/>
      </w:pPr>
      <w:r>
        <w:t xml:space="preserve">Randomization / timing-specificity inference (500 permutations)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/ timing-specificity inference (500 permutation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Placebo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Placebo 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post-publication decay (H1)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-0.2587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-0.2496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[-0.2851, -0.2129]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effect at publication (H2)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[-0.1399, -0.0126]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anomaly’s publication date is redrawn</w:t>
      </w:r>
      <w:r>
        <w:t xml:space="preserve"> </w:t>
      </w:r>
      <w:r>
        <w:t xml:space="preserve">uniformly from within its own out-of-sample life (sample-end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through last observed year),</w:t>
      </w:r>
      <w:r>
        <w:t xml:space="preserve"> </w:t>
      </w:r>
      <w:r>
        <w:t xml:space="preserve">holding the real sample-end fixed; the anomaly-fixed-effects panel is re-estimated 500 times.</w:t>
      </w:r>
      <w:r>
        <w:t xml:space="preserve"> </w:t>
      </w:r>
      <w:r>
        <w:t xml:space="preserve">“Placebo mean”</w:t>
      </w:r>
      <w:r>
        <w:t xml:space="preserve"> </w:t>
      </w:r>
      <w:r>
        <w:t xml:space="preserve">and</w:t>
      </w:r>
      <w:r>
        <w:t xml:space="preserve"> </w:t>
      </w:r>
      <w:r>
        <w:t xml:space="preserve">“Placebo 95% interval”</w:t>
      </w:r>
      <w:r>
        <w:t xml:space="preserve"> </w:t>
      </w:r>
      <w:r>
        <w:t xml:space="preserve">summarize the coefficient under random within-life</w:t>
      </w:r>
      <w:r>
        <w:t xml:space="preserve"> </w:t>
      </w:r>
      <w:r>
        <w:t xml:space="preserve">dates; the RI</w:t>
      </w:r>
      <w:r>
        <w:t xml:space="preserve"> </w:t>
      </w:r>
      <m:oMath>
        <m:r>
          <m:t>p</m:t>
        </m:r>
      </m:oMath>
      <w:r>
        <w:t xml:space="preserve">-value is the share of placebos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coefficient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Because returns drift down over each anomaly’s life, random dates also produce negative</w:t>
      </w:r>
      <w:r>
        <w:t xml:space="preserve"> </w:t>
      </w:r>
      <w:r>
        <w:t xml:space="preserve">coefficients; the test therefore asks whether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date is special. The level row</w:t>
      </w:r>
      <w:r>
        <w:t xml:space="preserve"> </w:t>
      </w:r>
      <w:r>
        <w:t xml:space="preserve">uses a post-publication-only specification (base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in-sample and post-sample combined), so it</w:t>
      </w:r>
      <w:r>
        <w:t xml:space="preserve"> </w:t>
      </w:r>
      <w:r>
        <w:t xml:space="preserve">differs from the post-sample-adjusted</w:t>
      </w:r>
      <w:r>
        <w:t xml:space="preserve"> </w:t>
      </w:r>
      <m:oMath>
        <m:r>
          <m:rPr>
            <m:sty m:val="p"/>
          </m:rPr>
          <m:t>−</m:t>
        </m:r>
        <m:r>
          <m:t>0.272</m:t>
        </m:r>
      </m:oMath>
      <w:r>
        <w:t xml:space="preserve"> </w:t>
      </w:r>
      <w:r>
        <w:t xml:space="preserve">in Table </w:t>
      </w:r>
      <w:hyperlink w:anchor="tab:panel">
        <w:r>
          <w:rPr>
            <w:rStyle w:val="Hyperlink"/>
          </w:rPr>
          <w:t xml:space="preserve">3</w:t>
        </w:r>
      </w:hyperlink>
      <w:r>
        <w:t xml:space="preserve">. See</w:t>
      </w:r>
      <w:r>
        <w:t xml:space="preserve"> </w:t>
      </w:r>
      <w:r>
        <w:t xml:space="preserve">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36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in-samp. 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Post-publication decay (H1)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effect at publication (H2)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post-pub. interaction (H3)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39.3%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SE, expressed in %/month and as a share of the pooled in-sample mean</w:t>
      </w:r>
      <w:r>
        <w:t xml:space="preserve"> </w:t>
      </w:r>
      <w:r>
        <w:t xml:space="preserve">(0.581%). SE recovered as coefficient/</w:t>
      </w:r>
      <m:oMath>
        <m:r>
          <m:t>t</m:t>
        </m:r>
      </m:oMath>
      <w:r>
        <w:t xml:space="preserve"> </w:t>
      </w:r>
      <w:r>
        <w:t xml:space="preserve">from the anomaly-fixed-effects panel (H1, H2) and the</w:t>
      </w:r>
      <w:r>
        <w:t xml:space="preserve"> </w:t>
      </w:r>
      <w:r>
        <w:t xml:space="preserve">broad risk-proxy interaction (H3). Small MDE/mean ratios indicate an informative null. The H3</w:t>
      </w:r>
      <w:r>
        <w:t xml:space="preserve"> </w:t>
      </w:r>
      <w:r>
        <w:t xml:space="preserve">interaction can detect only large framing differences, motivating the hand-coded framing.</w:t>
      </w:r>
    </w:p>
    <w:bookmarkStart w:id="37" w:name="tab:robust"/>
    <w:p>
      <w:pPr>
        <w:pStyle w:val="TableCaption"/>
      </w:pPr>
      <w:r>
        <w:t xml:space="preserve">Robustness of the post-publication decay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of the post-publication deca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Post-pub.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DV (in-sample=100), Anom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-39.752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171,286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&gt;= 1963, Anom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-0.194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-0.318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141,003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(-3.74)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(-9.32)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&gt;=36 post-pub months (210 anomalies), Anom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-0.147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-0.272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172,908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(-7.90)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Winsorized 1/99, Anom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-0.236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(-8.08)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PLACEBO pub-year minus 12, Anom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-0.108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173,302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(-3.57)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All specifications include anomaly fixed effects</w:t>
      </w:r>
      <w:r>
        <w:t xml:space="preserve"> </w:t>
      </w:r>
      <w:r>
        <w:t xml:space="preserve">and cluster SE by anomaly.</w:t>
      </w:r>
      <w:r>
        <w:t xml:space="preserve"> </w:t>
      </w:r>
      <w:r>
        <w:t xml:space="preserve">“Normalized DV”</w:t>
      </w:r>
      <w:r>
        <w:t xml:space="preserve"> </w:t>
      </w:r>
      <w:r>
        <w:t xml:space="preserve">rescales each anomaly’s return so its in-sample</w:t>
      </w:r>
      <w:r>
        <w:t xml:space="preserve"> </w:t>
      </w:r>
      <w:r>
        <w:t xml:space="preserve">mean is 100. The placebo back-dates publication by 12 years.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1" w:name="fig:evt"/>
    <w:p>
      <w:pPr>
        <w:pStyle w:val="CaptionedFigure"/>
      </w:pPr>
      <w:r>
        <w:drawing>
          <wp:inline>
            <wp:extent cx="4533900" cy="276585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1_eventtime_decay.pdf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6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anomaly long-short return by year relative to publication (0 = publication</w:t>
      </w:r>
      <w:r>
        <w:t xml:space="preserve"> </w:t>
      </w:r>
      <w:r>
        <w:t xml:space="preserve">year), as % of the pooled in-sample mean. The level sits near 100% before publication and</w:t>
      </w:r>
      <w:r>
        <w:t xml:space="preserve"> </w:t>
      </w:r>
      <w:r>
        <w:t xml:space="preserve">falls to roughly 55–60% afterward. Bins with fewer than 300 anomaly-months are omitted.</w:t>
      </w:r>
    </w:p>
    <w:bookmarkEnd w:id="41"/>
    <w:bookmarkStart w:id="45" w:name="fig:frame"/>
    <w:p>
      <w:pPr>
        <w:pStyle w:val="CaptionedFigure"/>
      </w:pPr>
      <w:r>
        <w:drawing>
          <wp:inline>
            <wp:extent cx="4373880" cy="266823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2_regime_by_frame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6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Equal-weighted mean long-short return by regime, split by the (proxy) risk- versus</w:t>
      </w:r>
      <w:r>
        <w:t xml:space="preserve"> </w:t>
      </w:r>
      <w:r>
        <w:t xml:space="preserve">mispricing-framed groups. Both groups decay in near-parallel; error bars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</w:t>
      </w:r>
      <w:r>
        <w:t xml:space="preserve"> </w:t>
      </w:r>
      <w:r>
        <w:t xml:space="preserve">error across anomalies. The proxy does not separate the decay—see Table </w:t>
      </w:r>
      <w:hyperlink w:anchor="tab:hetero">
        <w:r>
          <w:rPr>
            <w:rStyle w:val="Hyperlink"/>
          </w:rPr>
          <w:t xml:space="preserve">4</w:t>
        </w:r>
      </w:hyperlink>
      <w:r>
        <w:t xml:space="preserve">.</w:t>
      </w:r>
    </w:p>
    <w:bookmarkEnd w:id="45"/>
    <w:bookmarkStart w:id="49" w:name="fig:ri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3_randinf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/ timing-specificity inference for the</w:t>
      </w:r>
      <w:r>
        <w:t xml:space="preserve"> </w:t>
      </w:r>
      <w:r>
        <w:rPr>
          <w:i/>
          <w:iCs/>
        </w:rPr>
        <w:t xml:space="preserve">incremental</w:t>
      </w:r>
      <w:r>
        <w:t xml:space="preserve">-at-publication</w:t>
      </w:r>
      <w:r>
        <w:t xml:space="preserve"> </w:t>
      </w:r>
      <w:r>
        <w:t xml:space="preserve">effect (H2). Histogram: the coefficient under 500 random within-life publication dates. The</w:t>
      </w:r>
      <w:r>
        <w:t xml:space="preserve"> </w:t>
      </w:r>
      <w:r>
        <w:t xml:space="preserve">actual estimate (red line) lies in the left tail but only marginally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); a random</w:t>
      </w:r>
      <w:r>
        <w:t xml:space="preserve"> </w:t>
      </w:r>
      <w:r>
        <w:t xml:space="preserve">later date already produces a negative incremental coefficient, so the true publication date is</w:t>
      </w:r>
      <w:r>
        <w:t xml:space="preserve"> </w:t>
      </w:r>
      <w:r>
        <w:t xml:space="preserve">at best weakly special—the design-based counterpart of the stacked-DiD verdict in</w:t>
      </w:r>
      <w:r>
        <w:t xml:space="preserve"> </w:t>
      </w:r>
      <w:r>
        <w:t xml:space="preserve">Table </w:t>
      </w:r>
      <w:hyperlink w:anchor="tab:stacked">
        <w:r>
          <w:rPr>
            <w:rStyle w:val="Hyperlink"/>
          </w:rPr>
          <w:t xml:space="preserve">6</w:t>
        </w:r>
      </w:hyperlink>
      <w:r>
        <w:t xml:space="preserve">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Dadoo: ASSIP 2026, George Mason</w:t>
      </w:r>
      <w:r>
        <w:t xml:space="preserve"> </w:t>
      </w:r>
      <w:r>
        <w:t xml:space="preserve">University. 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returns and metadata are from the public Open Source</w:t>
      </w:r>
      <w:r>
        <w:t xml:space="preserve"> </w:t>
      </w:r>
      <w:r>
        <w:t xml:space="preserve">Asset Pricing dataset</w:t>
      </w:r>
      <w:r>
        <w:t xml:space="preserve"> </w:t>
      </w:r>
      <w:r>
        <w:t xml:space="preserve">; every 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No number is</w:t>
      </w:r>
      <w:r>
        <w:t xml:space="preserve"> </w:t>
      </w:r>
      <w:r>
        <w:t xml:space="preserve">hand-entered or simulated. We thank the ASSIP 2026 cohort for comments. Any errors are our</w:t>
      </w:r>
      <w:r>
        <w:t xml:space="preserve"> </w:t>
      </w:r>
      <w:r>
        <w:t xml:space="preserve">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df" /><Relationship Type="http://schemas.openxmlformats.org/officeDocument/2006/relationships/image" Id="rId42" Target="media/rId42.pdf" /><Relationship Type="http://schemas.openxmlformats.org/officeDocument/2006/relationships/image" Id="rId46" Target="media/rId46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Anomalies Die When They Are Published? Out-of-Sample and Post-Publication Decay in 212 Cross-Sectional Predictors</dc:title>
  <dc:creator>Christopher Abhi Dadoo; Lei Gao</dc:creator>
  <cp:keywords/>
  <dcterms:created xsi:type="dcterms:W3CDTF">2026-07-25T07:11:23Z</dcterms:created>
  <dcterms:modified xsi:type="dcterms:W3CDTF">2026-07-25T07:11:23Z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 show that published stock-return anomalies weaken after the academic articles that document them appear. We revisit their question with the full Open Source Asset Pricing library—monthly long-short returns for 212 published predictors, 173,302 anomaly-months over 1926–2024—and classify each anomaly-month as in-sample, post-sample (out of sample but before publication), or post-publication using each study’s original sample-end year and journal-publication year. The average anomaly earns 0.61% per month in sample; this falls to 0.42% out of sample and to 0.30% after publication—a within-anomaly decline of -51% (paired t=-7.6). In a pooled panel with anomaly fixed effects the post-publication return is 0.27 points per month lower (t=-7.9), and the effect survives anomaly-plus-calendar-month fixed effects (-0.24, t=-3.2). The decay is thus large and robust. Four extensions sharpen the interpretation without overclaiming. First, the decay is strongly heterogeneous in observable strength: anomalies with above-median in-sample returns lose an extra -0.28 points (t=-4.3) beyond the baseline, exactly the cross-sectional pattern  predict (though partly regression to the mean). Second, because every anomaly is eventually “treated,” we build a not-yet-published-control stacked difference-in-differences: it gives a clear -0.37 (t=-5.2) with cohort-anomaly fixed effects but only -0.05 (t=-0.6) once cohort\timescalendar-year effects absorb the common trend—so the drop is largely an out-of-sample phenomenon, not a discrete publication kink. Third, randomization inference that permutes each anomaly’s publication date within its own out-of-sample life shows the true date is not special for the level decay (RI p=0.31) and only marginally so for the incremental effect (p=0.08). Fourth, a minimum-detectable-effect analysis shows the null on the risk-versus-mispricing split is informative only for large differences (\ge39% of the in-sample mean), which is exactly why the pivotal hand-collection task—reading each original article’s stated economic framing—is left to the student. JEL: G12, G14, G11. Keywords: anomalies, market efficiency, return predictability, publication, limits to arbitrage, randomization inference, stacked difference-in-differences.</vt:lpwstr>
  </property>
  <property fmtid="{D5CDD505-2E9C-101B-9397-08002B2CF9AE}" pid="3" name="date">
    <vt:lpwstr>July 2026</vt:lpwstr>
  </property>
</Properties>
</file>