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df" ContentType="application/pdf"/>
  <Override PartName="/word/media/rId43.pdf" ContentType="application/pdf"/>
  <Override PartName="/word/media/rId4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Import Exposure and the April 2025 Reciprocal-Tariff Shock:</w:t>
      </w:r>
      <w:r>
        <w:br/>
      </w:r>
      <w:r>
        <w:rPr>
          <w:b/>
          <w:bCs/>
        </w:rPr>
        <w:t xml:space="preserve">A Paired Event Study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“Liberation Day”</w:t>
      </w:r>
      <w:r>
        <w:rPr>
          <w:b/>
          <w:bCs/>
        </w:rPr>
        <w:t xml:space="preserve"> </w:t>
      </w:r>
      <w:r>
        <w:rPr>
          <w:b/>
          <w:bCs/>
        </w:rPr>
        <w:t xml:space="preserve">Crash and the April 9 Pause</w:t>
      </w:r>
    </w:p>
    <w:p>
      <w:pPr>
        <w:pStyle w:val="Author"/>
      </w:pPr>
      <w:r>
        <w:t xml:space="preserve">Deniz Yaveroglu</w:t>
      </w:r>
      <w:r>
        <w:rPr>
          <w:rStyle w:val="FootnoteReference"/>
        </w:rPr>
        <w:footnoteReference w:id="9"/>
      </w:r>
    </w:p>
    <w:p>
      <w:pPr>
        <w:pStyle w:val="Author"/>
      </w:pPr>
      <w:r>
        <w:t xml:space="preserve">Lei Gao</w:t>
      </w:r>
      <w:r>
        <w:rPr>
          <w:rStyle w:val="FootnoteReference"/>
        </w:rPr>
        <w:footnoteReference w:id="10"/>
      </w:r>
    </w:p>
    <w:p>
      <w:pPr>
        <w:pStyle w:val="Date"/>
      </w:pPr>
      <w:r>
        <w:t xml:space="preserve">July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On April 2, 2025 the United States announced sweeping</w:t>
      </w:r>
      <w:r>
        <w:t xml:space="preserve"> </w:t>
      </w:r>
      <w:r>
        <w:t xml:space="preserve">“reciprocal”</w:t>
      </w:r>
      <w:r>
        <w:t xml:space="preserve"> </w:t>
      </w:r>
      <w:r>
        <w:t xml:space="preserve">tariffs;</w:t>
      </w:r>
      <w:r>
        <w:t xml:space="preserve"> </w:t>
      </w:r>
      <w:r>
        <w:t xml:space="preserve">the equity market fell about 10.7% over the next two trading days—its worst two-day</w:t>
      </w:r>
      <w:r>
        <w:t xml:space="preserve"> </w:t>
      </w:r>
      <w:r>
        <w:t xml:space="preserve">loss since March 2020—before the largest one-day gain since 2008 (</w:t>
      </w:r>
      <m:oMath>
        <m:r>
          <m:rPr>
            <m:sty m:val="p"/>
          </m:rPr>
          <m:t>+</m:t>
        </m:r>
        <m:r>
          <m:t>9.7</m:t>
        </m:r>
        <m:r>
          <m:rPr>
            <m:sty m:val="p"/>
          </m:rPr>
          <m:t>%</m:t>
        </m:r>
      </m:oMath>
      <w:r>
        <w:t xml:space="preserve">) when a 90-day</w:t>
      </w:r>
      <w:r>
        <w:t xml:space="preserve"> </w:t>
      </w:r>
      <w:r>
        <w:t xml:space="preserve">pause was announced on April 9. We use this paired, opposite-signed pair of events to test</w:t>
      </w:r>
      <w:r>
        <w:t xml:space="preserve"> </w:t>
      </w:r>
      <w:r>
        <w:t xml:space="preserve">whether firms exposed to</w:t>
      </w:r>
      <w:r>
        <w:t xml:space="preserve"> </w:t>
      </w:r>
      <w:r>
        <w:rPr>
          <w:i/>
          <w:iCs/>
        </w:rPr>
        <w:t xml:space="preserve">imported inputs</w:t>
      </w:r>
      <w:r>
        <w:t xml:space="preserve"> </w:t>
      </w:r>
      <w:r>
        <w:t xml:space="preserve">were repriced by the tariff news. For</w:t>
      </w:r>
      <w:r>
        <w:t xml:space="preserve"> </w:t>
      </w:r>
      <w:r>
        <w:t xml:space="preserve">4</w:t>
      </w:r>
      <w:r>
        <w:t xml:space="preserve">,</w:t>
      </w:r>
      <w:r>
        <w:t xml:space="preserve">275 U.S. common stocks we compute market-model cumulative abnormal returns (CARs) over</w:t>
      </w:r>
      <w:r>
        <w:t xml:space="preserve"> </w:t>
      </w:r>
      <w:r>
        <w:t xml:space="preserve">the shock (April 3–4) and the pause (April 9), and relate them to the imported-input</w:t>
      </w:r>
      <w:r>
        <w:t xml:space="preserve"> </w:t>
      </w:r>
      <w:r>
        <w:t xml:space="preserve">intensity of each firm’s industry, built from the BEA Summary Import Matrix (imported</w:t>
      </w:r>
      <w:r>
        <w:t xml:space="preserve"> </w:t>
      </w:r>
      <w:r>
        <w:t xml:space="preserve">intermediate inputs</w:t>
      </w:r>
      <w:r>
        <w:t xml:space="preserve"> </w:t>
      </w:r>
      <m:oMath>
        <m:r>
          <m:rPr>
            <m:sty m:val="p"/>
          </m:rPr>
          <m:t>÷</m:t>
        </m:r>
      </m:oMath>
      <w:r>
        <w:t xml:space="preserve"> </w:t>
      </w:r>
      <w:r>
        <w:t xml:space="preserve">industry gross output). Conditional on size and market beta, a</w:t>
      </w:r>
      <w:r>
        <w:t xml:space="preserve"> </w:t>
      </w:r>
      <w:r>
        <w:t xml:space="preserve">one-standard-deviation increase in imported-input intensity is associated with a 0.73</w:t>
      </w:r>
      <w:r>
        <w:t xml:space="preserve"> </w:t>
      </w:r>
      <w:r>
        <w:t xml:space="preserve">percentage-point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abnormal return on the shock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2.35</m:t>
        </m:r>
      </m:oMath>
      <w:r>
        <w:t xml:space="preserve">) and a 0.60pp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abnormal return on the pause (</w:t>
      </w:r>
      <m:oMath>
        <m:r>
          <m:t>t</m:t>
        </m:r>
        <m:r>
          <m:rPr>
            <m:sty m:val="p"/>
          </m:rPr>
          <m:t>=</m:t>
        </m:r>
        <m:r>
          <m:t>1.78</m:t>
        </m:r>
      </m:oMath>
      <w:r>
        <w:t xml:space="preserve">); among non-microcap firms the pattern</w:t>
      </w:r>
      <w:r>
        <w:t xml:space="preserve"> </w:t>
      </w:r>
      <w:r>
        <w:t xml:space="preserve">is opposite-signed and nearly symmetric (</w:t>
      </w:r>
      <m:oMath>
        <m:r>
          <m:rPr>
            <m:sty m:val="p"/>
          </m:rPr>
          <m:t>−</m:t>
        </m:r>
        <m:r>
          <m:t>0.77</m:t>
        </m:r>
      </m:oMath>
      <w:r>
        <w:t xml:space="preserve">pp and</w:t>
      </w:r>
      <w:r>
        <w:t xml:space="preserve"> </w:t>
      </w:r>
      <m:oMath>
        <m:r>
          <m:rPr>
            <m:sty m:val="p"/>
          </m:rPr>
          <m:t>+</m:t>
        </m:r>
        <m:r>
          <m:t>0.77</m:t>
        </m:r>
      </m:oMath>
      <w:r>
        <w:t xml:space="preserve">pp, both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2.1</m:t>
        </m:r>
      </m:oMath>
      <w:r>
        <w:t xml:space="preserve">), and</w:t>
      </w:r>
      <w:r>
        <w:t xml:space="preserve"> </w:t>
      </w:r>
      <w:r>
        <w:t xml:space="preserve">the shock-plus-pause round-trip is statistically zero. The effect is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one—it is absent in the raw cross-section, which is dominated by size and beta—and it</w:t>
      </w:r>
      <w:r>
        <w:t xml:space="preserve"> </w:t>
      </w:r>
      <w:r>
        <w:t xml:space="preserve">is partly anticipated: exposure loads negatively in the pre-announcement window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2.22</m:t>
        </m:r>
      </m:oMath>
      <w:r>
        <w:t xml:space="preserve">). We then stress-test the result with design-based methods. A falsification on</w:t>
      </w:r>
      <w:r>
        <w:t xml:space="preserve"> </w:t>
      </w:r>
      <w:r>
        <w:t xml:space="preserve">generic big-market-move days shows the exposure loading is directionally coherent across the</w:t>
      </w:r>
      <w:r>
        <w:t xml:space="preserve"> </w:t>
      </w:r>
      <w:r>
        <w:t xml:space="preserve">paired tariff events rather than a residual-beta artifact, but it is not silent on every</w:t>
      </w:r>
      <w:r>
        <w:t xml:space="preserve"> </w:t>
      </w:r>
      <w:r>
        <w:t xml:space="preserve">non-tariff day. Most importantly, because exposure varies at the</w:t>
      </w:r>
      <w:r>
        <w:t xml:space="preserve"> </w:t>
      </w:r>
      <w:r>
        <w:rPr>
          <w:i/>
          <w:iCs/>
        </w:rPr>
        <w:t xml:space="preserve">industry</w:t>
      </w:r>
      <w:r>
        <w:t xml:space="preserve"> </w:t>
      </w:r>
      <w:r>
        <w:t xml:space="preserve">level (73</w:t>
      </w:r>
      <w:r>
        <w:t xml:space="preserve"> </w:t>
      </w:r>
      <w:r>
        <w:t xml:space="preserve">NAICS-3 groups), we conduct randomization inference that permutes industry exposure across</w:t>
      </w:r>
      <w:r>
        <w:t xml:space="preserve"> </w:t>
      </w:r>
      <w:r>
        <w:t xml:space="preserve">industries: the opposite-signed spread and the shock loading are significant only at the</w:t>
      </w:r>
      <w:r>
        <w:t xml:space="preserve"> </w:t>
      </w:r>
      <w:r>
        <w:t xml:space="preserve">10% level (</w:t>
      </w:r>
      <m:oMath>
        <m:r>
          <m:t>p</m:t>
        </m:r>
        <m:r>
          <m:rPr>
            <m:sty m:val="p"/>
          </m:rPr>
          <m:t>≈</m:t>
        </m:r>
        <m:r>
          <m:t>0.08</m:t>
        </m:r>
      </m:oMath>
      <w:r>
        <w:t xml:space="preserve">–</w:t>
      </w:r>
      <m:oMath>
        <m:r>
          <m:t>0.10</m:t>
        </m:r>
      </m:oMath>
      <w:r>
        <w:t xml:space="preserve">) and the pause alone is insignificant—so conventional</w:t>
      </w:r>
      <w:r>
        <w:t xml:space="preserve"> </w:t>
      </w:r>
      <w:r>
        <w:t xml:space="preserve">cluster-robust</w:t>
      </w:r>
      <w:r>
        <w:t xml:space="preserve"> </w:t>
      </w:r>
      <m:oMath>
        <m:r>
          <m:t>t</m:t>
        </m:r>
      </m:oMath>
      <w:r>
        <w:t xml:space="preserve">-statistics overstate the precision available from an industry proxy. A</w:t>
      </w:r>
      <w:r>
        <w:t xml:space="preserve"> </w:t>
      </w:r>
      <w:r>
        <w:t xml:space="preserve">minimum-detectable-effect analysis confirms the design sits at the edge of its resolving</w:t>
      </w:r>
      <w:r>
        <w:t xml:space="preserve"> </w:t>
      </w:r>
      <w:r>
        <w:t xml:space="preserve">power for effects of this size. The honest reading is</w:t>
      </w:r>
      <w:r>
        <w:t xml:space="preserve"> </w:t>
      </w:r>
      <w:r>
        <w:rPr>
          <w:i/>
          <w:iCs/>
        </w:rPr>
        <w:t xml:space="preserve">suggestive, directionally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 evidence of an industry-level tariff-exposure repricing whose statistical strength</w:t>
      </w:r>
      <w:r>
        <w:rPr>
          <w:i/>
          <w:iCs/>
        </w:rPr>
        <w:t xml:space="preserve"> </w:t>
      </w:r>
      <w:r>
        <w:rPr>
          <w:i/>
          <w:iCs/>
        </w:rPr>
        <w:t xml:space="preserve">is limited by the coarseness of the industry measure</w:t>
      </w:r>
      <w:r>
        <w:t xml:space="preserve">—which is precisely the case for the</w:t>
      </w:r>
      <w:r>
        <w:t xml:space="preserve"> </w:t>
      </w:r>
      <w:r>
        <w:t xml:space="preserve">hand-collected, firm-level 10-K sourcing data the companion student task is built to supply.</w:t>
      </w:r>
      <w:r>
        <w:br/>
      </w:r>
      <w:r>
        <w:rPr>
          <w:b/>
          <w:bCs/>
        </w:rPr>
        <w:t xml:space="preserve">JEL:</w:t>
      </w:r>
      <w:r>
        <w:t xml:space="preserve"> </w:t>
      </w:r>
      <w:r>
        <w:t xml:space="preserve">F13, F14, G14, G12.</w:t>
      </w:r>
      <w:r>
        <w:t xml:space="preserve"> </w:t>
      </w:r>
      <w:r>
        <w:rPr>
          <w:b/>
          <w:bCs/>
        </w:rPr>
        <w:t xml:space="preserve">Keywords:</w:t>
      </w:r>
      <w:r>
        <w:t xml:space="preserve"> </w:t>
      </w:r>
      <w:r>
        <w:t xml:space="preserve">tariffs, trade war, imported inputs, event study, abnormal returns,</w:t>
      </w:r>
      <w:r>
        <w:t xml:space="preserve"> </w:t>
      </w:r>
      <w:r>
        <w:t xml:space="preserve">randomization inference.</w:t>
      </w:r>
    </w:p>
    <w:bookmarkStart w:id="11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Between April 2 and April 9, 2025, U.S. equities completed a violent round trip. After the</w:t>
      </w:r>
      <w:r>
        <w:t xml:space="preserve"> </w:t>
      </w:r>
      <w:r>
        <w:t xml:space="preserve">close on April 2 (</w:t>
      </w:r>
      <w:r>
        <w:t xml:space="preserve">“Liberation Day”</w:t>
      </w:r>
      <w:r>
        <w:t xml:space="preserve">), the administration announced a schedule of</w:t>
      </w:r>
      <w:r>
        <w:t xml:space="preserve"> </w:t>
      </w:r>
      <w:r>
        <w:t xml:space="preserve">country-specific</w:t>
      </w:r>
      <w:r>
        <w:t xml:space="preserve"> </w:t>
      </w:r>
      <w:r>
        <w:t xml:space="preserve">“reciprocal”</w:t>
      </w:r>
      <w:r>
        <w:t xml:space="preserve"> </w:t>
      </w:r>
      <w:r>
        <w:t xml:space="preserve">tariffs far larger than markets had expected; over April 3</w:t>
      </w:r>
      <w:r>
        <w:t xml:space="preserve"> </w:t>
      </w:r>
      <w:r>
        <w:t xml:space="preserve">and April 4 the aggregate market fell about 10.7%, the worst two-day loss since the</w:t>
      </w:r>
      <w:r>
        <w:t xml:space="preserve"> </w:t>
      </w:r>
      <w:r>
        <w:t xml:space="preserve">COVID-19 crash. Selling continued through April 8. Then, roughly midday on April 9, a</w:t>
      </w:r>
      <w:r>
        <w:t xml:space="preserve"> </w:t>
      </w:r>
      <w:r>
        <w:t xml:space="preserve">90-day pause on most of the reciprocal tariffs (excluding China) was announced, and the</w:t>
      </w:r>
      <w:r>
        <w:t xml:space="preserve"> </w:t>
      </w:r>
      <w:r>
        <w:t xml:space="preserve">market rose 9.7% in a single session—the largest one-day gain since October 2008. The</w:t>
      </w:r>
      <w:r>
        <w:t xml:space="preserve"> </w:t>
      </w:r>
      <w:r>
        <w:t xml:space="preserve">speed and symmetry of this episode create an unusually clean laboratory: two large,</w:t>
      </w:r>
      <w:r>
        <w:t xml:space="preserve"> </w:t>
      </w:r>
      <w:r>
        <w:t xml:space="preserve">opposite-signed shocks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policy, six trading days apart, with little else</w:t>
      </w:r>
      <w:r>
        <w:t xml:space="preserve"> </w:t>
      </w:r>
      <w:r>
        <w:t xml:space="preserve">changing.</w:t>
      </w:r>
    </w:p>
    <w:p>
      <w:pPr>
        <w:pStyle w:val="BodyText"/>
      </w:pPr>
      <w:r>
        <w:t xml:space="preserve">We use this laboratory to ask a specific cross-sectional question. Tariffs raise the cost</w:t>
      </w:r>
      <w:r>
        <w:t xml:space="preserve"> </w:t>
      </w:r>
      <w:r>
        <w:t xml:space="preserve">of imported intermediate inputs. Firms that rely heavily on imported inputs therefore face</w:t>
      </w:r>
      <w:r>
        <w:t xml:space="preserve"> </w:t>
      </w:r>
      <w:r>
        <w:t xml:space="preserve">a cost shock when tariffs are imposed and relief when they are paused. Did the equity</w:t>
      </w:r>
      <w:r>
        <w:t xml:space="preserve"> </w:t>
      </w:r>
      <w:r>
        <w:t xml:space="preserve">market price this? Concretely:</w:t>
      </w:r>
      <w:r>
        <w:t xml:space="preserve"> </w:t>
      </w:r>
      <w:r>
        <w:rPr>
          <w:i/>
          <w:iCs/>
        </w:rPr>
        <w:t xml:space="preserve">did firms in high imported-input-intensity industries</w:t>
      </w:r>
      <w:r>
        <w:rPr>
          <w:i/>
          <w:iCs/>
        </w:rPr>
        <w:t xml:space="preserve"> </w:t>
      </w:r>
      <w:r>
        <w:rPr>
          <w:i/>
          <w:iCs/>
        </w:rPr>
        <w:t xml:space="preserve">underperform on the April 2–4 shock and rebound on the April 9 pause?</w:t>
      </w:r>
      <w:r>
        <w:t xml:space="preserve"> </w:t>
      </w:r>
      <w:r>
        <w:t xml:space="preserve">Because the two</w:t>
      </w:r>
      <w:r>
        <w:t xml:space="preserve"> </w:t>
      </w:r>
      <w:r>
        <w:t xml:space="preserve">events push in opposite directions, a genuine tariff-exposure channel should generate an</w:t>
      </w:r>
      <w:r>
        <w:t xml:space="preserve"> </w:t>
      </w:r>
      <w:r>
        <w:rPr>
          <w:i/>
          <w:iCs/>
        </w:rPr>
        <w:t xml:space="preserve">opposite-signed</w:t>
      </w:r>
      <w:r>
        <w:t xml:space="preserve"> </w:t>
      </w:r>
      <w:r>
        <w:t xml:space="preserve">loading on the same exposure measure—a pattern that is much harder</w:t>
      </w:r>
      <w:r>
        <w:t xml:space="preserve"> </w:t>
      </w:r>
      <w:r>
        <w:t xml:space="preserve">to explain with a generic risk factor than a single-event correlation would be.</w:t>
      </w:r>
    </w:p>
    <w:p>
      <w:pPr>
        <w:pStyle w:val="BodyText"/>
      </w:pPr>
      <w:r>
        <w:t xml:space="preserve">Our exposure measure is built from real input-output data. Using the Bureau of Economic</w:t>
      </w:r>
      <w:r>
        <w:t xml:space="preserve"> </w:t>
      </w:r>
      <w:r>
        <w:t xml:space="preserve">Analysis (BEA) 2023 Summary Import Matrix, we compute, for each of 66 BEA industries, the</w:t>
      </w:r>
      <w:r>
        <w:t xml:space="preserve"> </w:t>
      </w:r>
      <w:r>
        <w:t xml:space="preserve">value of imported intermediate inputs used by that industry divided by its gross output.</w:t>
      </w:r>
      <w:r>
        <w:t xml:space="preserve"> </w:t>
      </w:r>
      <w:r>
        <w:t xml:space="preserve">The measure is highest for petroleum and coal products (24.7%), motor vehicles (18.3%),</w:t>
      </w:r>
      <w:r>
        <w:t xml:space="preserve"> </w:t>
      </w:r>
      <w:r>
        <w:t xml:space="preserve">primary metals (15.6%), machinery (12.1%), and chemicals (10.8%), and lowest for</w:t>
      </w:r>
      <w:r>
        <w:t xml:space="preserve"> </w:t>
      </w:r>
      <w:r>
        <w:t xml:space="preserve">services such as legal services, real estate, and software—exactly the ranking one would</w:t>
      </w:r>
      <w:r>
        <w:t xml:space="preserve"> </w:t>
      </w:r>
      <w:r>
        <w:t xml:space="preserve">expect for input-cost exposure to tariffs. We map this industry measure to firms through</w:t>
      </w:r>
      <w:r>
        <w:t xml:space="preserve"> </w:t>
      </w:r>
      <w:r>
        <w:t xml:space="preserve">their NAICS code and merge it to market-model CARs for the CRSP universe.</w:t>
      </w:r>
    </w:p>
    <w:p>
      <w:pPr>
        <w:pStyle w:val="BodyText"/>
      </w:pPr>
      <w:r>
        <w:t xml:space="preserve">Our findings are three. First, in the</w:t>
      </w:r>
      <w:r>
        <w:t xml:space="preserve"> </w:t>
      </w:r>
      <w:r>
        <w:rPr>
          <w:i/>
          <w:iCs/>
        </w:rPr>
        <w:t xml:space="preserve">raw</w:t>
      </w:r>
      <w:r>
        <w:t xml:space="preserve"> </w:t>
      </w:r>
      <w:r>
        <w:t xml:space="preserve">cross-section imported-input intensity has</w:t>
      </w:r>
      <w:r>
        <w:t xml:space="preserve"> </w:t>
      </w:r>
      <w:r>
        <w:t xml:space="preserve">no clean relationship with the shock CAR: the univariate coefficient is small and wrongly</w:t>
      </w:r>
      <w:r>
        <w:t xml:space="preserve"> </w:t>
      </w:r>
      <w:r>
        <w:t xml:space="preserve">signed (</w:t>
      </w:r>
      <m:oMath>
        <m:r>
          <m:t>t</m:t>
        </m:r>
        <m:r>
          <m:rPr>
            <m:sty m:val="p"/>
          </m:rPr>
          <m:t>=</m:t>
        </m:r>
        <m:r>
          <m:t>1.20</m:t>
        </m:r>
      </m:oMath>
      <w:r>
        <w:t xml:space="preserve">), because import-intensive industries are disproportionately large,</w:t>
      </w:r>
      <w:r>
        <w:t xml:space="preserve"> </w:t>
      </w:r>
      <w:r>
        <w:t xml:space="preserve">high-beta firms and those two characteristics dominate the unconditional cross-section.</w:t>
      </w:r>
      <w:r>
        <w:t xml:space="preserve"> </w:t>
      </w:r>
      <w:r>
        <w:t xml:space="preserve">Second, and centrally,</w:t>
      </w:r>
      <w:r>
        <w:t xml:space="preserve"> </w:t>
      </w:r>
      <w:r>
        <w:rPr>
          <w:i/>
          <w:iCs/>
        </w:rPr>
        <w:t xml:space="preserve">once we condition on size and market beta the hypothesized</w:t>
      </w:r>
      <w:r>
        <w:rPr>
          <w:i/>
          <w:iCs/>
        </w:rPr>
        <w:t xml:space="preserve"> </w:t>
      </w:r>
      <w:r>
        <w:rPr>
          <w:i/>
          <w:iCs/>
        </w:rPr>
        <w:t xml:space="preserve">paired pattern appears</w:t>
      </w:r>
      <w:r>
        <w:t xml:space="preserve">. A one-standard-deviation increase in imported-input intensity is</w:t>
      </w:r>
      <w:r>
        <w:t xml:space="preserve"> </w:t>
      </w:r>
      <w:r>
        <w:t xml:space="preserve">associated with a</w:t>
      </w:r>
      <w:r>
        <w:t xml:space="preserve"> </w:t>
      </w:r>
      <m:oMath>
        <m:r>
          <m:t>0.73</m:t>
        </m:r>
      </m:oMath>
      <w:r>
        <w:t xml:space="preserve">pp lower shock CAR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2.35</m:t>
        </m:r>
      </m:oMath>
      <w:r>
        <w:t xml:space="preserve">) and a</w:t>
      </w:r>
      <w:r>
        <w:t xml:space="preserve"> </w:t>
      </w:r>
      <m:oMath>
        <m:r>
          <m:t>0.60</m:t>
        </m:r>
      </m:oMath>
      <w:r>
        <w:t xml:space="preserve">pp higher pause CAR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1.78</m:t>
        </m:r>
      </m:oMath>
      <w:r>
        <w:t xml:space="preserve">); over the full April 3–8 sell-off the shock effect is</w:t>
      </w:r>
      <w:r>
        <w:t xml:space="preserve"> </w:t>
      </w:r>
      <m:oMath>
        <m:r>
          <m:rPr>
            <m:sty m:val="p"/>
          </m:rPr>
          <m:t>−</m:t>
        </m:r>
        <m:r>
          <m:t>1.34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2.48</m:t>
        </m:r>
      </m:oMath>
      <w:r>
        <w:t xml:space="preserve">).</w:t>
      </w:r>
      <w:r>
        <w:t xml:space="preserve"> </w:t>
      </w:r>
      <w:r>
        <w:t xml:space="preserve">Excluding microcaps sharpens the symmetry to</w:t>
      </w:r>
      <w:r>
        <w:t xml:space="preserve"> </w:t>
      </w:r>
      <m:oMath>
        <m:r>
          <m:rPr>
            <m:sty m:val="p"/>
          </m:rPr>
          <m:t>−</m:t>
        </m:r>
        <m:r>
          <m:t>0.77</m:t>
        </m:r>
      </m:oMath>
      <w:r>
        <w:t xml:space="preserve">pp on the shock and</w:t>
      </w:r>
      <w:r>
        <w:t xml:space="preserve"> </w:t>
      </w:r>
      <m:oMath>
        <m:r>
          <m:rPr>
            <m:sty m:val="p"/>
          </m:rPr>
          <m:t>+</m:t>
        </m:r>
        <m:r>
          <m:t>0.77</m:t>
        </m:r>
      </m:oMath>
      <w:r>
        <w:t xml:space="preserve">pp on the</w:t>
      </w:r>
      <w:r>
        <w:t xml:space="preserve"> </w:t>
      </w:r>
      <w:r>
        <w:t xml:space="preserve">pause, both significant at 5% under conventional inference, and the shock-plus-pause</w:t>
      </w:r>
      <w:r>
        <w:t xml:space="preserve"> </w:t>
      </w:r>
      <w:r>
        <w:t xml:space="preserve">round-trip is a precise zero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0.46</m:t>
        </m:r>
      </m:oMath>
      <w:r>
        <w:t xml:space="preserve">): the pause reversed the shock’s exposure effect.</w:t>
      </w:r>
      <w:r>
        <w:t xml:space="preserve"> </w:t>
      </w:r>
      <w:r>
        <w:t xml:space="preserve">Third, we are candid that the episode is not a laboratory-clean event. Imported-input</w:t>
      </w:r>
      <w:r>
        <w:t xml:space="preserve"> </w:t>
      </w:r>
      <w:r>
        <w:t xml:space="preserve">intensity also loads negatively in the April week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announcement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2.22</m:t>
        </m:r>
      </m:oMath>
      <w:r>
        <w:t xml:space="preserve">), because tariff news was already flowing—auto tariffs were announced March 26</w:t>
      </w:r>
      <w:r>
        <w:t xml:space="preserve"> </w:t>
      </w:r>
      <w:r>
        <w:t xml:space="preserve">and the reciprocal schedule was pre-trailed—so part of the repricing preceded April 2.</w:t>
      </w:r>
    </w:p>
    <w:p>
      <w:pPr>
        <w:pStyle w:val="BodyText"/>
      </w:pPr>
      <w:r>
        <w:t xml:space="preserve">The core of this revision is to subject that headline to design-based scrutiny rather than</w:t>
      </w:r>
      <w:r>
        <w:t xml:space="preserve"> </w:t>
      </w:r>
      <w:r>
        <w:t xml:space="preserve">stopping at the conventional</w:t>
      </w:r>
      <w:r>
        <w:t xml:space="preserve"> </w:t>
      </w:r>
      <m:oMath>
        <m:r>
          <m:t>t</m:t>
        </m:r>
      </m:oMath>
      <w:r>
        <w:t xml:space="preserve">-statistics, because the exposure measure varies at the</w:t>
      </w:r>
      <w:r>
        <w:t xml:space="preserve"> </w:t>
      </w:r>
      <w:r>
        <w:t xml:space="preserve">industry level and industry proxies are known to inflate apparent precision</w:t>
      </w:r>
      <w:r>
        <w:t xml:space="preserve"> </w:t>
      </w:r>
      <w:r>
        <w:t xml:space="preserve">. We add four steps. (1)</w:t>
      </w:r>
      <w:r>
        <w:t xml:space="preserve"> </w:t>
      </w:r>
      <w:r>
        <w:rPr>
          <w:i/>
          <w:iCs/>
        </w:rPr>
        <w:t xml:space="preserve">Heterogeneity</w:t>
      </w:r>
      <w:r>
        <w:t xml:space="preserve"> </w:t>
      </w:r>
      <w:r>
        <w:t xml:space="preserve">(Section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, Table </w:t>
      </w:r>
      <w:hyperlink w:anchor="tab:hetero">
        <w:r>
          <w:rPr>
            <w:rStyle w:val="Hyperlink"/>
          </w:rPr>
          <w:t xml:space="preserve">7</w:t>
        </w:r>
      </w:hyperlink>
      <w:r>
        <w:t xml:space="preserve">): we interact the exposure loading with</w:t>
      </w:r>
      <w:r>
        <w:t xml:space="preserve"> </w:t>
      </w:r>
      <w:r>
        <w:t xml:space="preserve">observable pre-event moderators. The clean economic prediction—that the effect concentrates</w:t>
      </w:r>
      <w:r>
        <w:t xml:space="preserve"> </w:t>
      </w:r>
      <w:r>
        <w:t xml:space="preserve">in input-heavy (high-COGS/sales) firms—is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confirmed at the industry level, which</w:t>
      </w:r>
      <w:r>
        <w:t xml:space="preserve"> </w:t>
      </w:r>
      <w:r>
        <w:t xml:space="preserve">is itself informative: the industry proxy cannot see which firms within an industry actually</w:t>
      </w:r>
      <w:r>
        <w:t xml:space="preserve"> </w:t>
      </w:r>
      <w:r>
        <w:t xml:space="preserve">source abroad. (2)</w:t>
      </w:r>
      <w:r>
        <w:t xml:space="preserve"> </w:t>
      </w:r>
      <w:r>
        <w:rPr>
          <w:i/>
          <w:iCs/>
        </w:rPr>
        <w:t xml:space="preserve">Falsification</w:t>
      </w:r>
      <w:r>
        <w:t xml:space="preserve"> </w:t>
      </w:r>
      <w:r>
        <w:t xml:space="preserve">(Section </w:t>
      </w:r>
      <w:hyperlink w:anchor="sec:placebo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r>
        <w:t xml:space="preserve">Table </w:t>
      </w:r>
      <w:hyperlink w:anchor="tab:placebo">
        <w:r>
          <w:rPr>
            <w:rStyle w:val="Hyperlink"/>
          </w:rPr>
          <w:t xml:space="preserve">8</w:t>
        </w:r>
      </w:hyperlink>
      <w:r>
        <w:t xml:space="preserve">): we recompute exposure loadings on the largest</w:t>
      </w:r>
      <w:r>
        <w:t xml:space="preserve"> </w:t>
      </w:r>
      <w:r>
        <w:rPr>
          <w:i/>
          <w:iCs/>
        </w:rPr>
        <w:t xml:space="preserve">non-tariff</w:t>
      </w:r>
      <w:r>
        <w:t xml:space="preserve"> </w:t>
      </w:r>
      <w:r>
        <w:t xml:space="preserve">market-move days of 2024 using the same market model. The loadings there are smaller and</w:t>
      </w:r>
      <w:r>
        <w:t xml:space="preserve"> </w:t>
      </w:r>
      <w:r>
        <w:t xml:space="preserve">sign-inconsistent, so the tariff pattern is distinguished by its coherent opposite-signed</w:t>
      </w:r>
      <w:r>
        <w:t xml:space="preserve"> </w:t>
      </w:r>
      <w:r>
        <w:t xml:space="preserve">pairing on the same measure rather than by any single-day loading—but exposure is not</w:t>
      </w:r>
      <w:r>
        <w:t xml:space="preserve"> </w:t>
      </w:r>
      <w:r>
        <w:t xml:space="preserve">literally silent on every big day, an honest qualifier. (3)</w:t>
      </w:r>
      <w:r>
        <w:t xml:space="preserve"> </w:t>
      </w:r>
      <w:r>
        <w:rPr>
          <w:i/>
          <w:iCs/>
        </w:rPr>
        <w:t xml:space="preserve">Randomization inference</w:t>
      </w:r>
      <w:r>
        <w:t xml:space="preserve"> </w:t>
      </w:r>
      <w:r>
        <w:t xml:space="preserve">(Section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, Table </w:t>
      </w:r>
      <w:hyperlink w:anchor="tab:ri">
        <w:r>
          <w:rPr>
            <w:rStyle w:val="Hyperlink"/>
          </w:rPr>
          <w:t xml:space="preserve">9</w:t>
        </w:r>
      </w:hyperlink>
      <w:r>
        <w:t xml:space="preserve">,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): we permute the 73</w:t>
      </w:r>
      <w:r>
        <w:t xml:space="preserve"> </w:t>
      </w:r>
      <w:r>
        <w:t xml:space="preserve">industry-level intensity values across industries 1</w:t>
      </w:r>
      <w:r>
        <w:t xml:space="preserve">,</w:t>
      </w:r>
      <w:r>
        <w:t xml:space="preserve">000 times and rebuild the loadings.</w:t>
      </w:r>
      <w:r>
        <w:t xml:space="preserve"> </w:t>
      </w:r>
      <w:r>
        <w:t xml:space="preserve">The shock loading and the opposite-signed spread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pause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shock</m:t>
            </m:r>
          </m:sub>
        </m:sSub>
      </m:oMath>
      <w:r>
        <w:t xml:space="preserve"> </w:t>
      </w:r>
      <w:r>
        <w:t xml:space="preserve">are significant only at the 10% level (</w:t>
      </w:r>
      <m:oMath>
        <m:r>
          <m:t>p</m:t>
        </m:r>
        <m:r>
          <m:rPr>
            <m:sty m:val="p"/>
          </m:rPr>
          <m:t>≈</m:t>
        </m:r>
        <m:r>
          <m:t>0.08</m:t>
        </m:r>
      </m:oMath>
      <w:r>
        <w:t xml:space="preserve">–</w:t>
      </w:r>
      <m:oMath>
        <m:r>
          <m:t>0.10</m:t>
        </m:r>
      </m:oMath>
      <w:r>
        <w:t xml:space="preserve">); the pause alone is</w:t>
      </w:r>
      <w:r>
        <w:t xml:space="preserve"> </w:t>
      </w:r>
      <w:r>
        <w:t xml:space="preserve">insignificant (</w:t>
      </w:r>
      <m:oMath>
        <m:r>
          <m:t>p</m:t>
        </m:r>
        <m:r>
          <m:rPr>
            <m:sty m:val="p"/>
          </m:rPr>
          <m:t>=</m:t>
        </m:r>
        <m:r>
          <m:t>0.16</m:t>
        </m:r>
      </m:oMath>
      <w:r>
        <w:t xml:space="preserve">). The clustered-SE</w:t>
      </w:r>
      <w:r>
        <w:t xml:space="preserve"> </w:t>
      </w:r>
      <m:oMath>
        <m:r>
          <m:t>t</m:t>
        </m:r>
      </m:oMath>
      <w:r>
        <w:t xml:space="preserve">-statistics therefore overstate the evidence</w:t>
      </w:r>
      <w:r>
        <w:t xml:space="preserve"> </w:t>
      </w:r>
      <w:r>
        <w:t xml:space="preserve">available from an industry proxy. (4)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(Section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r>
        <w:t xml:space="preserve">Table </w:t>
      </w:r>
      <w:hyperlink w:anchor="tab:power">
        <w:r>
          <w:rPr>
            <w:rStyle w:val="Hyperlink"/>
          </w:rPr>
          <w:t xml:space="preserve">10</w:t>
        </w:r>
      </w:hyperlink>
      <w:r>
        <w:t xml:space="preserve">): the design’s minimum detectable effect at 80% power is about</w:t>
      </w:r>
      <w:r>
        <w:t xml:space="preserve"> </w:t>
      </w:r>
      <m:oMath>
        <m:r>
          <m:t>0.9</m:t>
        </m:r>
      </m:oMath>
      <w:r>
        <w:t xml:space="preserve">pp</w:t>
      </w:r>
      <w:r>
        <w:t xml:space="preserve"> </w:t>
      </w:r>
      <w:r>
        <w:t xml:space="preserve">per SD, just above the estimated loadings—so the marginal significance under randomization</w:t>
      </w:r>
      <w:r>
        <w:t xml:space="preserve"> </w:t>
      </w:r>
      <w:r>
        <w:t xml:space="preserve">inference is a resolution problem, not a sign problem.</w:t>
      </w:r>
    </w:p>
    <w:p>
      <w:pPr>
        <w:pStyle w:val="BodyText"/>
      </w:pPr>
      <w:r>
        <w:t xml:space="preserve">Taken together, the evidence is</w:t>
      </w:r>
      <w:r>
        <w:t xml:space="preserve"> </w:t>
      </w:r>
      <w:r>
        <w:rPr>
          <w:i/>
          <w:iCs/>
        </w:rPr>
        <w:t xml:space="preserve">suggestive and directionally consistent</w:t>
      </w:r>
      <w:r>
        <w:t xml:space="preserve"> </w:t>
      </w:r>
      <w:r>
        <w:t xml:space="preserve">but not</w:t>
      </w:r>
      <w:r>
        <w:t xml:space="preserve"> </w:t>
      </w:r>
      <w:r>
        <w:t xml:space="preserve">decisive: the market appears to have priced imported-input exposure across the shock and the</w:t>
      </w:r>
      <w:r>
        <w:t xml:space="preserve"> </w:t>
      </w:r>
      <w:r>
        <w:t xml:space="preserve">pause in a sign-coherent way, yet the statistical strength attainable from a 73-industry proxy</w:t>
      </w:r>
      <w:r>
        <w:t xml:space="preserve"> </w:t>
      </w:r>
      <w:r>
        <w:t xml:space="preserve">is limited. This is not a weakness to be hidden but the paper’s central motivation. The</w:t>
      </w:r>
      <w:r>
        <w:t xml:space="preserve"> </w:t>
      </w:r>
      <w:r>
        <w:t xml:space="preserve">identifying variation that would sharpen both the point estimate and the inference lives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industries—which apparel firm sources from Vietnam versus reshored to Mexico;</w:t>
      </w:r>
      <w:r>
        <w:t xml:space="preserve"> </w:t>
      </w:r>
      <w:r>
        <w:t xml:space="preserve">which retailer imports finished goods that the input-output measure misses entirely—and it</w:t>
      </w:r>
      <w:r>
        <w:t xml:space="preserve"> </w:t>
      </w:r>
      <w:r>
        <w:t xml:space="preserve">can only be recovered by reading filings. That firm-level, hand-collected 10-K sourcing</w:t>
      </w:r>
      <w:r>
        <w:t xml:space="preserve"> </w:t>
      </w:r>
      <w:r>
        <w:t xml:space="preserve">measure, and the country-level April-2-versus-April-9 tariff map that lets a China-sourcing</w:t>
      </w:r>
      <w:r>
        <w:t xml:space="preserve"> </w:t>
      </w:r>
      <w:r>
        <w:t xml:space="preserve">firm and a Vietnam-sourcing firm react differently to the pause, are the companion student</w:t>
      </w:r>
      <w:r>
        <w:t xml:space="preserve"> </w:t>
      </w:r>
      <w:r>
        <w:t xml:space="preserve">contribution; we deliberately restrict every test in this paper to</w:t>
      </w:r>
      <w:r>
        <w:t xml:space="preserve"> </w:t>
      </w:r>
      <w:r>
        <w:rPr>
          <w:i/>
          <w:iCs/>
        </w:rPr>
        <w:t xml:space="preserve">observable</w:t>
      </w:r>
      <w:r>
        <w:t xml:space="preserve"> </w:t>
      </w:r>
      <w:r>
        <w:t xml:space="preserve">industry- and firm-level characteristics so that the firm-level sourcing dimension is reserved</w:t>
      </w:r>
      <w:r>
        <w:t xml:space="preserve"> </w:t>
      </w:r>
      <w:r>
        <w:t xml:space="preserve">for that sharper test.</w:t>
      </w:r>
    </w:p>
    <w:p>
      <w:pPr>
        <w:pStyle w:val="BodyText"/>
      </w:pPr>
      <w:r>
        <w:t xml:space="preserve">We contribute to two literatures. Relative to the trade-war economics literature</w:t>
      </w:r>
      <w:r>
        <w:t xml:space="preserve"> </w:t>
      </w:r>
      <w:r>
        <w:t xml:space="preserve">, which documents that the 2018–2019 tariffs</w:t>
      </w:r>
      <w:r>
        <w:t xml:space="preserve"> </w:t>
      </w:r>
      <w:r>
        <w:t xml:space="preserve">raised input costs and were largely passed through to U.S. buyers, we provide</w:t>
      </w:r>
      <w:r>
        <w:t xml:space="preserve"> </w:t>
      </w:r>
      <w:r>
        <w:t xml:space="preserve">high-frequency asset-pricing evidence that equity markets price imported-input exposure in</w:t>
      </w:r>
      <w:r>
        <w:t xml:space="preserve"> </w:t>
      </w:r>
      <w:r>
        <w:t xml:space="preserve">real time and in a sign-consistent way across an imposition and a reversal, and we quantify</w:t>
      </w:r>
      <w:r>
        <w:t xml:space="preserve"> </w:t>
      </w:r>
      <w:r>
        <w:t xml:space="preserve">how much of that evidence survives design-based inference. Relative to the event-study</w:t>
      </w:r>
      <w:r>
        <w:t xml:space="preserve"> </w:t>
      </w:r>
      <w:r>
        <w:t xml:space="preserve">evidence on trade policy and firm value</w:t>
      </w:r>
      <w:r>
        <w:t xml:space="preserve"> </w:t>
      </w:r>
      <w:r>
        <w:t xml:space="preserve">, which uses tariff-list</w:t>
      </w:r>
      <w:r>
        <w:t xml:space="preserve"> </w:t>
      </w:r>
      <w:r>
        <w:t xml:space="preserve">membership around 2018–2019, we exploit a single, larger, and cleanly paired 2025 shock and</w:t>
      </w:r>
      <w:r>
        <w:t xml:space="preserve"> </w:t>
      </w:r>
      <w:r>
        <w:t xml:space="preserve">an input-output-based continuous exposure measure, and we import randomization-inference and</w:t>
      </w:r>
      <w:r>
        <w:t xml:space="preserve"> </w:t>
      </w:r>
      <w:r>
        <w:t xml:space="preserve">power tools</w:t>
      </w:r>
      <w:r>
        <w:t xml:space="preserve"> </w:t>
      </w:r>
      <w:r>
        <w:t xml:space="preserve"> </w:t>
      </w:r>
      <w:r>
        <w:t xml:space="preserve">into a trade-event-study setting where cross-sectional</w:t>
      </w:r>
      <w:r>
        <w:t xml:space="preserve"> </w:t>
      </w:r>
      <w:r>
        <w:t xml:space="preserve">correlation of abnormal returns</w:t>
      </w:r>
      <w:r>
        <w:t xml:space="preserve"> </w:t>
      </w:r>
      <w:r>
        <w:t xml:space="preserve"> </w:t>
      </w:r>
      <w:r>
        <w:t xml:space="preserve">makes naive inference fragile.</w:t>
      </w:r>
      <w:r>
        <w:t xml:space="preserve"> </w:t>
      </w:r>
      <w:r>
        <w:t xml:space="preserve">Section </w:t>
      </w:r>
      <w:hyperlink w:anchor="sec:li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places the paper in the literature; Section </w:t>
      </w:r>
      <w:hyperlink w:anchor="sec:hyp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states the</w:t>
      </w:r>
      <w:r>
        <w:t xml:space="preserve"> </w:t>
      </w:r>
      <w:r>
        <w:t xml:space="preserve">hypotheses; Section </w:t>
      </w:r>
      <w:hyperlink w:anchor="sec:data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describes the data, the exposure measure, and the</w:t>
      </w:r>
      <w:r>
        <w:t xml:space="preserve"> </w:t>
      </w:r>
      <w:r>
        <w:t xml:space="preserve">design-based apparatus; Section </w:t>
      </w:r>
      <w:hyperlink w:anchor="sec:re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main results;</w:t>
      </w:r>
      <w:r>
        <w:t xml:space="preserve"> </w:t>
      </w:r>
      <w:r>
        <w:t xml:space="preserve">Sections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–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report the four extensions;</w:t>
      </w:r>
      <w:r>
        <w:t xml:space="preserve"> </w:t>
      </w:r>
      <w:r>
        <w:t xml:space="preserve">Section </w:t>
      </w:r>
      <w:hyperlink w:anchor="sec:robust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collects robustness; Section </w:t>
      </w:r>
      <w:hyperlink w:anchor="sec:concl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concludes.</w:t>
      </w:r>
    </w:p>
    <w:bookmarkEnd w:id="11"/>
    <w:bookmarkStart w:id="12" w:name="sec:lit"/>
    <w:p>
      <w:pPr>
        <w:pStyle w:val="Heading1"/>
      </w:pPr>
      <w:r>
        <w:t xml:space="preserve">Related Literature</w:t>
      </w:r>
    </w:p>
    <w:p>
      <w:pPr>
        <w:pStyle w:val="FirstParagraph"/>
      </w:pPr>
      <w:r>
        <w:t xml:space="preserve">This paper connects three strands. The first is the economics of the 2018–2025 trade wars</w:t>
      </w:r>
      <w:r>
        <w:t xml:space="preserve"> </w:t>
      </w:r>
      <w:r>
        <w:t xml:space="preserve">and, in particular, the incidence of tariffs on imported</w:t>
      </w:r>
      <w:r>
        <w:t xml:space="preserve"> </w:t>
      </w:r>
      <w:r>
        <w:rPr>
          <w:i/>
          <w:iCs/>
        </w:rPr>
        <w:t xml:space="preserve">inputs</w:t>
      </w:r>
      <w:r>
        <w:t xml:space="preserve">. A now-large body of</w:t>
      </w:r>
      <w:r>
        <w:t xml:space="preserve"> </w:t>
      </w:r>
      <w:r>
        <w:t xml:space="preserve">work shows that the 2018–2019 U.S. tariffs were passed through almost completely to U.S.</w:t>
      </w:r>
      <w:r>
        <w:t xml:space="preserve"> </w:t>
      </w:r>
      <w:r>
        <w:t xml:space="preserve">prices, so that the burden fell on domestic buyers of imported goods and intermediates rather</w:t>
      </w:r>
      <w:r>
        <w:t xml:space="preserve"> </w:t>
      </w:r>
      <w:r>
        <w:t xml:space="preserve">than on foreign exporters</w:t>
      </w:r>
      <w:r>
        <w:t xml:space="preserve"> </w:t>
      </w:r>
      <w:r>
        <w:t xml:space="preserve">, and that policy uncertainty about</w:t>
      </w:r>
      <w:r>
        <w:t xml:space="preserve"> </w:t>
      </w:r>
      <w:r>
        <w:t xml:space="preserve">trade itself depresses investment and trade volumes</w:t>
      </w:r>
      <w:r>
        <w:t xml:space="preserve"> </w:t>
      </w:r>
      <w:r>
        <w:t xml:space="preserve">. Because</w:t>
      </w:r>
      <w:r>
        <w:t xml:space="preserve"> </w:t>
      </w:r>
      <w:r>
        <w:t xml:space="preserve">modern production is organized around global value chains</w:t>
      </w:r>
      <w:r>
        <w:t xml:space="preserve"> </w:t>
      </w:r>
      <w:r>
        <w:t xml:space="preserve">, a tariff on</w:t>
      </w:r>
      <w:r>
        <w:t xml:space="preserve"> </w:t>
      </w:r>
      <w:r>
        <w:t xml:space="preserve">imported intermediates is a cost shock that propagates to any firm embedded in an</w:t>
      </w:r>
      <w:r>
        <w:t xml:space="preserve"> </w:t>
      </w:r>
      <w:r>
        <w:t xml:space="preserve">import-intensive supply chain, and the manufacturing sector—already reshaped by earlier</w:t>
      </w:r>
      <w:r>
        <w:t xml:space="preserve"> </w:t>
      </w:r>
      <w:r>
        <w:t xml:space="preserve">trade liberalization</w:t>
      </w:r>
      <w:r>
        <w:t xml:space="preserve"> </w:t>
      </w:r>
      <w:r>
        <w:t xml:space="preserve">—is where that exposure concentrates. Our</w:t>
      </w:r>
      <w:r>
        <w:t xml:space="preserve"> </w:t>
      </w:r>
      <w:r>
        <w:t xml:space="preserve">input-output exposure measure operationalizes exactly this channel: it is the share of an</w:t>
      </w:r>
      <w:r>
        <w:t xml:space="preserve"> </w:t>
      </w:r>
      <w:r>
        <w:t xml:space="preserve">industry’s gross output accounted for by imported intermediate inputs. We contribute</w:t>
      </w:r>
      <w:r>
        <w:t xml:space="preserve"> </w:t>
      </w:r>
      <w:r>
        <w:t xml:space="preserve">high-frequency, market-based evidence on how equity prices capitalize that cost exposure when</w:t>
      </w:r>
      <w:r>
        <w:t xml:space="preserve"> </w:t>
      </w:r>
      <w:r>
        <w:t xml:space="preserve">the tariff regime moves, in both directions, within a single week.</w:t>
      </w:r>
    </w:p>
    <w:p>
      <w:pPr>
        <w:pStyle w:val="BodyText"/>
      </w:pPr>
      <w:r>
        <w:t xml:space="preserve">The second strand is the asset-pricing and event-study literature on trade policy and firm</w:t>
      </w:r>
      <w:r>
        <w:t xml:space="preserve"> </w:t>
      </w:r>
      <w:r>
        <w:t xml:space="preserve">value.</w:t>
      </w:r>
      <w:r>
        <w:t xml:space="preserve"> </w:t>
      </w:r>
      <w:r>
        <w:t xml:space="preserve"> </w:t>
      </w:r>
      <w:r>
        <w:t xml:space="preserve">show that firms more exposed to the U.S.–China trade war through</w:t>
      </w:r>
      <w:r>
        <w:t xml:space="preserve"> </w:t>
      </w:r>
      <w:r>
        <w:t xml:space="preserve">their input-output trade networks lost value around 2018–2019 tariff announcements, and</w:t>
      </w:r>
      <w:r>
        <w:t xml:space="preserve"> </w:t>
      </w:r>
      <w:r>
        <w:t xml:space="preserve"> </w:t>
      </w:r>
      <w:r>
        <w:t xml:space="preserve">document the investment consequences. Methodologically we follow the</w:t>
      </w:r>
      <w:r>
        <w:t xml:space="preserve"> </w:t>
      </w:r>
      <w:r>
        <w:t xml:space="preserve">standard market-model event-study apparatus</w:t>
      </w:r>
      <w:r>
        <w:t xml:space="preserve"> </w:t>
      </w:r>
      <w:r>
        <w:t xml:space="preserve">, but</w:t>
      </w:r>
      <w:r>
        <w:t xml:space="preserve"> </w:t>
      </w:r>
      <w:r>
        <w:t xml:space="preserve">we exploit two features specific to April 2025 that the 2018–2019 studies could not: the</w:t>
      </w:r>
      <w:r>
        <w:t xml:space="preserve"> </w:t>
      </w:r>
      <w:r>
        <w:t xml:space="preserve">shock is a single, unusually large, cleanly dated surprise, and it is immediately followed by</w:t>
      </w:r>
      <w:r>
        <w:t xml:space="preserve"> </w:t>
      </w:r>
      <w:r>
        <w:t xml:space="preserve">an opposite-signed reversal (the pause). The paired design lets us ask not only whether</w:t>
      </w:r>
      <w:r>
        <w:t xml:space="preserve"> </w:t>
      </w:r>
      <w:r>
        <w:t xml:space="preserve">exposure loads negatively on a tariff shock but whether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exposure measure loads</w:t>
      </w:r>
      <w:r>
        <w:t xml:space="preserve"> </w:t>
      </w:r>
      <w:r>
        <w:t xml:space="preserve">positively on the reversal—a discriminating test that a generic risk factor should fail.</w:t>
      </w:r>
    </w:p>
    <w:p>
      <w:pPr>
        <w:pStyle w:val="BodyText"/>
      </w:pPr>
      <w:r>
        <w:t xml:space="preserve">The third strand is the credibility of inference in cross-sectional event studies where the</w:t>
      </w:r>
      <w:r>
        <w:t xml:space="preserve"> </w:t>
      </w:r>
      <w:r>
        <w:t xml:space="preserve">key regressor varies at a coarse (here, industry) level and abnormal returns are</w:t>
      </w:r>
      <w:r>
        <w:t xml:space="preserve"> </w:t>
      </w:r>
      <w:r>
        <w:t xml:space="preserve">cross-sectionally correlated. Cross-sectional correlation of event-window abnormal returns</w:t>
      </w:r>
      <w:r>
        <w:t xml:space="preserve"> </w:t>
      </w:r>
      <w:r>
        <w:t xml:space="preserve">badly biases conventional test statistics</w:t>
      </w:r>
      <w:r>
        <w:t xml:space="preserve"> </w:t>
      </w:r>
      <w:r>
        <w:t xml:space="preserve">, and inference with a modest</w:t>
      </w:r>
      <w:r>
        <w:t xml:space="preserve"> </w:t>
      </w:r>
      <w:r>
        <w:t xml:space="preserve">number of clusters—or with a treatment that is constant within cluster—benefits from</w:t>
      </w:r>
      <w:r>
        <w:t xml:space="preserve"> </w:t>
      </w:r>
      <w:r>
        <w:t xml:space="preserve">design-based methods such as the wild cluster bootstrap</w:t>
      </w:r>
      <w:r>
        <w:t xml:space="preserve"> </w:t>
      </w:r>
      <w:r>
        <w:t xml:space="preserve"> </w:t>
      </w:r>
      <w:r>
        <w:t xml:space="preserve">and randomization</w:t>
      </w:r>
      <w:r>
        <w:t xml:space="preserve"> </w:t>
      </w:r>
      <w:r>
        <w:t xml:space="preserve">inference</w:t>
      </w:r>
      <w:r>
        <w:t xml:space="preserve"> </w:t>
      </w:r>
      <w:r>
        <w:t xml:space="preserve">. We use randomization inference not as decoration but as the</w:t>
      </w:r>
      <w:r>
        <w:t xml:space="preserve"> </w:t>
      </w:r>
      <w:r>
        <w:t xml:space="preserve">primary honesty check: permuting industry exposure across industries provides a reference</w:t>
      </w:r>
      <w:r>
        <w:t xml:space="preserve"> </w:t>
      </w:r>
      <w:r>
        <w:t xml:space="preserve">distribution that respects the fact that our exposure has only 73 independent industry values,</w:t>
      </w:r>
      <w:r>
        <w:t xml:space="preserve"> </w:t>
      </w:r>
      <w:r>
        <w:t xml:space="preserve">and it materially tempers the conventional</w:t>
      </w:r>
      <w:r>
        <w:t xml:space="preserve"> </w:t>
      </w:r>
      <m:oMath>
        <m:r>
          <m:t>t</m:t>
        </m:r>
      </m:oMath>
      <w:r>
        <w:t xml:space="preserve">-statistics. Finally, we follow the guidance that</w:t>
      </w:r>
      <w:r>
        <w:t xml:space="preserve"> </w:t>
      </w:r>
      <w:r>
        <w:t xml:space="preserve">an estimate near a conventional threshold should be interpreted through its power and minimum</w:t>
      </w:r>
      <w:r>
        <w:t xml:space="preserve"> </w:t>
      </w:r>
      <w:r>
        <w:t xml:space="preserve">detectable effect rather than through a bare significance star</w:t>
      </w:r>
      <w:r>
        <w:t xml:space="preserve"> </w:t>
      </w:r>
      <w:r>
        <w:t xml:space="preserve">; the power</w:t>
      </w:r>
      <w:r>
        <w:t xml:space="preserve"> </w:t>
      </w:r>
      <w:r>
        <w:t xml:space="preserve">analysis in Section 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states what the design can and cannot resolve.</w:t>
      </w:r>
    </w:p>
    <w:bookmarkEnd w:id="12"/>
    <w:bookmarkStart w:id="13" w:name="sec:hyp"/>
    <w:p>
      <w:pPr>
        <w:pStyle w:val="Heading1"/>
      </w:pPr>
      <w:r>
        <w:t xml:space="preserve">Hypotheses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imported-input intensity of industry</w:t>
      </w:r>
      <w:r>
        <w:t xml:space="preserve"> </w:t>
      </w:r>
      <m:oMath>
        <m:r>
          <m:t>j</m:t>
        </m:r>
      </m:oMath>
      <w:r>
        <w:t xml:space="preserve">. A tariff raises the</w:t>
      </w:r>
      <w:r>
        <w:t xml:space="preserve"> </w:t>
      </w:r>
      <w:r>
        <w:t xml:space="preserve">domestic price of imported inputs; the present value of a firm in industry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falls with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a tariff becomes more likely, and rises with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 becomes less</w:t>
      </w:r>
      <w:r>
        <w:t xml:space="preserve"> </w:t>
      </w:r>
      <w:r>
        <w:t xml:space="preserve">likely, absent perfectly elastic input substitution.</w:t>
      </w:r>
    </w:p>
    <w:p>
      <w:pPr>
        <w:pStyle w:val="BlockText"/>
      </w:pPr>
      <w:r>
        <w:rPr>
          <w:b/>
          <w:bCs/>
        </w:rPr>
        <w:t xml:space="preserve">H1 (Shock).</w:t>
      </w:r>
      <w:r>
        <w:t xml:space="preserve"> </w:t>
      </w:r>
      <w:r>
        <w:t xml:space="preserve">Abnormal returns over the April 3–4 tariff shock are decreasing in</w:t>
      </w:r>
      <w:r>
        <w:t xml:space="preserve"> </w:t>
      </w:r>
      <w:r>
        <w:t xml:space="preserve">imported-input intensity.</w:t>
      </w:r>
      <w:r>
        <w:br/>
      </w:r>
      <w:r>
        <w:rPr>
          <w:b/>
          <w:bCs/>
        </w:rPr>
        <w:t xml:space="preserve">H2 (Pause).</w:t>
      </w:r>
      <w:r>
        <w:t xml:space="preserve"> </w:t>
      </w:r>
      <w:r>
        <w:t xml:space="preserve">Abnormal returns on the April 9 pause are increasing in imported-input</w:t>
      </w:r>
      <w:r>
        <w:t xml:space="preserve"> </w:t>
      </w:r>
      <w:r>
        <w:t xml:space="preserve">intensity.</w:t>
      </w:r>
      <w:r>
        <w:br/>
      </w:r>
      <w:r>
        <w:rPr>
          <w:b/>
          <w:bCs/>
        </w:rPr>
        <w:t xml:space="preserve">H3 (Symmetry).</w:t>
      </w:r>
      <w:r>
        <w:t xml:space="preserve"> </w:t>
      </w:r>
      <w:r>
        <w:t xml:space="preserve">The exposure loadings on the shock and the pause are opposite-signed;</w:t>
      </w:r>
      <w:r>
        <w:t xml:space="preserve"> </w:t>
      </w:r>
      <w:r>
        <w:t xml:space="preserve">under a full reversal, the shock-plus-pause round-trip loading is zero.</w:t>
      </w:r>
    </w:p>
    <w:p>
      <w:pPr>
        <w:pStyle w:val="FirstParagraph"/>
      </w:pPr>
      <w:r>
        <w:t xml:space="preserve">H3 is the discriminating test. A generic risk factor (for instance, if import-intensive</w:t>
      </w:r>
      <w:r>
        <w:t xml:space="preserve"> </w:t>
      </w:r>
      <w:r>
        <w:t xml:space="preserve">firms simply have higher betas) would tend to produce</w:t>
      </w:r>
      <w:r>
        <w:t xml:space="preserve"> </w:t>
      </w:r>
      <w:r>
        <w:rPr>
          <w:i/>
          <w:iCs/>
        </w:rPr>
        <w:t xml:space="preserve">same</w:t>
      </w:r>
      <w:r>
        <w:t xml:space="preserve">-signed raw comovement</w:t>
      </w:r>
      <w:r>
        <w:t xml:space="preserve"> </w:t>
      </w:r>
      <w:r>
        <w:t xml:space="preserve">with the market on both a down day and an up day; we neutralize that channel by studying</w:t>
      </w:r>
      <w:r>
        <w:t xml:space="preserve"> </w:t>
      </w:r>
      <w:r>
        <w:t xml:space="preserve">market-model</w:t>
      </w:r>
      <w:r>
        <w:t xml:space="preserve"> </w:t>
      </w:r>
      <w:r>
        <w:rPr>
          <w:i/>
          <w:iCs/>
        </w:rPr>
        <w:t xml:space="preserve">abnormal</w:t>
      </w:r>
      <w:r>
        <w:t xml:space="preserve"> </w:t>
      </w:r>
      <w:r>
        <w:t xml:space="preserve">returns and by controlling for pre-event beta directly, so a</w:t>
      </w:r>
      <w:r>
        <w:t xml:space="preserve"> </w:t>
      </w:r>
      <w:r>
        <w:t xml:space="preserve">surviving opposite-signed loading is attributable to the tariff news rather than to market</w:t>
      </w:r>
      <w:r>
        <w:t xml:space="preserve"> </w:t>
      </w:r>
      <w:r>
        <w:t xml:space="preserve">timing. Section </w:t>
      </w:r>
      <w:hyperlink w:anchor="sec:placebo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tests the residual-beta concern directly by re-running the</w:t>
      </w:r>
      <w:r>
        <w:t xml:space="preserve"> </w:t>
      </w:r>
      <w:r>
        <w:t xml:space="preserve">exposure regression on non-tariff big-move days, and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asks how likely the</w:t>
      </w:r>
      <w:r>
        <w:t xml:space="preserve"> </w:t>
      </w:r>
      <w:r>
        <w:t xml:space="preserve">observed opposite-signed spread is under random assignment of industry exposure.</w:t>
      </w:r>
    </w:p>
    <w:bookmarkEnd w:id="13"/>
    <w:bookmarkStart w:id="18" w:name="sec:data"/>
    <w:p>
      <w:pPr>
        <w:pStyle w:val="Heading1"/>
      </w:pPr>
      <w:r>
        <w:t xml:space="preserve">Data and Research Design</w:t>
      </w:r>
    </w:p>
    <w:bookmarkStart w:id="14" w:name="sample."/>
    <w:p>
      <w:pPr>
        <w:pStyle w:val="Heading4"/>
      </w:pPr>
      <w:r>
        <w:t xml:space="preserve">Sample.</w:t>
      </w:r>
    </w:p>
    <w:p>
      <w:pPr>
        <w:pStyle w:val="FirstParagraph"/>
      </w:pPr>
      <w:r>
        <w:t xml:space="preserve">We start from all U.S. common shares (CRSP</w:t>
      </w:r>
      <w:r>
        <w:t xml:space="preserve"> </w:t>
      </w:r>
      <w:r>
        <w:rPr>
          <w:rStyle w:val="VerbatimChar"/>
        </w:rPr>
        <w:t xml:space="preserve">stocknames_v2</w:t>
      </w:r>
      <w:r>
        <w:t xml:space="preserve"> </w:t>
      </w:r>
      <w:r>
        <w:t xml:space="preserve">share type NS, security type EQTY/COM) trading on the NYSE, AMEX, or Nasdaq in April 2025:</w:t>
      </w:r>
      <w:r>
        <w:t xml:space="preserve"> </w:t>
      </w:r>
      <w:r>
        <w:t xml:space="preserve">5</w:t>
      </w:r>
      <w:r>
        <w:t xml:space="preserve">,</w:t>
      </w:r>
      <w:r>
        <w:t xml:space="preserve">072 stocks. We pull CRSP daily returns from</w:t>
      </w:r>
      <w:r>
        <w:t xml:space="preserve"> </w:t>
      </w:r>
      <w:r>
        <w:rPr>
          <w:rStyle w:val="VerbatimChar"/>
        </w:rPr>
        <w:t xml:space="preserve">dsf_v2</w:t>
      </w:r>
      <w:r>
        <w:t xml:space="preserve"> </w:t>
      </w:r>
      <w:r>
        <w:t xml:space="preserve">for 2024-01 through</w:t>
      </w:r>
      <w:r>
        <w:t xml:space="preserve"> </w:t>
      </w:r>
      <w:r>
        <w:t xml:space="preserve">2025-05, giving the estimation window and the event windows. The daily market return is the</w:t>
      </w:r>
      <w:r>
        <w:t xml:space="preserve"> </w:t>
      </w:r>
      <w:r>
        <w:t xml:space="preserve">Fama–French market factor plus the risk-free rate (</w:t>
      </w:r>
      <w:r>
        <w:rPr>
          <w:rStyle w:val="VerbatimChar"/>
        </w:rPr>
        <w:t xml:space="preserve">mktrf</w:t>
      </w:r>
      <w:r>
        <w:t xml:space="preserve">+</w:t>
      </w:r>
      <w:r>
        <w:rPr>
          <w:rStyle w:val="VerbatimChar"/>
        </w:rPr>
        <w:t xml:space="preserve">rf</w:t>
      </w:r>
      <w:r>
        <w:t xml:space="preserve">), because the</w:t>
      </w:r>
      <w:r>
        <w:t xml:space="preserve"> </w:t>
      </w:r>
      <w:r>
        <w:t xml:space="preserve">legacy CRSP index table has no 2025 rows; it registers the episode exactly (</w:t>
      </w:r>
      <m:oMath>
        <m:r>
          <m:rPr>
            <m:sty m:val="p"/>
          </m:rPr>
          <m:t>−</m:t>
        </m:r>
        <m:r>
          <m:t>5.11</m:t>
        </m:r>
        <m:r>
          <m:rPr>
            <m:sty m:val="p"/>
          </m:rPr>
          <m:t>%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April 3,</w:t>
      </w:r>
      <w:r>
        <w:t xml:space="preserve"> </w:t>
      </w:r>
      <m:oMath>
        <m:r>
          <m:rPr>
            <m:sty m:val="p"/>
          </m:rPr>
          <m:t>−</m:t>
        </m:r>
        <m:r>
          <m:t>5.90</m:t>
        </m:r>
        <m:r>
          <m:rPr>
            <m:sty m:val="p"/>
          </m:rPr>
          <m:t>%</m:t>
        </m:r>
      </m:oMath>
      <w:r>
        <w:t xml:space="preserve"> </w:t>
      </w:r>
      <w:r>
        <w:t xml:space="preserve">on April 4,</w:t>
      </w:r>
      <w:r>
        <w:t xml:space="preserve"> </w:t>
      </w:r>
      <m:oMath>
        <m:r>
          <m:rPr>
            <m:sty m:val="p"/>
          </m:rPr>
          <m:t>+</m:t>
        </m:r>
        <m:r>
          <m:t>9.67</m:t>
        </m:r>
        <m:r>
          <m:rPr>
            <m:sty m:val="p"/>
          </m:rPr>
          <m:t>%</m:t>
        </m:r>
      </m:oMath>
      <w:r>
        <w:t xml:space="preserve"> </w:t>
      </w:r>
      <w:r>
        <w:t xml:space="preserve">on April 9). Merging to Compustat fundamentals</w:t>
      </w:r>
      <w:r>
        <w:t xml:space="preserve"> </w:t>
      </w:r>
      <w:r>
        <w:t xml:space="preserve">(via the CCM link) and to a non-missing industry exposure leaves 4</w:t>
      </w:r>
      <w:r>
        <w:t xml:space="preserve">,</w:t>
      </w:r>
      <w:r>
        <w:t xml:space="preserve">275 firms across 73</w:t>
      </w:r>
      <w:r>
        <w:t xml:space="preserve"> </w:t>
      </w:r>
      <w:r>
        <w:t xml:space="preserve">NAICS-3 industries in the analytical panel.</w:t>
      </w:r>
    </w:p>
    <w:bookmarkEnd w:id="14"/>
    <w:bookmarkStart w:id="15" w:name="imported-input-intensity."/>
    <w:p>
      <w:pPr>
        <w:pStyle w:val="Heading4"/>
      </w:pPr>
      <w:r>
        <w:t xml:space="preserve">Imported-input intensity.</w:t>
      </w:r>
    </w:p>
    <w:p>
      <w:pPr>
        <w:pStyle w:val="FirstParagraph"/>
      </w:pPr>
      <w:r>
        <w:t xml:space="preserve">For each BEA summary industry we sum the imported</w:t>
      </w:r>
      <w:r>
        <w:t xml:space="preserve"> </w:t>
      </w:r>
      <w:r>
        <w:t xml:space="preserve">intermediate inputs it uses (the column total over imported commodities in the BEA 2023</w:t>
      </w:r>
      <w:r>
        <w:t xml:space="preserve"> </w:t>
      </w:r>
      <w:r>
        <w:t xml:space="preserve">Summary Import Matrix, Before Redefinitions) and divide by that industry’s 2023 gross output</w:t>
      </w:r>
      <w:r>
        <w:t xml:space="preserve"> </w:t>
      </w:r>
      <w:r>
        <w:t xml:space="preserve">(BEA GDP-by-industry). We map the 66 resulting BEA industries to NAICS-3 codes and attach</w:t>
      </w:r>
      <w:r>
        <w:t xml:space="preserve"> </w:t>
      </w:r>
      <w:r>
        <w:t xml:space="preserve">the intensity to each firm through its Compustat NAICS. The measure captures</w:t>
      </w:r>
      <w:r>
        <w:t xml:space="preserve"> </w:t>
      </w:r>
      <w:r>
        <w:rPr>
          <w:i/>
          <w:iCs/>
        </w:rPr>
        <w:t xml:space="preserve">cost-side</w:t>
      </w:r>
      <w:r>
        <w:t xml:space="preserve"> </w:t>
      </w:r>
      <w:r>
        <w:t xml:space="preserve">exposure to imported intermediates; it understates the exposure of retailers that import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goods (which enter final demand, not intermediate use in input-output</w:t>
      </w:r>
      <w:r>
        <w:t xml:space="preserve"> </w:t>
      </w:r>
      <w:r>
        <w:t xml:space="preserve">accounting), a limitation we return to and that the student’s hand-collected 10-K sourcing</w:t>
      </w:r>
      <w:r>
        <w:t xml:space="preserve"> </w:t>
      </w:r>
      <w:r>
        <w:t xml:space="preserve">data address directly. Because the measure is constant within a NAICS-3 industry, its</w:t>
      </w:r>
      <w:r>
        <w:t xml:space="preserve"> </w:t>
      </w:r>
      <w:r>
        <w:t xml:space="preserve">effective identifying variation comes from 73 industry values, not 4</w:t>
      </w:r>
      <w:r>
        <w:t xml:space="preserve">,</w:t>
      </w:r>
      <w:r>
        <w:t xml:space="preserve">275 firms—a fact that</w:t>
      </w:r>
      <w:r>
        <w:t xml:space="preserve"> </w:t>
      </w:r>
      <w:r>
        <w:t xml:space="preserve">drives the inference discussion below.</w:t>
      </w:r>
    </w:p>
    <w:bookmarkEnd w:id="15"/>
    <w:bookmarkStart w:id="16" w:name="controls-and-event-study."/>
    <w:p>
      <w:pPr>
        <w:pStyle w:val="Heading4"/>
      </w:pPr>
      <w:r>
        <w:t xml:space="preserve">Controls and event study.</w:t>
      </w:r>
    </w:p>
    <w:p>
      <w:pPr>
        <w:pStyle w:val="FirstParagraph"/>
      </w:pPr>
      <w:r>
        <w:t xml:space="preserve">Firm controls (all from the most recent pre-event</w:t>
      </w:r>
      <w:r>
        <w:t xml:space="preserve"> </w:t>
      </w:r>
      <w:r>
        <w:t xml:space="preserve">Compustat fiscal year) are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assets</m:t>
        </m:r>
        <m:r>
          <m:rPr>
            <m:sty m:val="p"/>
          </m:rPr>
          <m:t>)</m:t>
        </m:r>
      </m:oMath>
      <w:r>
        <w:t xml:space="preserve">, COGS/sales, leverage, and book-to-market;</w:t>
      </w:r>
      <w:r>
        <w:t xml:space="preserve"> </w:t>
      </w:r>
      <w:r>
        <w:t xml:space="preserve">we also control for pre-event market beta. Day 0 is April 3 for the shock (the first full</w:t>
      </w:r>
      <w:r>
        <w:t xml:space="preserve"> </w:t>
      </w:r>
      <w:r>
        <w:t xml:space="preserve">trading day after the after-close announcement) and April 9 for the pause. We estimate a</w:t>
      </w:r>
      <w:r>
        <w:t xml:space="preserve"> </w:t>
      </w:r>
      <w:r>
        <w:t xml:space="preserve">market model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R</m:t>
            </m:r>
          </m:e>
          <m:sub>
            <m:r>
              <m:t>m</m:t>
            </m:r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 </w:t>
      </w:r>
      <w:r>
        <w:t xml:space="preserve">trading</w:t>
      </w:r>
      <w:r>
        <w:t xml:space="preserve"> </w:t>
      </w:r>
      <w:r>
        <w:t xml:space="preserve">days—a window that ends in early February, before any tariff news—and cumulate abnormal</w:t>
      </w:r>
      <w:r>
        <w:t xml:space="preserve"> </w:t>
      </w:r>
      <w:r>
        <w:t xml:space="preserve">returns over the event windows. For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firm’s event-window CAR) the</w:t>
      </w:r>
      <w:r>
        <w:t xml:space="preserve"> </w:t>
      </w:r>
      <w:r>
        <w:t xml:space="preserve">cross-sectional specification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β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  <m:sub>
              <m:r>
                <m:t>j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t>j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(winsorized, standardized) imported-input intensity of firm</w:t>
      </w:r>
      <w:r>
        <w:t xml:space="preserve"> </w:t>
      </w:r>
      <m:oMath>
        <m:r>
          <m:t>i</m:t>
        </m:r>
      </m:oMath>
      <w:r>
        <w:t xml:space="preserve">’s industry,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 standardized controls plus beta, and standard errors are</w:t>
      </w:r>
      <w:r>
        <w:t xml:space="preserve"> </w:t>
      </w:r>
      <w:r>
        <w:t xml:space="preserve">clustered by NAICS-3 industry, with HC1-robust errors as a robustness check. Predictors are</w:t>
      </w:r>
      <w:r>
        <w:t xml:space="preserve"> </w:t>
      </w:r>
      <w:r>
        <w:t xml:space="preserve">winsorized at 1/99 and standardized, so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abnormal return, in CAR points, per</w:t>
      </w:r>
      <w:r>
        <w:t xml:space="preserve"> </w:t>
      </w:r>
      <w:r>
        <w:t xml:space="preserve">one-standard-deviation increase in exposure. Table </w:t>
      </w:r>
      <w:hyperlink w:anchor="tab:sumsta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summary</w:t>
      </w:r>
      <w:r>
        <w:t xml:space="preserve"> </w:t>
      </w:r>
      <w:r>
        <w:t xml:space="preserve">statistics.</w:t>
      </w:r>
    </w:p>
    <w:bookmarkEnd w:id="16"/>
    <w:bookmarkStart w:id="17" w:name="design-based-apparatus."/>
    <w:p>
      <w:pPr>
        <w:pStyle w:val="Heading4"/>
      </w:pPr>
      <w:r>
        <w:t xml:space="preserve">Design-based apparatus.</w:t>
      </w:r>
    </w:p>
    <w:p>
      <w:pPr>
        <w:pStyle w:val="FirstParagraph"/>
      </w:pPr>
      <w:r>
        <w:t xml:space="preserve">Beyond equation </w:t>
      </w:r>
      <w:hyperlink w:anchor="eq:xs">
        <w:r>
          <w:rPr>
            <w:rStyle w:val="Hyperlink"/>
          </w:rPr>
          <w:t xml:space="preserve">[eq:xs]</w:t>
        </w:r>
      </w:hyperlink>
      <w:r>
        <w:t xml:space="preserve"> </w:t>
      </w:r>
      <w:r>
        <w:t xml:space="preserve">we run three checks that do</w:t>
      </w:r>
      <w:r>
        <w:t xml:space="preserve"> </w:t>
      </w:r>
      <w:r>
        <w:t xml:space="preserve">not rely on the parametric null. (1) A</w:t>
      </w:r>
      <w:r>
        <w:t xml:space="preserve"> </w:t>
      </w:r>
      <w:r>
        <w:rPr>
          <w:i/>
          <w:iCs/>
        </w:rPr>
        <w:t xml:space="preserve">falsification</w:t>
      </w:r>
      <w:r>
        <w:t xml:space="preserve"> </w:t>
      </w:r>
      <w:r>
        <w:t xml:space="preserve">on non-tariff big-move days: using</w:t>
      </w:r>
      <w:r>
        <w:t xml:space="preserve"> </w:t>
      </w:r>
      <w:r>
        <w:t xml:space="preserve">the market model already estimated for the shock (so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valid), we compute</w:t>
      </w:r>
      <w:r>
        <w:t xml:space="preserve"> </w:t>
      </w:r>
      <w:r>
        <w:t xml:space="preserve">single-day abnormal returns on the largest generic up- and down-market days of 2024 and re-run</w:t>
      </w:r>
      <w:r>
        <w:t xml:space="preserve"> </w:t>
      </w:r>
      <w:hyperlink w:anchor="eq:xs">
        <w:r>
          <w:rPr>
            <w:rStyle w:val="Hyperlink"/>
          </w:rPr>
          <w:t xml:space="preserve">[eq:xs]</w:t>
        </w:r>
      </w:hyperlink>
      <w:r>
        <w:t xml:space="preserve">; a genuine tariff channel need not be silent on every day, but it should not</w:t>
      </w:r>
      <w:r>
        <w:t xml:space="preserve"> </w:t>
      </w:r>
      <w:r>
        <w:t xml:space="preserve">reproduce the coherent opposite-signed tariff pattern out of sample. (2)</w:t>
      </w:r>
      <w:r>
        <w:t xml:space="preserve"> </w:t>
      </w:r>
      <w:r>
        <w:rPr>
          <w:i/>
          <w:iCs/>
        </w:rPr>
        <w:t xml:space="preserve">Randomization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</w:t>
      </w:r>
      <w:r>
        <w:t xml:space="preserve">: we permute the 73 industry-level intensity values across industries, remap to</w:t>
      </w:r>
      <w:r>
        <w:t xml:space="preserve"> </w:t>
      </w:r>
      <w:r>
        <w:t xml:space="preserve">firms, re-standardize, and re-estimate the shock loading, the pause loading, and their spread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pause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shock</m:t>
            </m:r>
          </m:sub>
        </m:sSub>
      </m:oMath>
      <w:r>
        <w:t xml:space="preserve">; the design-based</w:t>
      </w:r>
      <w:r>
        <w:t xml:space="preserve"> </w:t>
      </w:r>
      <m:oMath>
        <m:r>
          <m:t>p</m:t>
        </m:r>
      </m:oMath>
      <w:r>
        <w:t xml:space="preserve">-value is the share</w:t>
      </w:r>
      <w:r>
        <w:t xml:space="preserve"> </w:t>
      </w:r>
      <w:r>
        <w:t xml:space="preserve">of 1</w:t>
      </w:r>
      <w:r>
        <w:t xml:space="preserve">,</w:t>
      </w:r>
      <w:r>
        <w:t xml:space="preserve">000 permutations at least as extreme as the actual statistic. (3)</w:t>
      </w:r>
      <w:r>
        <w:t xml:space="preserve"> </w:t>
      </w:r>
      <w:r>
        <w:rPr>
          <w:i/>
          <w:iCs/>
        </w:rPr>
        <w:t xml:space="preserve">Power</w:t>
      </w:r>
      <w:r>
        <w:t xml:space="preserve">: we</w:t>
      </w:r>
      <w:r>
        <w:t xml:space="preserve"> </w:t>
      </w:r>
      <w:r>
        <w:t xml:space="preserve">compute the minimum detectable effect at 80% power from each loading’s standard error.</w:t>
      </w:r>
      <w:r>
        <w:t xml:space="preserve"> </w:t>
      </w:r>
      <w:r>
        <w:t xml:space="preserve">Together these convert a conventional</w:t>
      </w:r>
      <w:r>
        <w:t xml:space="preserve"> </w:t>
      </w:r>
      <w:r>
        <w:t xml:space="preserve">“significant at 5%”</w:t>
      </w:r>
      <w:r>
        <w:t xml:space="preserve"> </w:t>
      </w:r>
      <w:r>
        <w:t xml:space="preserve">into a set of falsifiable,</w:t>
      </w:r>
      <w:r>
        <w:t xml:space="preserve"> </w:t>
      </w:r>
      <w:r>
        <w:t xml:space="preserve">design-based statements about what the industry proxy can support.</w:t>
      </w:r>
    </w:p>
    <w:bookmarkEnd w:id="17"/>
    <w:bookmarkEnd w:id="18"/>
    <w:bookmarkStart w:id="23" w:name="sec:res"/>
    <w:p>
      <w:pPr>
        <w:pStyle w:val="Heading1"/>
      </w:pPr>
      <w:r>
        <w:t xml:space="preserve">Main Results</w:t>
      </w:r>
    </w:p>
    <w:bookmarkStart w:id="19" w:name="the-two-shocks."/>
    <w:p>
      <w:pPr>
        <w:pStyle w:val="Heading4"/>
      </w:pPr>
      <w:r>
        <w:t xml:space="preserve">The two shocks.</w:t>
      </w:r>
    </w:p>
    <w:p>
      <w:pPr>
        <w:pStyle w:val="FirstParagraph"/>
      </w:pPr>
      <w:r>
        <w:t xml:space="preserve">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mean abnormal returns by window.</w:t>
      </w:r>
      <w:r>
        <w:t xml:space="preserve"> </w:t>
      </w:r>
      <w:r>
        <w:t xml:space="preserve">The equal-weighted mean abnormal return is</w:t>
      </w:r>
      <w:r>
        <w:t xml:space="preserve"> </w:t>
      </w:r>
      <m:oMath>
        <m:r>
          <m:rPr>
            <m:sty m:val="p"/>
          </m:rPr>
          <m:t>+</m:t>
        </m:r>
        <m:r>
          <m:t>1.36</m:t>
        </m:r>
        <m:r>
          <m:rPr>
            <m:sty m:val="p"/>
          </m:rPr>
          <m:t>%</m:t>
        </m:r>
      </m:oMath>
      <w:r>
        <w:t xml:space="preserve"> </w:t>
      </w:r>
      <w:r>
        <w:t xml:space="preserve">over the shock and</w:t>
      </w:r>
      <w:r>
        <w:t xml:space="preserve"> </w:t>
      </w:r>
      <m:oMath>
        <m:r>
          <m:rPr>
            <m:sty m:val="p"/>
          </m:rPr>
          <m:t>−</m:t>
        </m:r>
        <m:r>
          <m:t>2.38</m:t>
        </m:r>
        <m:r>
          <m:rPr>
            <m:sty m:val="p"/>
          </m:rPr>
          <m:t>%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pause: because the benchmark is (value-weighted) and the largest, most import-exposed</w:t>
      </w:r>
      <w:r>
        <w:t xml:space="preserve"> </w:t>
      </w:r>
      <w:r>
        <w:t xml:space="preserve">mega-caps moved most, the</w:t>
      </w:r>
      <w:r>
        <w:t xml:space="preserve"> </w:t>
      </w:r>
      <w:r>
        <w:rPr>
          <w:i/>
          <w:iCs/>
        </w:rPr>
        <w:t xml:space="preserve">typical</w:t>
      </w:r>
      <w:r>
        <w:t xml:space="preserve"> </w:t>
      </w:r>
      <w:r>
        <w:t xml:space="preserve">firm fell less than the index on the down days and</w:t>
      </w:r>
      <w:r>
        <w:t xml:space="preserve"> </w:t>
      </w:r>
      <w:r>
        <w:t xml:space="preserve">rose less on the up day. This makes the mean uninformative about our question and points to</w:t>
      </w:r>
      <w:r>
        <w:t xml:space="preserve"> </w:t>
      </w:r>
      <w:r>
        <w:t xml:space="preserve">the cross-section, where the exposure test lives.</w:t>
      </w:r>
    </w:p>
    <w:bookmarkEnd w:id="19"/>
    <w:bookmarkStart w:id="20" w:name="the-shock-h1."/>
    <w:p>
      <w:pPr>
        <w:pStyle w:val="Heading4"/>
      </w:pPr>
      <w:r>
        <w:t xml:space="preserve">The shock (H1).</w:t>
      </w:r>
    </w:p>
    <w:p>
      <w:pPr>
        <w:pStyle w:val="FirstParagraph"/>
      </w:pPr>
      <w:r>
        <w:t xml:space="preserve">Table </w:t>
      </w:r>
      <w:hyperlink w:anchor="tab:shock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is the core shock result. Column (1), the</w:t>
      </w:r>
      <w:r>
        <w:t xml:space="preserve"> </w:t>
      </w:r>
      <w:r>
        <w:t xml:space="preserve">raw cross-section, shows no clean relationship (</w:t>
      </w:r>
      <m:oMath>
        <m:r>
          <m:rPr>
            <m:sty m:val="p"/>
          </m:rPr>
          <m:t>+</m:t>
        </m:r>
        <m:r>
          <m:t>0.0050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1.20</m:t>
        </m:r>
      </m:oMath>
      <w:r>
        <w:t xml:space="preserve">): import-intensive</w:t>
      </w:r>
      <w:r>
        <w:t xml:space="preserve"> </w:t>
      </w:r>
      <w:r>
        <w:t xml:space="preserve">industries are large and high-beta, and those load strongly (ln assets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</m:oMath>
      <w:r>
        <w:t xml:space="preserve">, beta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20</m:t>
        </m:r>
      </m:oMath>
      <w:r>
        <w:t xml:space="preserve">). Adding size and beta in column (2) uncovers the hypothesized negative loading,</w:t>
      </w:r>
      <w:r>
        <w:t xml:space="preserve"> </w:t>
      </w:r>
      <m:oMath>
        <m:r>
          <m:rPr>
            <m:sty m:val="p"/>
          </m:rPr>
          <m:t>−</m:t>
        </m:r>
        <m:r>
          <m:t>0.62</m:t>
        </m:r>
      </m:oMath>
      <w:r>
        <w:t xml:space="preserve">pp per SD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2.23</m:t>
        </m:r>
      </m:oMath>
      <w:r>
        <w:t xml:space="preserve">); the full-control specification in column (3) gives</w:t>
      </w:r>
      <w:r>
        <w:t xml:space="preserve"> </w:t>
      </w:r>
      <m:oMath>
        <m:r>
          <m:rPr>
            <m:sty m:val="p"/>
          </m:rPr>
          <m:t>−</m:t>
        </m:r>
        <m:r>
          <m:t>0.73</m:t>
        </m:r>
      </m:oMath>
      <w:r>
        <w:t xml:space="preserve">pp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2.35</m:t>
        </m:r>
      </m:oMath>
      <w:r>
        <w:t xml:space="preserve">). H1 is supported</w:t>
      </w:r>
      <w:r>
        <w:t xml:space="preserve"> </w:t>
      </w:r>
      <w:r>
        <w:rPr>
          <w:i/>
          <w:iCs/>
        </w:rPr>
        <w:t xml:space="preserve">conditionally</w:t>
      </w:r>
      <w:r>
        <w:t xml:space="preserve">. Column (4) adds a manufacturing dummy,</w:t>
      </w:r>
      <w:r>
        <w:t xml:space="preserve"> </w:t>
      </w:r>
      <w:r>
        <w:t xml:space="preserve">which is collinear with imported-input intensity (import-intensive industries are largely</w:t>
      </w:r>
      <w:r>
        <w:t xml:space="preserve"> </w:t>
      </w:r>
      <w:r>
        <w:t xml:space="preserve">manufacturing) and absorbs the coefficient—an honest indication that the effect operates</w:t>
      </w:r>
      <w:r>
        <w:t xml:space="preserve"> </w:t>
      </w:r>
      <w:r>
        <w:t xml:space="preserve">through goods-producing sectors rather than being a within-industry firm effect.</w:t>
      </w:r>
    </w:p>
    <w:bookmarkEnd w:id="20"/>
    <w:bookmarkStart w:id="21" w:name="the-pause-h2-and-symmetry-h3."/>
    <w:p>
      <w:pPr>
        <w:pStyle w:val="Heading4"/>
      </w:pPr>
      <w:r>
        <w:t xml:space="preserve">The pause (H2) and symmetry (H3).</w:t>
      </w:r>
    </w:p>
    <w:p>
      <w:pPr>
        <w:pStyle w:val="FirstParagraph"/>
      </w:pPr>
      <w:r>
        <w:t xml:space="preserve">Table </w:t>
      </w:r>
      <w:hyperlink w:anchor="tab:paus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repeats the design for</w:t>
      </w:r>
      <w:r>
        <w:t xml:space="preserve"> </w:t>
      </w:r>
      <w:r>
        <w:t xml:space="preserve">the April 9 pause. The sign flips exactly as H2 predicts: conditional on size and beta the</w:t>
      </w:r>
      <w:r>
        <w:t xml:space="preserve"> </w:t>
      </w:r>
      <w:r>
        <w:t xml:space="preserve">loading is</w:t>
      </w:r>
      <w:r>
        <w:t xml:space="preserve"> </w:t>
      </w:r>
      <m:oMath>
        <m:r>
          <m:rPr>
            <m:sty m:val="p"/>
          </m:rPr>
          <m:t>+</m:t>
        </m:r>
        <m:r>
          <m:t>0.49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t>1.34</m:t>
        </m:r>
      </m:oMath>
      <w:r>
        <w:t xml:space="preserve">) in column (2) and</w:t>
      </w:r>
      <w:r>
        <w:t xml:space="preserve"> </w:t>
      </w:r>
      <m:oMath>
        <m:r>
          <m:rPr>
            <m:sty m:val="p"/>
          </m:rPr>
          <m:t>+</m:t>
        </m:r>
        <m:r>
          <m:t>0.60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t>1.78</m:t>
        </m:r>
      </m:oMath>
      <w:r>
        <w:t xml:space="preserve">) in column (3). The</w:t>
      </w:r>
      <w:r>
        <w:t xml:space="preserve"> </w:t>
      </w:r>
      <w:r>
        <w:t xml:space="preserve">paired opposite-signed pattern—negative on the shock, positive on the pause,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exposure measure—is the paper’s central finding and is visualized in</w:t>
      </w:r>
      <w:r>
        <w:t xml:space="preserve"> </w:t>
      </w:r>
      <w:r>
        <w:t xml:space="preserve">Figure </w:t>
      </w:r>
      <w:hyperlink w:anchor="fig:av">
        <w:r>
          <w:rPr>
            <w:rStyle w:val="Hyperlink"/>
          </w:rPr>
          <w:t xml:space="preserve">1</w:t>
        </w:r>
      </w:hyperlink>
      <w:r>
        <w:t xml:space="preserve">. Table </w:t>
      </w:r>
      <w:hyperlink w:anchor="tab:robus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symmetry is tightest among</w:t>
      </w:r>
      <w:r>
        <w:t xml:space="preserve"> </w:t>
      </w:r>
      <w:r>
        <w:t xml:space="preserve">economically meaningful firms: excluding microcaps (market cap</w:t>
      </w:r>
      <w:r>
        <w:t xml:space="preserve"> </w:t>
      </w:r>
      <m:oMath>
        <m:r>
          <m:rPr>
            <m:sty m:val="p"/>
          </m:rPr>
          <m:t>&lt;</m:t>
        </m:r>
        <m:r>
          <m:rPr>
            <m:sty m:val="p"/>
          </m:rPr>
          <m:t>$</m:t>
        </m:r>
        <m:r>
          <m:t>300</m:t>
        </m:r>
      </m:oMath>
      <w:r>
        <w:t xml:space="preserve">m), the loadings are</w:t>
      </w:r>
      <w:r>
        <w:t xml:space="preserve"> </w:t>
      </w:r>
      <m:oMath>
        <m:r>
          <m:rPr>
            <m:sty m:val="p"/>
          </m:rPr>
          <m:t>−</m:t>
        </m:r>
        <m:r>
          <m:t>0.77</m:t>
        </m:r>
      </m:oMath>
      <w:r>
        <w:t xml:space="preserve">pp on the shock and</w:t>
      </w:r>
      <w:r>
        <w:t xml:space="preserve"> </w:t>
      </w:r>
      <m:oMath>
        <m:r>
          <m:rPr>
            <m:sty m:val="p"/>
          </m:rPr>
          <m:t>+</m:t>
        </m:r>
        <m:r>
          <m:t>0.77</m:t>
        </m:r>
      </m:oMath>
      <w:r>
        <w:t xml:space="preserve">pp on the pause, both with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2.1</m:t>
        </m:r>
      </m:oMath>
      <w:r>
        <w:t xml:space="preserve">, and the</w:t>
      </w:r>
      <w:r>
        <w:t xml:space="preserve"> </w:t>
      </w:r>
      <w:r>
        <w:t xml:space="preserve">shock-plus-pause round-trip loading is an insignificant</w:t>
      </w:r>
      <w:r>
        <w:t xml:space="preserve"> </w:t>
      </w:r>
      <m:oMath>
        <m:r>
          <m:rPr>
            <m:sty m:val="p"/>
          </m:rPr>
          <m:t>−</m:t>
        </m:r>
        <m:r>
          <m:t>0.12</m:t>
        </m:r>
      </m:oMath>
      <w:r>
        <w:t xml:space="preserve">pp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0.46</m:t>
        </m:r>
      </m:oMath>
      <w:r>
        <w:t xml:space="preserve">)—the pause</w:t>
      </w:r>
      <w:r>
        <w:t xml:space="preserve"> </w:t>
      </w:r>
      <w:r>
        <w:t xml:space="preserve">essentially reversed the shock’s exposure effect, satisfying H3. Table </w:t>
      </w:r>
      <w:hyperlink w:anchor="tab:quartile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same message non-parametrically once size and beta are held fixed; the raw</w:t>
      </w:r>
      <w:r>
        <w:t xml:space="preserve"> </w:t>
      </w:r>
      <w:r>
        <w:t xml:space="preserve">quartile means are noisy precisely because the unconditional cross-section is dominated by</w:t>
      </w:r>
      <w:r>
        <w:t xml:space="preserve"> </w:t>
      </w:r>
      <w:r>
        <w:t xml:space="preserve">size and beta.</w:t>
      </w:r>
    </w:p>
    <w:bookmarkEnd w:id="21"/>
    <w:bookmarkStart w:id="22" w:name="magnitude."/>
    <w:p>
      <w:pPr>
        <w:pStyle w:val="Heading4"/>
      </w:pPr>
      <w:r>
        <w:t xml:space="preserve">Magnitude.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t>0.6</m:t>
        </m:r>
      </m:oMath>
      <w:r>
        <w:t xml:space="preserve">–</w:t>
      </w:r>
      <m:oMath>
        <m:r>
          <m:t>0.8</m:t>
        </m:r>
      </m:oMath>
      <w:r>
        <w:t xml:space="preserve">pp abnormal move per standard deviation of exposure is</w:t>
      </w:r>
      <w:r>
        <w:t xml:space="preserve"> </w:t>
      </w:r>
      <w:r>
        <w:t xml:space="preserve">economically modest but not trivial: the interquartile range of imported-input intensity is</w:t>
      </w:r>
      <w:r>
        <w:t xml:space="preserve"> </w:t>
      </w:r>
      <w:r>
        <w:t xml:space="preserve">about 2.0 SD, so moving from the 25th to the 75th percentile industry is associated with</w:t>
      </w:r>
      <w:r>
        <w:t xml:space="preserve"> </w:t>
      </w:r>
      <w:r>
        <w:t xml:space="preserve">roughly a</w:t>
      </w:r>
      <w:r>
        <w:t xml:space="preserve"> </w:t>
      </w:r>
      <m:oMath>
        <m:r>
          <m:t>1.5</m:t>
        </m:r>
      </m:oMath>
      <w:r>
        <w:t xml:space="preserve">pp larger drop on the shock and a comparable rebound on the pause, on top of</w:t>
      </w:r>
      <w:r>
        <w:t xml:space="preserve"> </w:t>
      </w:r>
      <w:r>
        <w:t xml:space="preserve">the market move. Figure </w:t>
      </w:r>
      <w:hyperlink w:anchor="fig:path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plots cumulative abnormal returns for the top and</w:t>
      </w:r>
      <w:r>
        <w:t xml:space="preserve"> </w:t>
      </w:r>
      <w:r>
        <w:t xml:space="preserve">bottom exposure quartiles and shows high-exposure firms persistently underperforming through</w:t>
      </w:r>
      <w:r>
        <w:t xml:space="preserve"> </w:t>
      </w:r>
      <w:r>
        <w:t xml:space="preserve">the episode. Sections </w:t>
      </w:r>
      <w:hyperlink w:anchor="sec:het">
        <w:r>
          <w:rPr>
            <w:rStyle w:val="Hyperlink"/>
          </w:rPr>
          <w:t xml:space="preserve">6</w:t>
        </w:r>
      </w:hyperlink>
      <w:r>
        <w:t xml:space="preserve">–</w:t>
      </w:r>
      <w:hyperlink w:anchor="sec:power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now ask how much of this survives</w:t>
      </w:r>
      <w:r>
        <w:t xml:space="preserve"> </w:t>
      </w:r>
      <w:r>
        <w:t xml:space="preserve">observable-heterogeneity, out-of-sample falsification, design-based inference, and a power</w:t>
      </w:r>
      <w:r>
        <w:t xml:space="preserve"> </w:t>
      </w:r>
      <w:r>
        <w:t xml:space="preserve">audit.</w:t>
      </w:r>
    </w:p>
    <w:bookmarkEnd w:id="22"/>
    <w:bookmarkEnd w:id="23"/>
    <w:bookmarkStart w:id="24" w:name="sec:het"/>
    <w:p>
      <w:pPr>
        <w:pStyle w:val="Heading1"/>
      </w:pPr>
      <w:r>
        <w:t xml:space="preserve">Heterogeneity by Observable Moderators</w:t>
      </w:r>
    </w:p>
    <w:p>
      <w:pPr>
        <w:pStyle w:val="FirstParagraph"/>
      </w:pPr>
      <w:r>
        <w:t xml:space="preserve">If the industry exposure measure is capturing a genuine input-cost channel, the loading</w:t>
      </w:r>
      <w:r>
        <w:t xml:space="preserve"> </w:t>
      </w:r>
      <w:r>
        <w:t xml:space="preserve">should be strongest where input costs matter most—above all in firms with a high</w:t>
      </w:r>
      <w:r>
        <w:t xml:space="preserve"> </w:t>
      </w:r>
      <w:r>
        <w:t xml:space="preserve">cost-of-goods-sold share of sales, which are the input-heavy firms in any industry.</w:t>
      </w:r>
      <w:r>
        <w:t xml:space="preserve"> </w:t>
      </w:r>
      <w:r>
        <w:t xml:space="preserve">Table </w:t>
      </w:r>
      <w:hyperlink w:anchor="tab:hetero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interacts the exposure loading with five observable pre-event</w:t>
      </w:r>
      <w:r>
        <w:t xml:space="preserve"> </w:t>
      </w:r>
      <w:r>
        <w:t xml:space="preserve">moderators (each a median split): high COGS/sales, large firms, high beta, high leverage, and</w:t>
      </w:r>
      <w:r>
        <w:t xml:space="preserve"> </w:t>
      </w:r>
      <w:r>
        <w:t xml:space="preserve">high book-to-market. For each moderator we report the base loading (low-</w:t>
      </w:r>
      <m:oMath>
        <m:r>
          <m:t>M</m:t>
        </m:r>
      </m:oMath>
      <w:r>
        <w:t xml:space="preserve"> </w:t>
      </w:r>
      <w:r>
        <w:t xml:space="preserve">group) and the</w:t>
      </w:r>
      <w:r>
        <w:t xml:space="preserve"> </w:t>
      </w:r>
      <w:r>
        <w:t xml:space="preserve">interaction (extra loading for the high-</w:t>
      </w:r>
      <m:oMath>
        <m:r>
          <m:t>M</m:t>
        </m:r>
      </m:oMath>
      <w:r>
        <w:t xml:space="preserve"> </w:t>
      </w:r>
      <w:r>
        <w:t xml:space="preserve">group), separately for the shock and the pause.</w:t>
      </w:r>
    </w:p>
    <w:p>
      <w:pPr>
        <w:pStyle w:val="BodyText"/>
      </w:pPr>
      <w:r>
        <w:t xml:space="preserve">The cleanest economic prediction is not confirmed. The COGS/sales interaction is economically</w:t>
      </w:r>
      <w:r>
        <w:t xml:space="preserve"> </w:t>
      </w:r>
      <w:r>
        <w:t xml:space="preserve">small and statistically zero on both events (shock interaction</w:t>
      </w:r>
      <w:r>
        <w:t xml:space="preserve"> </w:t>
      </w:r>
      <m:oMath>
        <m:r>
          <m:rPr>
            <m:sty m:val="p"/>
          </m:rPr>
          <m:t>+</m:t>
        </m:r>
        <m:r>
          <m:t>0.0015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0.19</m:t>
        </m:r>
      </m:oMath>
      <w:r>
        <w:t xml:space="preserve">; pause</w:t>
      </w:r>
      <w:r>
        <w:t xml:space="preserve"> </w:t>
      </w:r>
      <w:r>
        <w:t xml:space="preserve">interaction</w:t>
      </w:r>
      <w:r>
        <w:t xml:space="preserve"> </w:t>
      </w:r>
      <m:oMath>
        <m:r>
          <m:rPr>
            <m:sty m:val="p"/>
          </m:rPr>
          <m:t>−</m:t>
        </m:r>
        <m:r>
          <m:t>0.0038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0.53</m:t>
        </m:r>
      </m:oMath>
      <w:r>
        <w:t xml:space="preserve">): input-heavy firms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show a systematically larger</w:t>
      </w:r>
      <w:r>
        <w:t xml:space="preserve"> </w:t>
      </w:r>
      <w:r>
        <w:t xml:space="preserve">tariff loading than input-light firms in the same exposure bucket. Read literally, this is a</w:t>
      </w:r>
      <w:r>
        <w:t xml:space="preserve"> </w:t>
      </w:r>
      <w:r>
        <w:t xml:space="preserve">limitation of the industry proxy, not evidence against the channel: because exposure is</w:t>
      </w:r>
      <w:r>
        <w:t xml:space="preserve"> </w:t>
      </w:r>
      <w:r>
        <w:t xml:space="preserve">assigned at the industry level,</w:t>
      </w:r>
      <w:r>
        <w:t xml:space="preserve"> </w:t>
      </w:r>
      <w:r>
        <w:t xml:space="preserve">“high-COGS”</w:t>
      </w:r>
      <w:r>
        <w:t xml:space="preserve"> </w:t>
      </w:r>
      <w:r>
        <w:t xml:space="preserve">and</w:t>
      </w:r>
      <w:r>
        <w:t xml:space="preserve"> </w:t>
      </w:r>
      <w:r>
        <w:t xml:space="preserve">“low-COGS”</w:t>
      </w:r>
      <w:r>
        <w:t xml:space="preserve"> </w:t>
      </w:r>
      <w:r>
        <w:t xml:space="preserve">firms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an industry</w:t>
      </w:r>
      <w:r>
        <w:t xml:space="preserve"> </w:t>
      </w:r>
      <w:r>
        <w:t xml:space="preserve">carry the identical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 so the interaction can only pick up cross-industry COGS</w:t>
      </w:r>
      <w:r>
        <w:t xml:space="preserve"> </w:t>
      </w:r>
      <w:r>
        <w:t xml:space="preserve">differences, which are weak. The moderators that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move the loading are mechanical or</w:t>
      </w:r>
      <w:r>
        <w:t xml:space="preserve"> </w:t>
      </w:r>
      <w:r>
        <w:t xml:space="preserve">size-related—the negative shock loading is concentrated in low-beta firms (base</w:t>
      </w:r>
      <w:r>
        <w:t xml:space="preserve"> </w:t>
      </w:r>
      <m:oMath>
        <m:r>
          <m:rPr>
            <m:sty m:val="p"/>
          </m:rPr>
          <m:t>−</m:t>
        </m:r>
        <m:r>
          <m:t>0.0124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3.64</m:t>
        </m:r>
      </m:oMath>
      <w:r>
        <w:t xml:space="preserve">; interaction</w:t>
      </w:r>
      <w:r>
        <w:t xml:space="preserve"> </w:t>
      </w:r>
      <m:oMath>
        <m:r>
          <m:rPr>
            <m:sty m:val="p"/>
          </m:rPr>
          <m:t>+</m:t>
        </m:r>
        <m:r>
          <m:t>0.0096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3.30</m:t>
        </m:r>
      </m:oMath>
      <w:r>
        <w:t xml:space="preserve">, so the high-beta group’s loading is</w:t>
      </w:r>
      <w:r>
        <w:t xml:space="preserve"> </w:t>
      </w:r>
      <m:oMath>
        <m:r>
          <m:rPr>
            <m:sty m:val="p"/>
          </m:rPr>
          <m:t>−</m:t>
        </m:r>
        <m:r>
          <m:t>0.0124</m:t>
        </m:r>
        <m:r>
          <m:rPr>
            <m:sty m:val="p"/>
          </m:rPr>
          <m:t>+</m:t>
        </m:r>
        <m:r>
          <m:t>0.0096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0.0028</m:t>
        </m:r>
      </m:oMath>
      <w:r>
        <w:t xml:space="preserve">, near zero once beta is separately controlled), and the pause loading</w:t>
      </w:r>
      <w:r>
        <w:t xml:space="preserve"> </w:t>
      </w:r>
      <w:r>
        <w:t xml:space="preserve">is larger for large and value firms</w:t>
      </w:r>
      <w:r>
        <w:t xml:space="preserve"> </w:t>
      </w:r>
      <w:r>
        <w:t xml:space="preserve">(size interaction</w:t>
      </w:r>
      <w:r>
        <w:t xml:space="preserve"> </w:t>
      </w:r>
      <m:oMath>
        <m:r>
          <m:rPr>
            <m:sty m:val="p"/>
          </m:rPr>
          <m:t>+</m:t>
        </m:r>
        <m:r>
          <m:t>0.0117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3.09</m:t>
        </m:r>
      </m:oMath>
      <w:r>
        <w:t xml:space="preserve">; book/market interaction</w:t>
      </w:r>
      <w:r>
        <w:t xml:space="preserve"> </w:t>
      </w:r>
      <m:oMath>
        <m:r>
          <m:rPr>
            <m:sty m:val="p"/>
          </m:rPr>
          <m:t>+</m:t>
        </m:r>
        <m:r>
          <m:t>0.0113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3.36</m:t>
        </m:r>
      </m:oMath>
      <w:r>
        <w:t xml:space="preserve">),</w:t>
      </w:r>
      <w:r>
        <w:t xml:space="preserve"> </w:t>
      </w:r>
      <w:r>
        <w:t xml:space="preserve">consistent with the mega-cap-driven mean pattern in Table </w:t>
      </w:r>
      <w:hyperlink w:anchor="tab:ca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rather than with a</w:t>
      </w:r>
      <w:r>
        <w:t xml:space="preserve"> </w:t>
      </w:r>
      <w:r>
        <w:t xml:space="preserve">sharpening of the input-cost channel. The absence of a clean COGS gradient is the first</w:t>
      </w:r>
      <w:r>
        <w:t xml:space="preserve"> </w:t>
      </w:r>
      <w:r>
        <w:t xml:space="preserve">concrete sign that the industry proxy is too coarse to localize the effect—and it is exactly</w:t>
      </w:r>
      <w:r>
        <w:t xml:space="preserve"> </w:t>
      </w:r>
      <w:r>
        <w:t xml:space="preserve">the gap the firm-level sourcing measure is designed to fill. We emphasize that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interact exposure with firm-level import reliance, source country, or a</w:t>
      </w:r>
      <w:r>
        <w:t xml:space="preserve"> </w:t>
      </w:r>
      <w:r>
        <w:t xml:space="preserve">finished-goods-importer flag: those are unobservable to us and are the student’s hand-collected</w:t>
      </w:r>
      <w:r>
        <w:t xml:space="preserve"> </w:t>
      </w:r>
      <w:r>
        <w:t xml:space="preserve">contribution; the moderators above are chosen precisely because they are observable and</w:t>
      </w:r>
      <w:r>
        <w:t xml:space="preserve"> </w:t>
      </w:r>
      <w:r>
        <w:t xml:space="preserve">orthogonal to that reserved test.</w:t>
      </w:r>
    </w:p>
    <w:bookmarkEnd w:id="24"/>
    <w:bookmarkStart w:id="25" w:name="sec:placebo"/>
    <w:p>
      <w:pPr>
        <w:pStyle w:val="Heading1"/>
      </w:pPr>
      <w:r>
        <w:t xml:space="preserve">Falsification: Non-Tariff Big-Move Days</w:t>
      </w:r>
    </w:p>
    <w:p>
      <w:pPr>
        <w:pStyle w:val="FirstParagraph"/>
      </w:pPr>
      <w:r>
        <w:t xml:space="preserve">The chief threat to a causal reading is that imported-input intensity proxies for residual</w:t>
      </w:r>
      <w:r>
        <w:t xml:space="preserve"> </w:t>
      </w:r>
      <w:r>
        <w:t xml:space="preserve">volatility or beta, so that it would load negatively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down day and positively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up day, mimicking the tariff pattern mechanically. We control for beta throughout,</w:t>
      </w:r>
      <w:r>
        <w:t xml:space="preserve"> </w:t>
      </w:r>
      <w:r>
        <w:t xml:space="preserve">but Table </w:t>
      </w:r>
      <w:hyperlink w:anchor="tab:placebo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tests the concern directly. Using the same market model estimated</w:t>
      </w:r>
      <w:r>
        <w:t xml:space="preserve"> </w:t>
      </w:r>
      <w:r>
        <w:t xml:space="preserve">for the shock (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, a window that contains these dates), we</w:t>
      </w:r>
      <w:r>
        <w:t xml:space="preserve"> </w:t>
      </w:r>
      <w:r>
        <w:t xml:space="preserve">recompute single-day abnormal returns on the four largest down-market days and four largest</w:t>
      </w:r>
      <w:r>
        <w:t xml:space="preserve"> </w:t>
      </w:r>
      <w:r>
        <w:t xml:space="preserve">up-market days of 2024—generic risk-off and risk-on days with no tariff content—and re-run</w:t>
      </w:r>
      <w:r>
        <w:t xml:space="preserve"> </w:t>
      </w:r>
      <w:r>
        <w:t xml:space="preserve">the full-control exposure regression on each.</w:t>
      </w:r>
    </w:p>
    <w:p>
      <w:pPr>
        <w:pStyle w:val="BodyText"/>
      </w:pPr>
      <w:r>
        <w:t xml:space="preserve">Two things stand out. First, the exposure loadings on generic big-move days are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 on the tariff events (mean absolute loading</w:t>
      </w:r>
      <w:r>
        <w:t xml:space="preserve"> </w:t>
      </w:r>
      <m:oMath>
        <m:r>
          <m:t>0.28</m:t>
        </m:r>
      </m:oMath>
      <w:r>
        <w:t xml:space="preserve">pp versus</w:t>
      </w:r>
      <w:r>
        <w:t xml:space="preserve"> </w:t>
      </w:r>
      <m:oMath>
        <m:r>
          <m:t>0.73</m:t>
        </m:r>
      </m:oMath>
      <w:r>
        <w:t xml:space="preserve">pp on the shock) and,</w:t>
      </w:r>
      <w:r>
        <w:t xml:space="preserve"> </w:t>
      </w:r>
      <w:r>
        <w:t xml:space="preserve">critically, they are</w:t>
      </w:r>
      <w:r>
        <w:t xml:space="preserve"> </w:t>
      </w:r>
      <w:r>
        <w:rPr>
          <w:i/>
          <w:iCs/>
        </w:rPr>
        <w:t xml:space="preserve">sign-inconsistent</w:t>
      </w:r>
      <w:r>
        <w:t xml:space="preserve">: on the four down days the loadings are</w:t>
      </w:r>
      <w:r>
        <w:t xml:space="preserve"> </w:t>
      </w:r>
      <m:oMath>
        <m:r>
          <m:rPr>
            <m:sty m:val="p"/>
          </m:rPr>
          <m:t>+</m:t>
        </m:r>
        <m:r>
          <m:t>0.0016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0.0022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0.0002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0.0026</m:t>
        </m:r>
      </m:oMath>
      <w:r>
        <w:t xml:space="preserve">, and on the four up days</w:t>
      </w:r>
      <w:r>
        <w:t xml:space="preserve"> </w:t>
      </w:r>
      <m:oMath>
        <m:r>
          <m:rPr>
            <m:sty m:val="p"/>
          </m:rPr>
          <m:t>−</m:t>
        </m:r>
        <m:r>
          <m:t>0.0091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0.0024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0.0018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+</m:t>
        </m:r>
        <m:r>
          <m:t>0.0024</m:t>
        </m:r>
      </m:oMath>
      <w:r>
        <w:t xml:space="preserve">—no systematic tendency to load with the direction of the market.</w:t>
      </w:r>
      <w:r>
        <w:t xml:space="preserve"> </w:t>
      </w:r>
      <w:r>
        <w:t xml:space="preserve">The one large negative loading occurs on an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day (November 6, 2024,</w:t>
      </w:r>
      <w:r>
        <w:t xml:space="preserve"> </w:t>
      </w:r>
      <m:oMath>
        <m:r>
          <m:rPr>
            <m:sty m:val="p"/>
          </m:rPr>
          <m:t>+</m:t>
        </m:r>
        <m:r>
          <m:t>0.0290</m:t>
        </m:r>
      </m:oMath>
      <w:r>
        <w:t xml:space="preserve"> </w:t>
      </w:r>
      <w:r>
        <w:t xml:space="preserve">market</w:t>
      </w:r>
      <w:r>
        <w:t xml:space="preserve"> </w:t>
      </w:r>
      <w:r>
        <w:t xml:space="preserve">return; exposure loading</w:t>
      </w:r>
      <w:r>
        <w:t xml:space="preserve"> </w:t>
      </w:r>
      <m:oMath>
        <m:r>
          <m:rPr>
            <m:sty m:val="p"/>
          </m:rPr>
          <m:t>−</m:t>
        </m:r>
        <m:r>
          <m:t>0.0091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2.09</m:t>
        </m:r>
      </m:oMath>
      <w:r>
        <w:t xml:space="preserve">), which is the wrong sign for the residual-beta</w:t>
      </w:r>
      <w:r>
        <w:t xml:space="preserve"> </w:t>
      </w:r>
      <w:r>
        <w:t xml:space="preserve">story and instead reflects an idiosyncratic industry rotation that day. So the residual-beta</w:t>
      </w:r>
      <w:r>
        <w:t xml:space="preserve"> </w:t>
      </w:r>
      <w:r>
        <w:t xml:space="preserve">channel does not survive: after controlling for beta, exposure does not systematically track</w:t>
      </w:r>
      <w:r>
        <w:t xml:space="preserve"> </w:t>
      </w:r>
      <w:r>
        <w:t xml:space="preserve">the market’s direction. Second, and stated plainly, exposure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literally silent on</w:t>
      </w:r>
      <w:r>
        <w:t xml:space="preserve"> </w:t>
      </w:r>
      <w:r>
        <w:t xml:space="preserve">every non-tariff day—several placebo loadings are individually significant (the industry</w:t>
      </w:r>
      <w:r>
        <w:t xml:space="preserve"> </w:t>
      </w:r>
      <w:r>
        <w:t xml:space="preserve">proxy inevitably picks up whatever industry-level return clustering happens on a given day).</w:t>
      </w:r>
      <w:r>
        <w:t xml:space="preserve"> </w:t>
      </w:r>
      <w:r>
        <w:t xml:space="preserve">The correct inference is therefore not</w:t>
      </w:r>
      <w:r>
        <w:t xml:space="preserve"> </w:t>
      </w:r>
      <w:r>
        <w:t xml:space="preserve">“exposure only loads on tariff days”</w:t>
      </w:r>
      <w:r>
        <w:t xml:space="preserve"> </w:t>
      </w:r>
      <w:r>
        <w:t xml:space="preserve">but rather that</w:t>
      </w:r>
      <w:r>
        <w:t xml:space="preserve"> </w:t>
      </w:r>
      <w:r>
        <w:rPr>
          <w:i/>
          <w:iCs/>
        </w:rPr>
        <w:t xml:space="preserve">the tariff events are distinguished by a coherent opposite-signed pairing on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measure</w:t>
      </w:r>
      <w:r>
        <w:t xml:space="preserve">, which no generic pair of big-move days reproduces. This is precisely why the paired</w:t>
      </w:r>
      <w:r>
        <w:t xml:space="preserve"> </w:t>
      </w:r>
      <w:r>
        <w:t xml:space="preserve">design, and the randomization-inference test on the spread in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, are the</w:t>
      </w:r>
      <w:r>
        <w:t xml:space="preserve"> </w:t>
      </w:r>
      <w:r>
        <w:t xml:space="preserve">right tests rather than any single-event regression.</w:t>
      </w:r>
    </w:p>
    <w:bookmarkEnd w:id="25"/>
    <w:bookmarkStart w:id="26" w:name="sec:ri"/>
    <w:p>
      <w:pPr>
        <w:pStyle w:val="Heading1"/>
      </w:pPr>
      <w:r>
        <w:t xml:space="preserve">Randomization Inference</w:t>
      </w:r>
    </w:p>
    <w:p>
      <w:pPr>
        <w:pStyle w:val="FirstParagraph"/>
      </w:pPr>
      <w:r>
        <w:t xml:space="preserve">Our exposure measure has only 73 distinct industry values, so the effective number of</w:t>
      </w:r>
      <w:r>
        <w:t xml:space="preserve"> </w:t>
      </w:r>
      <w:r>
        <w:t xml:space="preserve">independent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draws is far smaller than the 4</w:t>
      </w:r>
      <w:r>
        <w:t xml:space="preserve">,</w:t>
      </w:r>
      <w:r>
        <w:t xml:space="preserve">275 firms in the regression, and</w:t>
      </w:r>
      <w:r>
        <w:t xml:space="preserve"> </w:t>
      </w:r>
      <w:r>
        <w:t xml:space="preserve">NAICS-3 cluster-robust standard errors—which assume a growing number of clusters—can</w:t>
      </w:r>
      <w:r>
        <w:t xml:space="preserve"> </w:t>
      </w:r>
      <w:r>
        <w:t xml:space="preserve">overstate precision when the regressor is constant within cluster</w:t>
      </w:r>
      <w:r>
        <w:t xml:space="preserve"> </w:t>
      </w:r>
      <w:r>
        <w:t xml:space="preserve">. Table </w:t>
      </w:r>
      <w:hyperlink w:anchor="tab:ri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and 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 a</w:t>
      </w:r>
      <w:r>
        <w:t xml:space="preserve"> </w:t>
      </w:r>
      <w:r>
        <w:t xml:space="preserve">design-based alternative. We permute the 73 industry-level intensity values across the 73</w:t>
      </w:r>
      <w:r>
        <w:t xml:space="preserve"> </w:t>
      </w:r>
      <w:r>
        <w:t xml:space="preserve">industries 1</w:t>
      </w:r>
      <w:r>
        <w:t xml:space="preserve">,</w:t>
      </w:r>
      <w:r>
        <w:t xml:space="preserve">000 times, remap the permuted values to firms, re-standardize, and re-estimate</w:t>
      </w:r>
      <w:r>
        <w:t xml:space="preserve"> </w:t>
      </w:r>
      <w:r>
        <w:t xml:space="preserve">the full-control loading for the shock, the pause, and their opposite-signed spread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pause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shock</m:t>
            </m:r>
          </m:sub>
        </m:sSub>
      </m:oMath>
      <w:r>
        <w:t xml:space="preserve">. The design-based</w:t>
      </w:r>
      <w:r>
        <w:t xml:space="preserve"> </w:t>
      </w:r>
      <m:oMath>
        <m:r>
          <m:t>p</m:t>
        </m:r>
      </m:oMath>
      <w:r>
        <w:t xml:space="preserve">-value is the share</w:t>
      </w:r>
      <w:r>
        <w:t xml:space="preserve"> </w:t>
      </w:r>
      <w:r>
        <w:t xml:space="preserve">of permutations whose statistic is at least as extreme as the actual one; this is the sharp</w:t>
      </w:r>
      <w:r>
        <w:t xml:space="preserve"> </w:t>
      </w:r>
      <w:r>
        <w:t xml:space="preserve">test of the null that industry exposure is unrelated to CARs conditional on controls.</w:t>
      </w:r>
    </w:p>
    <w:p>
      <w:pPr>
        <w:pStyle w:val="BodyText"/>
      </w:pPr>
      <w:r>
        <w:t xml:space="preserve">The result tempers the headline honestly. The actual shock loading (</w:t>
      </w:r>
      <m:oMath>
        <m:r>
          <m:rPr>
            <m:sty m:val="p"/>
          </m:rPr>
          <m:t>−</m:t>
        </m:r>
        <m:r>
          <m:t>0.0073</m:t>
        </m:r>
      </m:oMath>
      <w:r>
        <w:t xml:space="preserve">) lies just</w:t>
      </w:r>
      <w:r>
        <w:t xml:space="preserve"> </w:t>
      </w:r>
      <w:r>
        <w:t xml:space="preserve">inside the permutation 95%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0.0091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0.0080</m:t>
        </m:r>
        <m:r>
          <m:rPr>
            <m:sty m:val="p"/>
          </m:rPr>
          <m:t>]</m:t>
        </m:r>
      </m:oMath>
      <w:r>
        <w:t xml:space="preserve">, giving a randomization</w:t>
      </w:r>
      <w:r>
        <w:t xml:space="preserve"> </w:t>
      </w:r>
      <m:oMath>
        <m:r>
          <m:t>p</m:t>
        </m:r>
      </m:oMath>
      <w:r>
        <w:t xml:space="preserve">-value of</w:t>
      </w:r>
      <w:r>
        <w:t xml:space="preserve"> </w:t>
      </w:r>
      <m:oMath>
        <m:r>
          <m:t>0.084</m:t>
        </m:r>
      </m:oMath>
      <w:r>
        <w:t xml:space="preserve">; the actual pause loading (</w:t>
      </w:r>
      <m:oMath>
        <m:r>
          <m:rPr>
            <m:sty m:val="p"/>
          </m:rPr>
          <m:t>+</m:t>
        </m:r>
        <m:r>
          <m:t>0.0060</m:t>
        </m:r>
      </m:oMath>
      <w:r>
        <w:t xml:space="preserve">) sits well inside its interval,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0.158</m:t>
        </m:r>
      </m:oMath>
      <w:r>
        <w:t xml:space="preserve">; and</w:t>
      </w:r>
      <w:r>
        <w:t xml:space="preserve"> </w:t>
      </w:r>
      <w:r>
        <w:t xml:space="preserve">the opposite-signed spread (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0.0134</m:t>
        </m:r>
      </m:oMath>
      <w:r>
        <w:t xml:space="preserve">) 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. In words: under design-based inference</w:t>
      </w:r>
      <w:r>
        <w:t xml:space="preserve"> </w:t>
      </w:r>
      <w:r>
        <w:t xml:space="preserve">at the level treatment actually varies, the shock loading and the paired opposite-signed</w:t>
      </w:r>
      <w:r>
        <w:t xml:space="preserve"> </w:t>
      </w:r>
      <w:r>
        <w:t xml:space="preserve">spread are significant only at the 10% level, and the pause on its own is not significant.</w:t>
      </w:r>
      <w:r>
        <w:t xml:space="preserve"> </w:t>
      </w:r>
      <w:r>
        <w:t xml:space="preserve">The conventional cluster-robust</w:t>
      </w:r>
      <w:r>
        <w:t xml:space="preserve"> </w:t>
      </w:r>
      <m:oMath>
        <m:r>
          <m:t>t</m:t>
        </m:r>
      </m:oMath>
      <w:r>
        <w:t xml:space="preserve">-statistics (</w:t>
      </w:r>
      <m:oMath>
        <m:r>
          <m:rPr>
            <m:sty m:val="p"/>
          </m:rPr>
          <m:t>−</m:t>
        </m:r>
        <m:r>
          <m:t>2.35</m:t>
        </m:r>
      </m:oMath>
      <w:r>
        <w:t xml:space="preserve"> </w:t>
      </w:r>
      <w:r>
        <w:t xml:space="preserve">on the shock,</w:t>
      </w:r>
      <w:r>
        <w:t xml:space="preserve"> </w:t>
      </w:r>
      <m:oMath>
        <m:r>
          <m:rPr>
            <m:sty m:val="p"/>
          </m:rPr>
          <m:t>+</m:t>
        </m:r>
        <m:r>
          <m:t>1.78</m:t>
        </m:r>
      </m:oMath>
      <w:r>
        <w:t xml:space="preserve"> </w:t>
      </w:r>
      <w:r>
        <w:t xml:space="preserve">on the pause)</w:t>
      </w:r>
      <w:r>
        <w:t xml:space="preserve"> </w:t>
      </w:r>
      <w:r>
        <w:t xml:space="preserve">thus overstate the evidence that a 73-industry proxy can bear. We read the randomization</w:t>
      </w:r>
      <w:r>
        <w:t xml:space="preserve"> </w:t>
      </w:r>
      <w:r>
        <w:t xml:space="preserve">inference as</w:t>
      </w:r>
      <w:r>
        <w:t xml:space="preserve"> </w:t>
      </w:r>
      <w:r>
        <w:rPr>
          <w:i/>
          <w:iCs/>
        </w:rPr>
        <w:t xml:space="preserve">suggestive but not decisive</w:t>
      </w:r>
      <w:r>
        <w:t xml:space="preserve"> </w:t>
      </w:r>
      <w:r>
        <w:t xml:space="preserve">support for a real industry-level</w:t>
      </w:r>
      <w:r>
        <w:t xml:space="preserve"> </w:t>
      </w:r>
      <w:r>
        <w:t xml:space="preserve">tariff-exposure channel: the actual spread is in the upper tail of the permutation distribution</w:t>
      </w:r>
      <w:r>
        <w:t xml:space="preserve"> </w:t>
      </w:r>
      <w:r>
        <w:t xml:space="preserve">(Figure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), directionally consistent with H1–H3, but not beyond what industry-level</w:t>
      </w:r>
      <w:r>
        <w:t xml:space="preserve"> </w:t>
      </w:r>
      <w:r>
        <w:t xml:space="preserve">noise produces one time in ten. Sharper inference requires identifying variation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industries—the firm-level sourcing measure the student is collecting—which would raise the</w:t>
      </w:r>
      <w:r>
        <w:t xml:space="preserve"> </w:t>
      </w:r>
      <w:r>
        <w:t xml:space="preserve">number of independent treatment values far above 73 and is the direct route to a test that can</w:t>
      </w:r>
      <w:r>
        <w:t xml:space="preserve"> </w:t>
      </w:r>
      <w:r>
        <w:t xml:space="preserve">distinguish this channel from industry-level noise.</w:t>
      </w:r>
    </w:p>
    <w:bookmarkEnd w:id="26"/>
    <w:bookmarkStart w:id="27" w:name="sec:power"/>
    <w:p>
      <w:pPr>
        <w:pStyle w:val="Heading1"/>
      </w:pPr>
      <w:r>
        <w:t xml:space="preserve">Is the Effect Precisely Estimated? Power and Minimum Detectable Effects</w:t>
      </w:r>
    </w:p>
    <w:p>
      <w:pPr>
        <w:pStyle w:val="FirstParagraph"/>
      </w:pPr>
      <w:r>
        <w:t xml:space="preserve">A marginal result can reflect either a genuinely small effect or an underpowered design.</w:t>
      </w:r>
      <w:r>
        <w:t xml:space="preserve"> </w:t>
      </w:r>
      <w:r>
        <w:t xml:space="preserve">Table </w:t>
      </w:r>
      <w:hyperlink w:anchor="tab:power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reports, for the shock, the pause, the round-trip, and the pre-window,</w:t>
      </w:r>
      <w:r>
        <w:t xml:space="preserve"> </w:t>
      </w:r>
      <w:r>
        <w:t xml:space="preserve">the minimum detectable effect (MDE) at 80% power,</w:t>
      </w:r>
      <w:r>
        <w:t xml:space="preserve"> </w:t>
      </w:r>
      <m:oMath>
        <m:r>
          <m:rPr>
            <m:nor/>
            <m:sty m:val="p"/>
          </m:rPr>
          <m:t>MDE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≈</m:t>
        </m:r>
        <m:r>
          <m:t>2.80</m:t>
        </m:r>
        <m:r>
          <m:t> </m:t>
        </m:r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</m:oMath>
      <w:r>
        <w:t xml:space="preserve">,</w:t>
      </w:r>
      <w:r>
        <w:t xml:space="preserve"> </w:t>
      </w:r>
      <w:r>
        <w:t xml:space="preserve">expressed as a share of the cross-firm standard deviation of that window’s CAR. The design’s</w:t>
      </w:r>
      <w:r>
        <w:t xml:space="preserve"> </w:t>
      </w:r>
      <w:r>
        <w:t xml:space="preserve">MDE is about</w:t>
      </w:r>
      <w:r>
        <w:t xml:space="preserve"> </w:t>
      </w:r>
      <m:oMath>
        <m:r>
          <m:t>0.88</m:t>
        </m:r>
      </m:oMath>
      <w:r>
        <w:t xml:space="preserve">pp per SD on the shock (</w:t>
      </w:r>
      <m:oMath>
        <m:r>
          <m:t>7.5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CAR SD) and</w:t>
      </w:r>
      <w:r>
        <w:t xml:space="preserve"> </w:t>
      </w:r>
      <m:oMath>
        <m:r>
          <m:t>0.95</m:t>
        </m:r>
      </m:oMath>
      <w:r>
        <w:t xml:space="preserve">pp on the pause</w:t>
      </w:r>
      <w:r>
        <w:t xml:space="preserve"> </w:t>
      </w:r>
      <w:r>
        <w:t xml:space="preserve">(</w:t>
      </w:r>
      <m:oMath>
        <m:r>
          <m:t>11.2</m:t>
        </m:r>
        <m:r>
          <m:rPr>
            <m:sty m:val="p"/>
          </m:rPr>
          <m:t>%</m:t>
        </m:r>
      </m:oMath>
      <w:r>
        <w:t xml:space="preserve">). The estimated loadings (</w:t>
      </w:r>
      <m:oMath>
        <m:r>
          <m:t>0.73</m:t>
        </m:r>
      </m:oMath>
      <w:r>
        <w:t xml:space="preserve">pp and</w:t>
      </w:r>
      <w:r>
        <w:t xml:space="preserve"> </w:t>
      </w:r>
      <m:oMath>
        <m:r>
          <m:t>0.60</m:t>
        </m:r>
      </m:oMath>
      <w:r>
        <w:t xml:space="preserve">pp) sit</w:t>
      </w:r>
      <w:r>
        <w:t xml:space="preserve"> </w:t>
      </w:r>
      <w:r>
        <w:rPr>
          <w:i/>
          <w:iCs/>
        </w:rPr>
        <w:t xml:space="preserve">just below</w:t>
      </w:r>
      <w:r>
        <w:t xml:space="preserve"> </w:t>
      </w:r>
      <w:r>
        <w:t xml:space="preserve">these</w:t>
      </w:r>
      <w:r>
        <w:t xml:space="preserve"> </w:t>
      </w:r>
      <w:r>
        <w:t xml:space="preserve">thresholds, and the achieved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</m:oMath>
      <w:r>
        <w:t xml:space="preserve">-statistics (</w:t>
      </w:r>
      <m:oMath>
        <m:r>
          <m:t>2.35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1.78</m:t>
        </m:r>
      </m:oMath>
      <w:r>
        <w:t xml:space="preserve">) are below the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</m:oMath>
      <w:r>
        <w:t xml:space="preserve"> </w:t>
      </w:r>
      <w:r>
        <w:t xml:space="preserve">needed to detect an effect of exactly this size at 80% power. In other words, the marginal</w:t>
      </w:r>
      <w:r>
        <w:t xml:space="preserve"> </w:t>
      </w:r>
      <w:r>
        <w:t xml:space="preserve">significance under randomization inference in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is a resolution problem: the</w:t>
      </w:r>
      <w:r>
        <w:t xml:space="preserve"> </w:t>
      </w:r>
      <w:r>
        <w:t xml:space="preserve">industry proxy places the true loading right at the edge of what the design can detect, so an</w:t>
      </w:r>
      <w:r>
        <w:t xml:space="preserve"> </w:t>
      </w:r>
      <w:r>
        <w:t xml:space="preserve">effect of this magnitude is expected to be borderline rather than decisively significant. The</w:t>
      </w:r>
      <w:r>
        <w:t xml:space="preserve"> </w:t>
      </w:r>
      <w:r>
        <w:t xml:space="preserve">round-trip is the informative complement: its MDE is</w:t>
      </w:r>
      <w:r>
        <w:t xml:space="preserve"> </w:t>
      </w:r>
      <m:oMath>
        <m:r>
          <m:t>0.73</m:t>
        </m:r>
      </m:oMath>
      <w:r>
        <w:t xml:space="preserve">pp per SD (</w:t>
      </w:r>
      <m:oMath>
        <m:r>
          <m:t>7.2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CAR SD),</w:t>
      </w:r>
      <w:r>
        <w:t xml:space="preserve"> </w:t>
      </w:r>
      <w:r>
        <w:t xml:space="preserve">so the near-zero round-trip loading (</w:t>
      </w:r>
      <m:oMath>
        <m:r>
          <m:rPr>
            <m:sty m:val="p"/>
          </m:rPr>
          <m:t>−</m:t>
        </m:r>
        <m:r>
          <m:t>0.12</m:t>
        </m:r>
      </m:oMath>
      <w:r>
        <w:t xml:space="preserve">pp) rules out a net repricing larger than about</w:t>
      </w:r>
      <w:r>
        <w:t xml:space="preserve"> </w:t>
      </w:r>
      <m:oMath>
        <m:r>
          <m:t>0.7</m:t>
        </m:r>
      </m:oMath>
      <w:r>
        <w:t xml:space="preserve">pp per SD—evidence that the pause reversed the shock nearly completely, consistent with</w:t>
      </w:r>
      <w:r>
        <w:t xml:space="preserve"> </w:t>
      </w:r>
      <w:r>
        <w:t xml:space="preserve">H3, rather than an underpowered zero. The power audit thus reconciles the two halves of the</w:t>
      </w:r>
      <w:r>
        <w:t xml:space="preserve"> </w:t>
      </w:r>
      <w:r>
        <w:t xml:space="preserve">paper: the paired signal is real and directionally coherent but small relative to the noise a</w:t>
      </w:r>
      <w:r>
        <w:t xml:space="preserve"> </w:t>
      </w:r>
      <w:r>
        <w:t xml:space="preserve">73-industry measure carries, and the round-trip zero is precise enough to support near-full</w:t>
      </w:r>
      <w:r>
        <w:t xml:space="preserve"> </w:t>
      </w:r>
      <w:r>
        <w:t xml:space="preserve">reversal.</w:t>
      </w:r>
    </w:p>
    <w:bookmarkEnd w:id="27"/>
    <w:bookmarkStart w:id="28" w:name="sec:robust"/>
    <w:p>
      <w:pPr>
        <w:pStyle w:val="Heading1"/>
      </w:pPr>
      <w:r>
        <w:t xml:space="preserve">Robustness</w:t>
      </w:r>
    </w:p>
    <w:p>
      <w:pPr>
        <w:pStyle w:val="FirstParagraph"/>
      </w:pPr>
      <w:r>
        <w:t xml:space="preserve">Table </w:t>
      </w:r>
      <w:hyperlink w:anchor="tab:robus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collects the conventional robustness tests. The exposure loading is (i)</w:t>
      </w:r>
      <w:r>
        <w:t xml:space="preserve"> </w:t>
      </w:r>
      <w:r>
        <w:t xml:space="preserve">opposite-signed and significant across the shock and pause under both cluster-robust and</w:t>
      </w:r>
      <w:r>
        <w:t xml:space="preserve"> </w:t>
      </w:r>
      <w:r>
        <w:t xml:space="preserve">HC1 standard errors (HC1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5.4</m:t>
        </m:r>
      </m:oMath>
      <w:r>
        <w:t xml:space="preserve">)—the HC1 errors, which ignore the industry</w:t>
      </w:r>
      <w:r>
        <w:t xml:space="preserve"> </w:t>
      </w:r>
      <w:r>
        <w:t xml:space="preserve">clustering, are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favorable and precisely the ones the randomization inference</w:t>
      </w:r>
      <w:r>
        <w:t xml:space="preserve"> </w:t>
      </w:r>
      <w:r>
        <w:t xml:space="preserve">in Section </w:t>
      </w:r>
      <w:hyperlink w:anchor="sec:ri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to be too generous; (ii) stronger over the full April 3–8</w:t>
      </w:r>
      <w:r>
        <w:t xml:space="preserve"> </w:t>
      </w:r>
      <w:r>
        <w:t xml:space="preserve">sell-off (</w:t>
      </w:r>
      <m:oMath>
        <m:r>
          <m:rPr>
            <m:sty m:val="p"/>
          </m:rPr>
          <m:t>−</m:t>
        </m:r>
        <m:r>
          <m:t>1.34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2.48</m:t>
        </m:r>
      </m:oMath>
      <w:r>
        <w:t xml:space="preserve">); and (iii) robust to excluding microcaps. Two results qualify</w:t>
      </w:r>
      <w:r>
        <w:t xml:space="preserve"> </w:t>
      </w:r>
      <w:r>
        <w:t xml:space="preserve">the</w:t>
      </w:r>
      <w:r>
        <w:t xml:space="preserve"> </w:t>
      </w:r>
      <w:r>
        <w:t xml:space="preserve">“clean event”</w:t>
      </w:r>
      <w:r>
        <w:t xml:space="preserve"> </w:t>
      </w:r>
      <w:r>
        <w:t xml:space="preserve">interpretation and we report them plainly. First, the single-day April 3</w:t>
      </w:r>
      <w:r>
        <w:t xml:space="preserve"> </w:t>
      </w:r>
      <w:r>
        <w:t xml:space="preserve">loading is insignificant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1.35</m:t>
        </m:r>
      </m:oMath>
      <w:r>
        <w:t xml:space="preserve">): most of the two-day effect is in April 4, consistent</w:t>
      </w:r>
      <w:r>
        <w:t xml:space="preserve"> </w:t>
      </w:r>
      <w:r>
        <w:t xml:space="preserve">with information diffusing as the tariff schedule was digested. Second, and more important,</w:t>
      </w:r>
      <w:r>
        <w:t xml:space="preserve"> </w:t>
      </w:r>
      <w:r>
        <w:t xml:space="preserve">imported-input intensity loads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in the pre-announcement window (March</w:t>
      </w:r>
      <w:r>
        <w:t xml:space="preserve"> </w:t>
      </w:r>
      <w:r>
        <w:t xml:space="preserve">27–April 2;</w:t>
      </w:r>
      <w:r>
        <w:t xml:space="preserve"> </w:t>
      </w:r>
      <m:oMath>
        <m:r>
          <m:rPr>
            <m:sty m:val="p"/>
          </m:rPr>
          <m:t>−</m:t>
        </m:r>
        <m:r>
          <m:t>0.53</m:t>
        </m:r>
      </m:oMath>
      <w:r>
        <w:t xml:space="preserve">pp,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2.22</m:t>
        </m:r>
      </m:oMath>
      <w:r>
        <w:t xml:space="preserve">). This is not a clean placebo: tariff news was already</w:t>
      </w:r>
      <w:r>
        <w:t xml:space="preserve"> </w:t>
      </w:r>
      <w:r>
        <w:t xml:space="preserve">flowing (Section 232 auto tariffs were announced March 26, and the reciprocal package was</w:t>
      </w:r>
      <w:r>
        <w:t xml:space="preserve"> </w:t>
      </w:r>
      <w:r>
        <w:t xml:space="preserve">pre-trailed), so the market had begun to price exposure before the formal April 2 announcement.</w:t>
      </w:r>
      <w:r>
        <w:t xml:space="preserve"> </w:t>
      </w:r>
      <w:r>
        <w:t xml:space="preserve">The pre-trend means our event-window loadings are best read as a lower bound on the total</w:t>
      </w:r>
      <w:r>
        <w:t xml:space="preserve"> </w:t>
      </w:r>
      <w:r>
        <w:t xml:space="preserve">tariff-exposure repricing rather than as the causal effect of a single surprise. Sharpening</w:t>
      </w:r>
      <w:r>
        <w:t xml:space="preserve"> </w:t>
      </w:r>
      <w:r>
        <w:t xml:space="preserve">identification requires a firm-level, time-stamped measure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tariffed countries</w:t>
      </w:r>
      <w:r>
        <w:t xml:space="preserve"> </w:t>
      </w:r>
      <w:r>
        <w:t xml:space="preserve">each firm sources from—precisely the hand-collected 10-K evidence described in the companion</w:t>
      </w:r>
      <w:r>
        <w:t xml:space="preserve"> </w:t>
      </w:r>
      <w:r>
        <w:t xml:space="preserve">task file.</w:t>
      </w:r>
    </w:p>
    <w:bookmarkEnd w:id="28"/>
    <w:bookmarkStart w:id="51" w:name="sec:concl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Across 4</w:t>
      </w:r>
      <w:r>
        <w:t xml:space="preserve">,</w:t>
      </w:r>
      <w:r>
        <w:t xml:space="preserve">275 U.S. stocks, firms in industries that rely more on imported intermediate</w:t>
      </w:r>
      <w:r>
        <w:t xml:space="preserve"> </w:t>
      </w:r>
      <w:r>
        <w:t xml:space="preserve">inputs underperformed on the April 2–4, 2025 reciprocal-tariff shock and rebounded on the</w:t>
      </w:r>
      <w:r>
        <w:t xml:space="preserve"> </w:t>
      </w:r>
      <w:r>
        <w:t xml:space="preserve">April 9 pause, once size and market beta are held fixed; the two loadings are opposite-signed</w:t>
      </w:r>
      <w:r>
        <w:t xml:space="preserve"> </w:t>
      </w:r>
      <w:r>
        <w:t xml:space="preserve">and, among non-microcap firms, nearly symmetric, and they net to zero over the round trip. A</w:t>
      </w:r>
      <w:r>
        <w:t xml:space="preserve"> </w:t>
      </w:r>
      <w:r>
        <w:t xml:space="preserve">falsification on non-tariff big-move days shows the pattern is directionally coherent rather</w:t>
      </w:r>
      <w:r>
        <w:t xml:space="preserve"> </w:t>
      </w:r>
      <w:r>
        <w:t xml:space="preserve">than a residual-beta artifact, and a power audit shows the round-trip zero is precise enough to</w:t>
      </w:r>
      <w:r>
        <w:t xml:space="preserve"> </w:t>
      </w:r>
      <w:r>
        <w:t xml:space="preserve">imply near-full reversal. But the honest bottom line, sharpened by this revision, is one of</w:t>
      </w:r>
      <w:r>
        <w:t xml:space="preserve"> </w:t>
      </w:r>
      <w:r>
        <w:rPr>
          <w:i/>
          <w:iCs/>
        </w:rPr>
        <w:t xml:space="preserve">calibrated confidence</w:t>
      </w:r>
      <w:r>
        <w:t xml:space="preserve">: because the exposure measure varies only across 73 industries,</w:t>
      </w:r>
      <w:r>
        <w:t xml:space="preserve"> </w:t>
      </w:r>
      <w:r>
        <w:t xml:space="preserve">randomization inference that respects that structure downgrades the conventional 5%</w:t>
      </w:r>
      <w:r>
        <w:t xml:space="preserve"> </w:t>
      </w:r>
      <w:r>
        <w:t xml:space="preserve">significance to roughly the 10% level, and the minimum detectable effect shows the design sits</w:t>
      </w:r>
      <w:r>
        <w:t xml:space="preserve"> </w:t>
      </w:r>
      <w:r>
        <w:t xml:space="preserve">at the edge of its resolving power for effects of this size. The market plausibly priced</w:t>
      </w:r>
      <w:r>
        <w:t xml:space="preserve"> </w:t>
      </w:r>
      <w:r>
        <w:t xml:space="preserve">imported-input cost exposure in real time and reversed that pricing when the policy was paused,</w:t>
      </w:r>
      <w:r>
        <w:t xml:space="preserve"> </w:t>
      </w:r>
      <w:r>
        <w:t xml:space="preserve">but a 73-industry proxy cannot establish it decisively.</w:t>
      </w:r>
    </w:p>
    <w:p>
      <w:pPr>
        <w:pStyle w:val="BodyText"/>
      </w:pPr>
      <w:r>
        <w:t xml:space="preserve">That limitation is the paper’s point of departure, not a footnote. The identifying variation</w:t>
      </w:r>
      <w:r>
        <w:t xml:space="preserve"> </w:t>
      </w:r>
      <w:r>
        <w:t xml:space="preserve">that would sharpen both the estimate and the inference lives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industries: which</w:t>
      </w:r>
      <w:r>
        <w:t xml:space="preserve"> </w:t>
      </w:r>
      <w:r>
        <w:t xml:space="preserve">firms in an import-intensive industry actually source abroad, which retailers import</w:t>
      </w:r>
      <w:r>
        <w:t xml:space="preserve"> </w:t>
      </w:r>
      <w:r>
        <w:rPr>
          <w:i/>
          <w:iCs/>
        </w:rPr>
        <w:t xml:space="preserve">finished</w:t>
      </w:r>
      <w:r>
        <w:t xml:space="preserve"> </w:t>
      </w:r>
      <w:r>
        <w:t xml:space="preserve">goods that the input-output measure scores as low-exposure, and which specific</w:t>
      </w:r>
      <w:r>
        <w:t xml:space="preserve"> </w:t>
      </w:r>
      <w:r>
        <w:t xml:space="preserve">countries’ tariffs changed on April 2 (broad) versus April 9 (China excluded). None of these</w:t>
      </w:r>
      <w:r>
        <w:t xml:space="preserve"> </w:t>
      </w:r>
      <w:r>
        <w:t xml:space="preserve">is observable in the input-output data; all of them can be read out of 10-K filings. The</w:t>
      </w:r>
      <w:r>
        <w:t xml:space="preserve"> </w:t>
      </w:r>
      <w:r>
        <w:t xml:space="preserve">companion student task hand-collects firm-level input sourcing and a country-level April-2025</w:t>
      </w:r>
      <w:r>
        <w:t xml:space="preserve"> </w:t>
      </w:r>
      <w:r>
        <w:t xml:space="preserve">tariff map, which together replace the industry proxy with a firm-level exposure measure and</w:t>
      </w:r>
      <w:r>
        <w:t xml:space="preserve"> </w:t>
      </w:r>
      <w:r>
        <w:t xml:space="preserve">enable a China-versus-rest test of the pause—raising the number of independent treatment</w:t>
      </w:r>
      <w:r>
        <w:t xml:space="preserve"> </w:t>
      </w:r>
      <w:r>
        <w:t xml:space="preserve">values far above 73 and turning this suggestive, proxy-based result into a sharp,</w:t>
      </w:r>
      <w:r>
        <w:t xml:space="preserve"> </w:t>
      </w:r>
      <w:r>
        <w:t xml:space="preserve">firm-level test of whether imported-input exposure was priced in the 2025 tariff shock. That</w:t>
      </w:r>
      <w:r>
        <w:t xml:space="preserve"> </w:t>
      </w:r>
      <w:r>
        <w:t xml:space="preserve">test—not another robustness check on the industry proxy—is the natural next step, and it is</w:t>
      </w:r>
      <w:r>
        <w:t xml:space="preserve"> </w:t>
      </w:r>
      <w:r>
        <w:t xml:space="preserve">the contribution this design has been built to receive.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Abadie, A., 2020. Statistical nonsignificance in empirical</w:t>
      </w:r>
      <w:r>
        <w:t xml:space="preserve"> </w:t>
      </w:r>
      <w:r>
        <w:t xml:space="preserve">economics. American Economic Review: Insights 2, 193–208.</w:t>
      </w:r>
      <w:r>
        <w:t xml:space="preserve"> </w:t>
      </w:r>
      <w:r>
        <w:t xml:space="preserve">Amiti, M., Redding, S.J., Weinstein, D.E., 2019.</w:t>
      </w:r>
      <w:r>
        <w:t xml:space="preserve"> </w:t>
      </w:r>
      <w:r>
        <w:t xml:space="preserve">The impact of the 2018 tariffs on prices and welfare. Journal of Economic Perspectives</w:t>
      </w:r>
      <w:r>
        <w:t xml:space="preserve"> </w:t>
      </w:r>
      <w:r>
        <w:t xml:space="preserve">33(4), 187–210.</w:t>
      </w:r>
      <w:r>
        <w:t xml:space="preserve"> </w:t>
      </w:r>
      <w:r>
        <w:t xml:space="preserve">Amiti, M., Kong, S.H., Weinstein, D.E., 2020.</w:t>
      </w:r>
      <w:r>
        <w:t xml:space="preserve"> </w:t>
      </w:r>
      <w:r>
        <w:t xml:space="preserve">The effect of the U.S.–China trade war on U.S. investment. NBER Working Paper 27114.</w:t>
      </w:r>
      <w:r>
        <w:t xml:space="preserve"> </w:t>
      </w:r>
      <w:r>
        <w:t xml:space="preserve">Antràs, P., Chor, D., 2013.</w:t>
      </w:r>
      <w:r>
        <w:t xml:space="preserve"> </w:t>
      </w:r>
      <w:r>
        <w:t xml:space="preserve">Organizing the global value chain. Econometrica 81(6), 2127–2204.</w:t>
      </w:r>
      <w:r>
        <w:t xml:space="preserve"> </w:t>
      </w:r>
      <w:r>
        <w:t xml:space="preserve">Cameron, A.C., Gelbach, J.B., Miller, D.L., 2008.</w:t>
      </w:r>
      <w:r>
        <w:t xml:space="preserve"> </w:t>
      </w:r>
      <w:r>
        <w:t xml:space="preserve">Bootstrap-based improvements for inference with clustered errors. Review of Economics and</w:t>
      </w:r>
      <w:r>
        <w:t xml:space="preserve"> </w:t>
      </w:r>
      <w:r>
        <w:t xml:space="preserve">Statistics 90(3), 414–427.</w:t>
      </w:r>
      <w:r>
        <w:t xml:space="preserve"> </w:t>
      </w:r>
      <w:r>
        <w:t xml:space="preserve">Campbell, J.Y., Lo, A.W., MacKinlay, A.C., 1997.</w:t>
      </w:r>
      <w:r>
        <w:t xml:space="preserve"> </w:t>
      </w:r>
      <w:r>
        <w:t xml:space="preserve">The Econometrics of Financial Markets. Princeton University Press, Princeton, NJ.</w:t>
      </w:r>
      <w:r>
        <w:t xml:space="preserve"> </w:t>
      </w:r>
      <w:r>
        <w:t xml:space="preserve">Fajgelbaum, P.D., Goldberg, P.K.,</w:t>
      </w:r>
      <w:r>
        <w:t xml:space="preserve"> </w:t>
      </w:r>
      <w:r>
        <w:t xml:space="preserve">Kennedy, P.J., Khandelwal, A.K., 2020. The return to protectionism. Quarterly Journal of</w:t>
      </w:r>
      <w:r>
        <w:t xml:space="preserve"> </w:t>
      </w:r>
      <w:r>
        <w:t xml:space="preserve">Economics 135(1), 1–55.</w:t>
      </w:r>
      <w:r>
        <w:t xml:space="preserve"> </w:t>
      </w:r>
      <w:r>
        <w:t xml:space="preserve">Fama, E.F., French, K.R., 1993. Common risk</w:t>
      </w:r>
      <w:r>
        <w:t xml:space="preserve"> </w:t>
      </w:r>
      <w:r>
        <w:t xml:space="preserve">factors in the returns on stocks and bonds. Journal of Financial Economics 33(1), 3–56.</w:t>
      </w:r>
      <w:r>
        <w:t xml:space="preserve"> </w:t>
      </w:r>
      <w:r>
        <w:t xml:space="preserve">Handley, K., Limão, N., 2017. Policy</w:t>
      </w:r>
      <w:r>
        <w:t xml:space="preserve"> </w:t>
      </w:r>
      <w:r>
        <w:t xml:space="preserve">uncertainty, trade, and welfare: Theory and evidence for China and the United States.</w:t>
      </w:r>
      <w:r>
        <w:t xml:space="preserve"> </w:t>
      </w:r>
      <w:r>
        <w:t xml:space="preserve">American Economic Review 107(9), 2731–2783.</w:t>
      </w:r>
      <w:r>
        <w:t xml:space="preserve"> </w:t>
      </w:r>
      <w:r>
        <w:t xml:space="preserve">Huang, Y., Lin, C., Liu, S., Tang, H., 2023.</w:t>
      </w:r>
      <w:r>
        <w:t xml:space="preserve"> </w:t>
      </w:r>
      <w:r>
        <w:t xml:space="preserve">Trade networks and firm value: Evidence from the U.S.–China trade war. Journal of</w:t>
      </w:r>
      <w:r>
        <w:t xml:space="preserve"> </w:t>
      </w:r>
      <w:r>
        <w:t xml:space="preserve">International Economics 145, 103811.</w:t>
      </w:r>
      <w:r>
        <w:t xml:space="preserve"> </w:t>
      </w:r>
      <w:r>
        <w:t xml:space="preserve">Kolari, J.W., Pynnönen, S., 2010. Event</w:t>
      </w:r>
      <w:r>
        <w:t xml:space="preserve"> </w:t>
      </w:r>
      <w:r>
        <w:t xml:space="preserve">study testing with cross-sectional correlation of abnormal returns. Review of Financial</w:t>
      </w:r>
      <w:r>
        <w:t xml:space="preserve"> </w:t>
      </w:r>
      <w:r>
        <w:t xml:space="preserve">Studies 23(11), 3996–4025.</w:t>
      </w:r>
      <w:r>
        <w:t xml:space="preserve"> </w:t>
      </w:r>
      <w:r>
        <w:t xml:space="preserve">MacKinlay, A.C., 1997. Event studies in economics</w:t>
      </w:r>
      <w:r>
        <w:t xml:space="preserve"> </w:t>
      </w:r>
      <w:r>
        <w:t xml:space="preserve">and finance. Journal of Economic Literature 35(1), 13–39.</w:t>
      </w:r>
      <w:r>
        <w:t xml:space="preserve"> </w:t>
      </w:r>
      <w:r>
        <w:t xml:space="preserve">Pierce, J.R., Schott, P.K., 2016. The</w:t>
      </w:r>
      <w:r>
        <w:t xml:space="preserve"> </w:t>
      </w:r>
      <w:r>
        <w:t xml:space="preserve">surprisingly swift decline of U.S. manufacturing employment. American Economic Review</w:t>
      </w:r>
      <w:r>
        <w:t xml:space="preserve"> </w:t>
      </w:r>
      <w:r>
        <w:t xml:space="preserve">106(7), 1632–1662.</w:t>
      </w:r>
      <w:r>
        <w:t xml:space="preserve"> </w:t>
      </w:r>
      <w:r>
        <w:t xml:space="preserve">Young, A., 2019. Channeling Fisher: Randomization tests and</w:t>
      </w:r>
      <w:r>
        <w:t xml:space="preserve"> </w:t>
      </w:r>
      <w:r>
        <w:t xml:space="preserve">the statistical insignificance of seemingly significant experimental results. Quarterly</w:t>
      </w:r>
      <w:r>
        <w:t xml:space="preserve"> </w:t>
      </w:r>
      <w:r>
        <w:t xml:space="preserve">Journal of Economics 134(2), 557–598.</w:t>
      </w:r>
    </w:p>
    <w:bookmarkStart w:id="29" w:name="tab:sumstats"/>
    <w:p>
      <w:pPr>
        <w:pStyle w:val="TableCaption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statistic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shock [Apr3,4]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pause [Apr9]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pre [Mar27,Apr2]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round-trip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Imported-input intensity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COGS/Sales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0.8707</w:t>
            </w:r>
          </w:p>
        </w:tc>
      </w:tr>
    </w:tbl>
    <w:bookmarkEnd w:id="29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4</w:t>
      </w:r>
      <w:r>
        <w:t xml:space="preserve">,</w:t>
      </w:r>
      <w:r>
        <w:t xml:space="preserve">275 U.S. common stocks, April 2025.</w:t>
      </w:r>
      <w:r>
        <w:t xml:space="preserve"> </w:t>
      </w:r>
      <w:r>
        <w:t xml:space="preserve">CARs are market-model abnormal returns against the Fama–French market factor, estimation</w:t>
      </w:r>
      <w:r>
        <w:t xml:space="preserve"> </w:t>
      </w:r>
      <w:r>
        <w:t xml:space="preserve">window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. Imported-input intensity is industry imported intermediate inputs</w:t>
      </w:r>
      <w:r>
        <w:t xml:space="preserve"> </w:t>
      </w:r>
      <w:r>
        <w:t xml:space="preserve">divided by gross output (BEA, 2023).</w:t>
      </w:r>
    </w:p>
    <w:bookmarkStart w:id="30" w:name="tab:cars"/>
    <w:p>
      <w:pPr>
        <w:pStyle w:val="TableCaption"/>
      </w:pPr>
      <w:r>
        <w:t xml:space="preserve">Mean cumulative abnormal returns by window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n cumulative abnormal returns by window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CAR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-stat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[Apr3,4]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[Apr3-8]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 [Mar27-Apr2]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[Apr9]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[Apr9,10]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[Apr9-14]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</w:tr>
    </w:tbl>
    <w:bookmarkEnd w:id="30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Equal-weighted mean CARs. Positive shock and</w:t>
      </w:r>
      <w:r>
        <w:t xml:space="preserve"> </w:t>
      </w:r>
      <w:r>
        <w:t xml:space="preserve">negative pause means reflect the value-weighted benchmark: the largest, most import-exposed</w:t>
      </w:r>
      <w:r>
        <w:t xml:space="preserve"> </w:t>
      </w:r>
      <w:r>
        <w:t xml:space="preserve">firms moved most, so the typical firm underperformed the index on down days and on the up</w:t>
      </w:r>
      <w:r>
        <w:t xml:space="preserve"> </w:t>
      </w:r>
      <w:r>
        <w:t xml:space="preserve">day. The cross-sectional tests (Tables </w:t>
      </w:r>
      <w:hyperlink w:anchor="tab:shock">
        <w:r>
          <w:rPr>
            <w:rStyle w:val="Hyperlink"/>
          </w:rPr>
          <w:t xml:space="preserve">3</w:t>
        </w:r>
      </w:hyperlink>
      <w:r>
        <w:t xml:space="preserve">–</w:t>
      </w:r>
      <w:hyperlink w:anchor="tab:pause">
        <w:r>
          <w:rPr>
            <w:rStyle w:val="Hyperlink"/>
          </w:rPr>
          <w:t xml:space="preserve">4</w:t>
        </w:r>
      </w:hyperlink>
      <w:r>
        <w:t xml:space="preserve">) are the relevant</w:t>
      </w:r>
      <w:r>
        <w:t xml:space="preserve"> </w:t>
      </w:r>
      <w:r>
        <w:t xml:space="preserve">exposure tests.</w:t>
      </w:r>
    </w:p>
    <w:bookmarkStart w:id="31" w:name="tab:shock"/>
    <w:p>
      <w:pPr>
        <w:pStyle w:val="TableCaption"/>
      </w:pPr>
      <w:r>
        <w:t xml:space="preserve">Tariff SHOCK: CAR[Apr 3, Apr 4] on imported-input intensity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iff SHOCK: CAR[Apr 3, Apr 4] on imported-input intensit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 </w:t>
            </w:r>
            <w:r>
              <w:t xml:space="preserve">Imported-input intensity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-0.0062**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-0.0073**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(-2.35)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-0.0153***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-0.0151***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(-6.36)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beta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0.0595***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(20.49)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(19.05)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(19.42)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COGS/Sales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0.0060**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(2.06)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(-0.36)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(0/1)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(0.35)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NAICS-3 clusters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</w:t>
            </w:r>
          </w:p>
        </w:tc>
      </w:tr>
    </w:tbl>
    <w:bookmarkEnd w:id="31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the market-model CAR over April 3–4,</w:t>
      </w:r>
      <w:r>
        <w:t xml:space="preserve"> </w:t>
      </w:r>
      <w:r>
        <w:t xml:space="preserve">2025. Predictors winsorized 1/99 and standardized (coefficient = effect of a one-SD</w:t>
      </w:r>
      <w:r>
        <w:t xml:space="preserve"> </w:t>
      </w:r>
      <w:r>
        <w:t xml:space="preserve">increase, in CAR points). Column (4) adds a manufacturing dummy, collinear with exposure.</w:t>
      </w:r>
      <w:r>
        <w:t xml:space="preserve"> </w:t>
      </w:r>
      <w:r>
        <w:t xml:space="preserve">NAICS-3 cluster-robust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2" w:name="tab:pause"/>
    <w:p>
      <w:pPr>
        <w:pStyle w:val="TableCaption"/>
      </w:pPr>
      <w:r>
        <w:t xml:space="preserve">Tariff PAUSE: CAR[Apr 9] on imported-input intensity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iff PAUSE: CAR[Apr 9] on imported-input intensity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 </w:t>
            </w:r>
            <w:r>
              <w:t xml:space="preserve">Imported-input intensity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(-0.86)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(1.78)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ln(Assets)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0.0146***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(7.14)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(6.63)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(6.55)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beta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-0.0451***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-0.0442***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(-15.30)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(-16.36)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(-17.50)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COGS/Sales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(-1.01)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(-0.22)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Book/Market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-0.0036***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(-2.80)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(-2.61)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(0/1)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0.0053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(0.40)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NAICS-3 clusters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</w:tr>
    </w:tbl>
    <w:bookmarkEnd w:id="32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DV is the market-model CAR on April 9, 2025.</w:t>
      </w:r>
      <w:r>
        <w:t xml:space="preserve"> </w:t>
      </w:r>
      <w:r>
        <w:t xml:space="preserve">Same specification as Table </w:t>
      </w:r>
      <w:hyperlink w:anchor="tab:shock">
        <w:r>
          <w:rPr>
            <w:rStyle w:val="Hyperlink"/>
          </w:rPr>
          <w:t xml:space="preserve">3</w:t>
        </w:r>
      </w:hyperlink>
      <w:r>
        <w:t xml:space="preserve">. The exposure loading flips sign relative to the</w:t>
      </w:r>
      <w:r>
        <w:t xml:space="preserve"> </w:t>
      </w:r>
      <w:r>
        <w:t xml:space="preserve">shock, as hypothesized. NAICS-3 cluster-robust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3" w:name="tab:robust"/>
    <w:p>
      <w:pPr>
        <w:pStyle w:val="TableCaption"/>
      </w:pPr>
      <w:r>
        <w:t xml:space="preserve">Robustness: imported-input-intensity loading across designs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bustness: imported-input-intensity loading across designs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Imp.-intensity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Placebo pre-window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CAR[Mar27,Apr2]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-0.0053**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(-2.22)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[Apr3] 1-day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(-1.35)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[Apr3-8]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CAR[Apr3-8]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-0.0134**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[Apr9,10]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CAR[Apr9,10]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 (pause+shock)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round-trip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(-0.46)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Shock, HC1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CAR[Apr3,4]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(-5.61)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Pause, HC1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0.0060***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(5.43)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Shock, ex-microcap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CAR[Apr3,4]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-0.0077**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Pause, ex-microcap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CAR[Apr9]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0.0077**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(2.10)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cluster</w:t>
            </w:r>
          </w:p>
        </w:tc>
      </w:tr>
    </w:tbl>
    <w:bookmarkEnd w:id="33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is the standardized imported-input</w:t>
      </w:r>
      <w:r>
        <w:t xml:space="preserve"> </w:t>
      </w:r>
      <w:r>
        <w:t xml:space="preserve">intensity coefficient (and</w:t>
      </w:r>
      <w:r>
        <w:t xml:space="preserve"> </w:t>
      </w:r>
      <m:oMath>
        <m:r>
          <m:t>t</m:t>
        </m:r>
      </m:oMath>
      <w:r>
        <w:t xml:space="preserve">) from a full-control specification.</w:t>
      </w:r>
      <w:r>
        <w:t xml:space="preserve"> </w:t>
      </w:r>
      <w:r>
        <w:t xml:space="preserve">“Round-trip”</w:t>
      </w:r>
      <w:r>
        <w:t xml:space="preserve"> </w:t>
      </w:r>
      <w:r>
        <w:t xml:space="preserve">is the sum</w:t>
      </w:r>
      <w:r>
        <w:t xml:space="preserve"> </w:t>
      </w:r>
      <w:r>
        <w:t xml:space="preserve">of the pause and shock CARs.</w:t>
      </w:r>
      <w:r>
        <w:t xml:space="preserve"> </w:t>
      </w:r>
      <w:r>
        <w:t xml:space="preserve">“ex-microcap”</w:t>
      </w:r>
      <w:r>
        <w:t xml:space="preserve"> </w:t>
      </w:r>
      <w:r>
        <w:t xml:space="preserve">drops firms with market cap</w:t>
      </w:r>
      <w:r>
        <w:t xml:space="preserve"> </w:t>
      </w:r>
      <m:oMath>
        <m:r>
          <m:rPr>
            <m:sty m:val="p"/>
          </m:rPr>
          <m:t>&lt;</m:t>
        </m:r>
        <m:r>
          <m:rPr>
            <m:sty m:val="p"/>
          </m:rPr>
          <m:t>$</m:t>
        </m:r>
        <m:r>
          <m:t>300</m:t>
        </m:r>
      </m:oMath>
      <w:r>
        <w:t xml:space="preserve">m. The</w:t>
      </w:r>
      <w:r>
        <w:t xml:space="preserve"> </w:t>
      </w:r>
      <w:r>
        <w:t xml:space="preserve">pre-window is not a clean placebo (tariff news preceded April 2). The HC1 rows ignore</w:t>
      </w:r>
      <w:r>
        <w:t xml:space="preserve"> </w:t>
      </w:r>
      <w:r>
        <w:t xml:space="preserve">industry clustering and are the most favorable; randomization inference (Table </w:t>
      </w:r>
      <w:hyperlink w:anchor="tab:ri">
        <w:r>
          <w:rPr>
            <w:rStyle w:val="Hyperlink"/>
          </w:rPr>
          <w:t xml:space="preserve">9</w:t>
        </w:r>
      </w:hyperlink>
      <w:r>
        <w:t xml:space="preserve">)</w:t>
      </w:r>
      <w:r>
        <w:t xml:space="preserve"> </w:t>
      </w:r>
      <w:r>
        <w:t xml:space="preserve">shows they overstate precision.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4" w:name="tab:quartiles"/>
    <w:p>
      <w:pPr>
        <w:pStyle w:val="TableCaption"/>
      </w:pPr>
      <w:r>
        <w:t xml:space="preserve">Mean CARs by imported-input-intensity quartile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n CARs by imported-input-intensity quartil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Intensity quartile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intensity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Shock 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Pause CAR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-0.0099</w:t>
            </w:r>
          </w:p>
        </w:tc>
      </w:tr>
    </w:tbl>
    <w:bookmarkEnd w:id="34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Raw (unconditional) quartile means; noisy</w:t>
      </w:r>
      <w:r>
        <w:t xml:space="preserve"> </w:t>
      </w:r>
      <w:r>
        <w:t xml:space="preserve">because the unconditional cross-section is dominated by size and beta. The conditional</w:t>
      </w:r>
      <w:r>
        <w:t xml:space="preserve"> </w:t>
      </w:r>
      <w:r>
        <w:t xml:space="preserve">pattern is in Tables </w:t>
      </w:r>
      <w:hyperlink w:anchor="tab:shock">
        <w:r>
          <w:rPr>
            <w:rStyle w:val="Hyperlink"/>
          </w:rPr>
          <w:t xml:space="preserve">3</w:t>
        </w:r>
      </w:hyperlink>
      <w:r>
        <w:t xml:space="preserve">–</w:t>
      </w:r>
      <w:hyperlink w:anchor="tab:paus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Figure </w:t>
      </w:r>
      <w:hyperlink w:anchor="fig:av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5" w:name="tab:hetero"/>
    <w:p>
      <w:pPr>
        <w:pStyle w:val="TableCaption"/>
      </w:pPr>
      <w:r>
        <w:t xml:space="preserve">Heterogeneity of the exposure loading by observable pre-event moderators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terogeneity of the exposure loading by observable pre-event moderator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Shock CAR[Apr3,4]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Pause CAR[Apr9]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t xml:space="preserve">Moderator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(pre-event)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Exp.</w:t>
            </w:r>
            <m:oMath>
              <m:r>
                <m:rPr>
                  <m:sty m:val="p"/>
                </m:rPr>
                <m:t>×</m:t>
              </m:r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COGS/sales (input-heavy)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firm (ln assets)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-0.0039*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-0.0064*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+0.0117***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market 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-0.0124***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+0.0096***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+0.0063***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leverage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book/market (value)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+0.0113***</w:t>
            </w:r>
          </w:p>
        </w:tc>
      </w:tr>
    </w:tbl>
    <w:bookmarkEnd w:id="35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Each row adds an interaction of standardized</w:t>
      </w:r>
      <w:r>
        <w:t xml:space="preserve"> </w:t>
      </w:r>
      <w:r>
        <w:t xml:space="preserve">imported-input intensity with a median split on a pre-event moderator</w:t>
      </w:r>
      <w:r>
        <w:t xml:space="preserve"> </w:t>
      </w:r>
      <m:oMath>
        <m:r>
          <m:t>M</m:t>
        </m:r>
      </m:oMath>
      <w:r>
        <w:t xml:space="preserve">, plus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indicator, to equation </w:t>
      </w:r>
      <w:hyperlink w:anchor="eq:xs">
        <w:r>
          <w:rPr>
            <w:rStyle w:val="Hyperlink"/>
          </w:rPr>
          <w:t xml:space="preserve">[eq:xs]</w:t>
        </w:r>
      </w:hyperlink>
      <w:r>
        <w:t xml:space="preserve">.</w:t>
      </w:r>
      <w:r>
        <w:t xml:space="preserve"> </w:t>
      </w:r>
      <w:r>
        <w:t xml:space="preserve">“Base”</w:t>
      </w:r>
      <w:r>
        <w:t xml:space="preserve"> </w:t>
      </w:r>
      <w:r>
        <w:t xml:space="preserve">is the loading for the low-</w:t>
      </w:r>
      <m:oMath>
        <m:r>
          <m:t>M</m:t>
        </m:r>
      </m:oMath>
      <w:r>
        <w:t xml:space="preserve"> </w:t>
      </w:r>
      <w:r>
        <w:t xml:space="preserve">group;</w:t>
      </w:r>
      <w:r>
        <w:t xml:space="preserve"> </w:t>
      </w:r>
      <w:r>
        <w:t xml:space="preserve">“Exp.</w:t>
      </w:r>
      <m:oMath>
        <m:r>
          <m:rPr>
            <m:sty m:val="p"/>
          </m:rPr>
          <m:t>×</m:t>
        </m:r>
        <m:r>
          <m:t>M</m:t>
        </m:r>
      </m:oMath>
      <w:r>
        <w:t xml:space="preserve">”</w:t>
      </w:r>
      <w:r>
        <w:t xml:space="preserve"> </w:t>
      </w:r>
      <w:r>
        <w:t xml:space="preserve">is the extra loading for the high-</w:t>
      </w:r>
      <m:oMath>
        <m:r>
          <m:t>M</m:t>
        </m:r>
      </m:oMath>
      <w:r>
        <w:t xml:space="preserve"> </w:t>
      </w:r>
      <w:r>
        <w:t xml:space="preserve">group. Columns report the shock</w:t>
      </w:r>
      <w:r>
        <w:t xml:space="preserve"> </w:t>
      </w:r>
      <w:r>
        <w:t xml:space="preserve">CAR[Apr3,4] and the pause CAR[Apr9]. The clean input-cost prediction (a larger loading for</w:t>
      </w:r>
      <w:r>
        <w:t xml:space="preserve"> </w:t>
      </w:r>
      <w:r>
        <w:t xml:space="preserve">high-COGS/sales firms) is not confirmed, a consequence of the industry-level proxy. Firm-level</w:t>
      </w:r>
      <w:r>
        <w:t xml:space="preserve"> </w:t>
      </w:r>
      <w:r>
        <w:t xml:space="preserve">import reliance / source country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(it is the student’s</w:t>
      </w:r>
      <w:r>
        <w:t xml:space="preserve"> </w:t>
      </w:r>
      <w:r>
        <w:t xml:space="preserve">hand-collected variable). NAICS-3 cluster-robust</w:t>
      </w:r>
      <w:r>
        <w:t xml:space="preserve"> </w:t>
      </w:r>
      <m:oMath>
        <m:r>
          <m:t>t</m:t>
        </m:r>
      </m:oMath>
      <w:r>
        <w:t xml:space="preserve">-statistics underlie the stars.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6" w:name="tab:placebo"/>
    <w:p>
      <w:pPr>
        <w:pStyle w:val="TableCaption"/>
      </w:pPr>
      <w:r>
        <w:t xml:space="preserve">Falsification: exposure loadings on non-tariff big-market-move days (2024)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lsification: exposure loadings on non-tariff big-market-move days (2024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Placebo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Market ret.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Exposure 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m:oMath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+0.0016**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(+1.97)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2024-12-18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(+1.19)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(-0.13)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-0.0026***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2024-11-06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-0.0091**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(-2.09)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2024-08-08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+0.0024**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(+2.48)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2025-01-15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+1.93%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-0.0018*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(-1.92)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2024-08-15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+1.79%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+0.0024***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(+3.48)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3921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For the four largest down-market and four</w:t>
      </w:r>
      <w:r>
        <w:t xml:space="preserve"> </w:t>
      </w:r>
      <w:r>
        <w:t xml:space="preserve">largest up-market days of 2024 (generic risk-off/risk-on days with no tariff content), we</w:t>
      </w:r>
      <w:r>
        <w:t xml:space="preserve"> </w:t>
      </w:r>
      <w:r>
        <w:t xml:space="preserve">compute single-day abnormal returns using the market model estimated for the shock event</w:t>
      </w:r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252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46</m:t>
        </m:r>
        <m:r>
          <m:rPr>
            <m:sty m:val="p"/>
          </m:rPr>
          <m:t>]</m:t>
        </m:r>
      </m:oMath>
      <w:r>
        <w:t xml:space="preserve">, a window containing these dates) and re-run the</w:t>
      </w:r>
      <w:r>
        <w:t xml:space="preserve"> </w:t>
      </w:r>
      <w:r>
        <w:t xml:space="preserve">full-control exposure regression. Loadings are smaller than on the tariff events and</w:t>
      </w:r>
      <w:r>
        <w:t xml:space="preserve"> </w:t>
      </w:r>
      <w:r>
        <w:t xml:space="preserve">sign-inconsistent, so the tariff pattern is not a residual-beta artifact; but exposure is not</w:t>
      </w:r>
      <w:r>
        <w:t xml:space="preserve"> </w:t>
      </w:r>
      <w:r>
        <w:t xml:space="preserve">silent on every big day, so the paired opposite-signed design is the discriminating test.</w:t>
      </w:r>
      <w:r>
        <w:t xml:space="preserve"> </w:t>
      </w:r>
      <w:r>
        <w:t xml:space="preserve">NAICS-3 cluster-robust</w:t>
      </w:r>
      <w:r>
        <w:t xml:space="preserve"> </w:t>
      </w:r>
      <m:oMath>
        <m:r>
          <m:t>t</m:t>
        </m:r>
      </m:oMath>
      <w:r>
        <w:t xml:space="preserve">-statistics in parentheses.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0.10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Start w:id="37" w:name="tab:ri"/>
    <w:p>
      <w:pPr>
        <w:pStyle w:val="TableCaption"/>
      </w:pPr>
      <w:r>
        <w:t xml:space="preserve">Randomization inference (1</w:t>
      </w:r>
      <w:r>
        <w:t xml:space="preserve">,</w:t>
      </w:r>
      <w:r>
        <w:t xml:space="preserve">000 permutations of industry exposure)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ization inference (1,000 permutations of industry exposure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Perm. 95% interval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[-0.0091, +0.0080]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[-0.0088, +0.0076]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 (pause - shock)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[-0.0157, +0.0148]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0.097</w:t>
            </w:r>
          </w:p>
        </w:tc>
      </w:tr>
    </w:tbl>
    <w:bookmarkEnd w:id="37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The 73 NAICS-3 industry-level intensity values</w:t>
      </w:r>
      <w:r>
        <w:t xml:space="preserve"> </w:t>
      </w:r>
      <w:r>
        <w:t xml:space="preserve">are permuted across industries, remapped to firms, re-standardized, and the full-control</w:t>
      </w:r>
      <w:r>
        <w:t xml:space="preserve"> </w:t>
      </w:r>
      <w:r>
        <w:t xml:space="preserve">loading is re-estimated for the shock, the pause, and the spread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pause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shock</m:t>
            </m:r>
          </m:sub>
        </m:sSub>
      </m:oMath>
      <w:r>
        <w:t xml:space="preserve">.</w:t>
      </w:r>
      <w:r>
        <w:t xml:space="preserve"> </w:t>
      </w:r>
      <w:r>
        <w:t xml:space="preserve">“Perm. 95% interval”</w:t>
      </w:r>
      <w:r>
        <w:t xml:space="preserve"> </w:t>
      </w:r>
      <w:r>
        <w:t xml:space="preserve">is the</w:t>
      </w:r>
      <w:r>
        <w:t xml:space="preserve"> </w:t>
      </w:r>
      <w:r>
        <w:t xml:space="preserve">2.5–97.5 percentile of the permutation distribution; the RI</w:t>
      </w:r>
      <w:r>
        <w:t xml:space="preserve"> </w:t>
      </w:r>
      <m:oMath>
        <m:r>
          <m:t>p</m:t>
        </m:r>
      </m:oMath>
      <w:r>
        <w:t xml:space="preserve">-value is the share of</w:t>
      </w:r>
      <w:r>
        <w:t xml:space="preserve"> </w:t>
      </w:r>
      <w:r>
        <w:t xml:space="preserve">permutations with a statistic at least as extreme as the actual one. At the level treatment</w:t>
      </w:r>
      <w:r>
        <w:t xml:space="preserve"> </w:t>
      </w:r>
      <w:r>
        <w:t xml:space="preserve">varies, the shock and the opposite-signed spread are significant only at the 10% level. See</w:t>
      </w:r>
      <w:r>
        <w:t xml:space="preserve"> </w:t>
      </w:r>
      <w:r>
        <w:t xml:space="preserve">Figure </w:t>
      </w:r>
      <w:hyperlink w:anchor="fig:ri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38" w:name="tab:power"/>
    <w:p>
      <w:pPr>
        <w:pStyle w:val="TableCaption"/>
      </w:pPr>
      <w:r>
        <w:t xml:space="preserve">Minimum detectable effects at 80% power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nimum detectable effects at 80% power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 (DV)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MDE(80%)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CAR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 [Apr3,4]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[Apr9]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Round-trip (pause+shock)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Pre-window [Mar27,Apr2]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4.1%</w:t>
            </w:r>
          </w:p>
        </w:tc>
      </w:tr>
    </w:tbl>
    <w:bookmarkEnd w:id="38"/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MDE(80%)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0.80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</m:oMath>
      <w:r>
        <w:t xml:space="preserve">SE</w:t>
      </w:r>
      <w:r>
        <w:t xml:space="preserve"> </w:t>
      </w:r>
      <m:oMath>
        <m:r>
          <m:rPr>
            <m:sty m:val="p"/>
          </m:rPr>
          <m:t>≈</m:t>
        </m:r>
        <m:r>
          <m:t>2.80</m:t>
        </m:r>
        <m:r>
          <m:rPr>
            <m:sty m:val="p"/>
          </m:rPr>
          <m:t>×</m:t>
        </m:r>
      </m:oMath>
      <w:r>
        <w:t xml:space="preserve">SE of the full-control exposure loading, expressed as a share of the</w:t>
      </w:r>
      <w:r>
        <w:t xml:space="preserve"> </w:t>
      </w:r>
      <w:r>
        <w:t xml:space="preserve">window’s cross-firm CAR standard deviation.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</m:oMath>
      <w:r>
        <w:t xml:space="preserve"> </w:t>
      </w:r>
      <w:r>
        <w:t xml:space="preserve">is the achieved cluster-robust statistic;</w:t>
      </w:r>
      <w:r>
        <w:t xml:space="preserve"> </w:t>
      </w:r>
      <w:r>
        <w:t xml:space="preserve">detecting an effect of the estimated size at 80% power requires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≳</m:t>
        </m:r>
        <m:r>
          <m:t>2.80</m:t>
        </m:r>
      </m:oMath>
      <w:r>
        <w:t xml:space="preserve">. The</w:t>
      </w:r>
      <w:r>
        <w:t xml:space="preserve"> </w:t>
      </w:r>
      <w:r>
        <w:t xml:space="preserve">estimated shock and pause loadings sit just below their MDEs; the small round-trip MDE means</w:t>
      </w:r>
      <w:r>
        <w:t xml:space="preserve"> </w:t>
      </w:r>
      <w:r>
        <w:t xml:space="preserve">the near-zero round-trip rules out net repricing larger than about</w:t>
      </w:r>
      <w:r>
        <w:t xml:space="preserve"> </w:t>
      </w:r>
      <m:oMath>
        <m:r>
          <m:t>0.7</m:t>
        </m:r>
      </m:oMath>
      <w:r>
        <w:t xml:space="preserve">pp per SD (near-full</w:t>
      </w:r>
      <w:r>
        <w:t xml:space="preserve"> </w:t>
      </w:r>
      <w:r>
        <w:t xml:space="preserve">reversal, H3).</w:t>
      </w:r>
    </w:p>
    <w:bookmarkStart w:id="42" w:name="fig:av"/>
    <w:p>
      <w:pPr>
        <w:pStyle w:val="CaptionedFigure"/>
      </w:pPr>
      <w:r>
        <w:drawing>
          <wp:inline>
            <wp:extent cx="5334000" cy="212821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1_avplot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Added-variable (partial-regression) plots of CAR against imported-input intensity,</w:t>
      </w:r>
      <w:r>
        <w:t xml:space="preserve"> </w:t>
      </w:r>
      <w:r>
        <w:t xml:space="preserve">net of size, beta, and the firm controls. Left: the April 3–4 shock (negative slope).</w:t>
      </w:r>
      <w:r>
        <w:t xml:space="preserve"> </w:t>
      </w:r>
      <w:r>
        <w:t xml:space="preserve">Right: the April 9 pause (positive slope). Gray points are firms; colored points are bin</w:t>
      </w:r>
      <w:r>
        <w:t xml:space="preserve"> </w:t>
      </w:r>
      <w:r>
        <w:t xml:space="preserve">means.</w:t>
      </w:r>
    </w:p>
    <w:bookmarkEnd w:id="42"/>
    <w:bookmarkStart w:id="46" w:name="fig:path"/>
    <w:p>
      <w:pPr>
        <w:pStyle w:val="CaptionedFigure"/>
      </w:pPr>
      <w:r>
        <w:drawing>
          <wp:inline>
            <wp:extent cx="4533900" cy="276585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2_carpath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6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abnormal returns of the top and bottom imported-input-intensity</w:t>
      </w:r>
      <w:r>
        <w:t xml:space="preserve"> </w:t>
      </w:r>
      <w:r>
        <w:t xml:space="preserve">quartiles, March 26–April 15, 2025. High-exposure firms underperform through the episode;</w:t>
      </w:r>
      <w:r>
        <w:t xml:space="preserve"> </w:t>
      </w:r>
      <w:r>
        <w:t xml:space="preserve">the divergence opens with the March 26 auto tariffs and the April 2 announcement.</w:t>
      </w:r>
    </w:p>
    <w:bookmarkEnd w:id="46"/>
    <w:bookmarkStart w:id="50" w:name="fig:ri"/>
    <w:p>
      <w:pPr>
        <w:pStyle w:val="CaptionedFigure"/>
      </w:pPr>
      <w:r>
        <w:drawing>
          <wp:inline>
            <wp:extent cx="3840480" cy="230124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3_randinf.pdf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0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Randomization inference for the opposite-signed spread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pause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shock</m:t>
            </m:r>
          </m:sub>
        </m:sSub>
      </m:oMath>
      <w:r>
        <w:t xml:space="preserve">. Histogram: the distribution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under 1</w:t>
      </w:r>
      <w:r>
        <w:t xml:space="preserve">,</w:t>
      </w:r>
      <w:r>
        <w:t xml:space="preserve">000 random permutations of the 73 industry-level intensity values across industries.</w:t>
      </w:r>
      <w:r>
        <w:t xml:space="preserve"> </w:t>
      </w:r>
      <w:r>
        <w:t xml:space="preserve">The actual spread (red line) lies in the upper tail (RI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): directionally consistent</w:t>
      </w:r>
      <w:r>
        <w:t xml:space="preserve"> </w:t>
      </w:r>
      <w:r>
        <w:t xml:space="preserve">with a paired tariff-exposure channel, but not beyond what industry-level noise produces about</w:t>
      </w:r>
      <w:r>
        <w:t xml:space="preserve"> </w:t>
      </w:r>
      <w:r>
        <w:t xml:space="preserve">one time in ten.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Coauthorship is provisional: the student is listed as a coauthor and authorship is confirmed upon completing the reserved hand-collection contribution (Task 1 in</w:t>
      </w:r>
      <w:r>
        <w:t xml:space="preserve"> </w:t>
      </w:r>
      <w:r>
        <w:rPr>
          <w:rStyle w:val="VerbatimChar"/>
        </w:rPr>
        <w:t xml:space="preserve">STUDENT_TASKS.md</w:t>
      </w:r>
      <w:r>
        <w:t xml:space="preserve">). A note on author order and status: the student is listed first here as a program convention, but in finance and economics published author order is conventionally alphabetical; all authorship on this draft is tentative and specific to the ASSIP 2026 program at this stage.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Yaveroglu: ASSIP 2026, George Mason</w:t>
      </w:r>
      <w:r>
        <w:t xml:space="preserve"> </w:t>
      </w:r>
      <w:r>
        <w:t xml:space="preserve">University. Gao (corresponding author): Costello College of Business, George Mason</w:t>
      </w:r>
      <w:r>
        <w:t xml:space="preserve"> </w:t>
      </w:r>
      <w:r>
        <w:t xml:space="preserve">University,</w:t>
      </w:r>
      <w:r>
        <w:t xml:space="preserve"> </w:t>
      </w:r>
      <w:r>
        <w:rPr>
          <w:rStyle w:val="VerbatimChar"/>
        </w:rPr>
        <w:t xml:space="preserve">lgao9@gmu.edu</w:t>
      </w:r>
      <w:r>
        <w:t xml:space="preserve">. This is a student–faculty working paper prepared in the</w:t>
      </w:r>
      <w:r>
        <w:t xml:space="preserve"> </w:t>
      </w:r>
      <w:r>
        <w:t xml:space="preserve">ASSIP 2026 Empirical Finance research group. All results use public data (WRDS CRSP daily</w:t>
      </w:r>
      <w:r>
        <w:t xml:space="preserve"> </w:t>
      </w:r>
      <w:r>
        <w:t xml:space="preserve">returns; Fama–French factors; Compustat fundamentals; the BEA Summary Import Matrix and</w:t>
      </w:r>
      <w:r>
        <w:t xml:space="preserve"> </w:t>
      </w:r>
      <w:r>
        <w:t xml:space="preserve">Gross-Output-by-industry tables); every reported number traces to a regression-output CSV in</w:t>
      </w:r>
      <w:r>
        <w:t xml:space="preserve"> </w:t>
      </w:r>
      <w:r>
        <w:rPr>
          <w:rStyle w:val="VerbatimChar"/>
        </w:rPr>
        <w:t xml:space="preserve">output/tables/</w:t>
      </w:r>
      <w:r>
        <w:t xml:space="preserve"> </w:t>
      </w:r>
      <w:r>
        <w:t xml:space="preserve">and is reproduced by the code in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. We thank the ASSIP</w:t>
      </w:r>
      <w:r>
        <w:t xml:space="preserve"> </w:t>
      </w:r>
      <w:r>
        <w:t xml:space="preserve">2026 cohort for comments. Any errors are our own.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df" /><Relationship Type="http://schemas.openxmlformats.org/officeDocument/2006/relationships/image" Id="rId43" Target="media/rId43.pdf" /><Relationship Type="http://schemas.openxmlformats.org/officeDocument/2006/relationships/image" Id="rId47" Target="media/rId47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Exposure and the April 2025 Reciprocal-Tariff Shock: A Paired Event Study of the “Liberation Day” Crash and the April 9 Pause</dc:title>
  <dc:creator>Deniz Yaveroglu; Lei Gao</dc:creator>
  <cp:keywords/>
  <dcterms:created xsi:type="dcterms:W3CDTF">2026-07-25T07:11:24Z</dcterms:created>
  <dcterms:modified xsi:type="dcterms:W3CDTF">2026-07-25T07:11:24Z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On April 2, 2025 the United States announced sweeping “reciprocal” tariffs; the equity market fell about 10.7% over the next two trading days—its worst two-day loss since March 2020—before the largest one-day gain since 2008 (+9.7\%) when a 90-day pause was announced on April 9. We use this paired, opposite-signed pair of events to test whether firms exposed to imported inputs were repriced by the tariff news. For 4,275 U.S. common stocks we compute market-model cumulative abnormal returns (CARs) over the shock (April 3–4) and the pause (April 9), and relate them to the imported-input intensity of each firm’s industry, built from the BEA Summary Import Matrix (imported intermediate inputs \div industry gross output). Conditional on size and market beta, a one-standard-deviation increase in imported-input intensity is associated with a 0.73 percentage-point lower abnormal return on the shock (t=-2.35) and a 0.60pp higher abnormal return on the pause (t=1.78); among non-microcap firms the pattern is opposite-signed and nearly symmetric (-0.77pp and +0.77pp, both t\approx2.1), and the shock-plus-pause round-trip is statistically zero. The effect is a conditional one—it is absent in the raw cross-section, which is dominated by size and beta—and it is partly anticipated: exposure loads negatively in the pre-announcement window (t=-2.22). We then stress-test the result with design-based methods. A falsification on generic big-market-move days shows the exposure loading is directionally coherent across the paired tariff events rather than a residual-beta artifact, but it is not silent on every non-tariff day. Most importantly, because exposure varies at the industry level (73 NAICS-3 groups), we conduct randomization inference that permutes industry exposure across industries: the opposite-signed spread and the shock loading are significant only at the 10% level (p\approx0.08–0.10) and the pause alone is insignificant—so conventional cluster-robust t-statistics overstate the precision available from an industry proxy. A minimum-detectable-effect analysis confirms the design sits at the edge of its resolving power for effects of this size. The honest reading is suggestive, directionally consistent evidence of an industry-level tariff-exposure repricing whose statistical strength is limited by the coarseness of the industry measure—which is precisely the case for the hand-collected, firm-level 10-K sourcing data the companion student task is built to supply. JEL: F13, F14, G14, G12. Keywords: tariffs, trade war, imported inputs, event study, abnormal returns, randomization inference.</vt:lpwstr>
  </property>
  <property fmtid="{D5CDD505-2E9C-101B-9397-08002B2CF9AE}" pid="3" name="date">
    <vt:lpwstr>July 2026</vt:lpwstr>
  </property>
</Properties>
</file>