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df" ContentType="application/pdf"/>
  <Override PartName="/word/media/rId42.pdf" ContentType="application/pdf"/>
  <Override PartName="/word/media/rId46.pdf" ContentType="application/pdf"/>
  <Override PartName="/word/media/rId5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Does Housing Re-Price Disaster Risk Only Where People Believe?</w:t>
      </w:r>
      <w:r>
        <w:br/>
      </w:r>
      <w:r>
        <w:rPr>
          <w:b/>
          <w:bCs/>
        </w:rPr>
        <w:t xml:space="preserve">Exposure Difference-in-Differences Around Hurricanes Ian and Helene</w:t>
      </w:r>
    </w:p>
    <w:p>
      <w:pPr>
        <w:pStyle w:val="Author"/>
      </w:pPr>
      <w:r>
        <w:t xml:space="preserve">Mateo Eduardo Stine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prominent hypothesis in climate finance holds that housing markets capitalize</w:t>
      </w:r>
      <w:r>
        <w:t xml:space="preserve"> </w:t>
      </w:r>
      <w:r>
        <w:t xml:space="preserve">disaster risk</w:t>
      </w:r>
      <w:r>
        <w:t xml:space="preserve"> </w:t>
      </w:r>
      <w:r>
        <w:rPr>
          <w:i/>
          <w:iCs/>
        </w:rPr>
        <w:t xml:space="preserve">only where residents believe</w:t>
      </w:r>
      <w:r>
        <w:t xml:space="preserve"> </w:t>
      </w:r>
      <w:r>
        <w:t xml:space="preserve">the risk is real</w:t>
      </w:r>
      <w:r>
        <w:t xml:space="preserve"> </w:t>
      </w:r>
      <w:r>
        <w:t xml:space="preserve">. We</w:t>
      </w:r>
      <w:r>
        <w:t xml:space="preserve"> </w:t>
      </w:r>
      <w:r>
        <w:t xml:space="preserve">test this after two salient landfalls—Hurricane Ian (SW Florida, Sept. 2022) and Hurricane</w:t>
      </w:r>
      <w:r>
        <w:t xml:space="preserve"> </w:t>
      </w:r>
      <w:r>
        <w:t xml:space="preserve">Helene (Big Bend Florida to southern Appalachia, Sept. 2024)—using an exposure</w:t>
      </w:r>
      <w:r>
        <w:t xml:space="preserve"> </w:t>
      </w:r>
      <w:r>
        <w:t xml:space="preserve">difference-in-differences on monthly Zillow county home values. Treated counties are those</w:t>
      </w:r>
      <w:r>
        <w:t xml:space="preserve"> </w:t>
      </w:r>
      <w:r>
        <w:t xml:space="preserve">FEMA designated for its Individuals &amp; Households Program (hard-hit); controls are</w:t>
      </w:r>
      <w:r>
        <w:t xml:space="preserve"> </w:t>
      </w:r>
      <w:r>
        <w:t xml:space="preserve">non-designated counties in the same storm states. Across 600 counties and 32</w:t>
      </w:r>
      <w:r>
        <w:t xml:space="preserve">,</w:t>
      </w:r>
      <w:r>
        <w:t xml:space="preserve">085</w:t>
      </w:r>
      <w:r>
        <w:t xml:space="preserve"> </w:t>
      </w:r>
      <w:r>
        <w:t xml:space="preserve">county-months, the average two-way fixed-effects effect of being hard-hit is a</w:t>
      </w:r>
      <w:r>
        <w:t xml:space="preserve"> </w:t>
      </w:r>
      <w:r>
        <w:rPr>
          <w:i/>
          <w:iCs/>
        </w:rPr>
        <w:t xml:space="preserve">precise null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Treat</m:t>
        </m:r>
        <m:r>
          <m:rPr>
            <m:sty m:val="p"/>
          </m:rPr>
          <m:t>×</m:t>
        </m:r>
        <m:r>
          <m:rPr>
            <m:nor/>
            <m:sty m:val="p"/>
          </m:rPr>
          <m:t>Post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0.001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0.34</m:t>
        </m:r>
      </m:oMath>
      <w:r>
        <w:t xml:space="preserve">). This masks a</w:t>
      </w:r>
      <w:r>
        <w:t xml:space="preserve"> </w:t>
      </w:r>
      <w:r>
        <w:t xml:space="preserve">differential pre-trend: treated counties—especially high-belief Florida coastal markets hit</w:t>
      </w:r>
      <w:r>
        <w:t xml:space="preserve"> </w:t>
      </w:r>
      <w:r>
        <w:t xml:space="preserve">by Ian—were already appreciating faster before landfall (pre-trend slope</w:t>
      </w:r>
      <w:r>
        <w:t xml:space="preserve"> </w:t>
      </w:r>
      <m:oMath>
        <m:r>
          <m:rPr>
            <m:sty m:val="p"/>
          </m:rPr>
          <m:t>+</m:t>
        </m:r>
        <m:r>
          <m:t>0.0007</m:t>
        </m:r>
      </m:oMath>
      <w:r>
        <w:t xml:space="preserve">/month,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3.6</m:t>
        </m:r>
      </m:oMath>
      <w:r>
        <w:t xml:space="preserve">). Net of a treated-specific linear trend, hard-hit values fall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0.5% relative to controls (</w:t>
      </w:r>
      <m:oMath>
        <m:r>
          <m:rPr>
            <m:sty m:val="p"/>
          </m:rPr>
          <m:t>−</m:t>
        </m:r>
        <m:r>
          <m:t>0.0053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</m:oMath>
      <w:r>
        <w:t xml:space="preserve">). Crucially, the belief-conditioning</w:t>
      </w:r>
      <w:r>
        <w:t xml:space="preserve"> </w:t>
      </w:r>
      <w:r>
        <w:t xml:space="preserve">hypothesis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supported: a high/low belief split appears to show exposure</w:t>
      </w:r>
      <w:r>
        <w:t xml:space="preserve"> </w:t>
      </w:r>
      <w:r>
        <w:rPr>
          <w:i/>
          <w:iCs/>
        </w:rPr>
        <w:t xml:space="preserve">raising</w:t>
      </w:r>
      <w:r>
        <w:t xml:space="preserve"> </w:t>
      </w:r>
      <w:r>
        <w:t xml:space="preserve">relative prices where belief is high (</w:t>
      </w:r>
      <m:oMath>
        <m:r>
          <m:rPr>
            <m:sty m:val="p"/>
          </m:rPr>
          <m:t>+</m:t>
        </m:r>
        <m:r>
          <m:t>0.020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), but this reverses</w:t>
      </w:r>
      <w:r>
        <w:t xml:space="preserve"> </w:t>
      </w:r>
      <w:r>
        <w:t xml:space="preserve">within Helene using continuous worry (</w:t>
      </w:r>
      <m:oMath>
        <m:r>
          <m:rPr>
            <m:sty m:val="p"/>
          </m:rPr>
          <m:t>−</m:t>
        </m:r>
        <m:r>
          <m:t>0.011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), vanishes with a 2020 GOP-vote</w:t>
      </w:r>
      <w:r>
        <w:t xml:space="preserve"> </w:t>
      </w:r>
      <w:r>
        <w:t xml:space="preserve">proxy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), and disappears once pre-trends are removed (</w:t>
      </w:r>
      <m:oMath>
        <m:r>
          <m:rPr>
            <m:sty m:val="p"/>
          </m:rPr>
          <m:t>+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</m:t>
        </m:r>
      </m:oMath>
      <w:r>
        <w:t xml:space="preserve">).</w:t>
      </w:r>
      <w:r>
        <w:t xml:space="preserve"> </w:t>
      </w:r>
      <w:r>
        <w:t xml:space="preserve">Four additions push past a bare null. Heterogeneity by observable moderators shows the</w:t>
      </w:r>
      <w:r>
        <w:t xml:space="preserve"> </w:t>
      </w:r>
      <w:r>
        <w:t xml:space="preserve">exposure effect loads on pre-storm price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0.019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2.6</m:t>
        </m:r>
      </m:oMath>
      <w:r>
        <w:t xml:space="preserve">), not on FEMA</w:t>
      </w:r>
      <w:r>
        <w:t xml:space="preserve"> </w:t>
      </w:r>
      <w:r>
        <w:t xml:space="preserve">baseline hurricane or flood risk (insignificant)—it tracks housing momentum, not physical</w:t>
      </w:r>
      <w:r>
        <w:t xml:space="preserve"> </w:t>
      </w:r>
      <w:r>
        <w:t xml:space="preserve">risk. A within-event nearest-neighbor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on pre-storm price level and momentum</w:t>
      </w:r>
      <w:r>
        <w:t xml:space="preserve"> </w:t>
      </w:r>
      <w:r>
        <w:t xml:space="preserve">collapses the belief interaction to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(1</w:t>
      </w:r>
      <w:r>
        <w:t xml:space="preserve">,</w:t>
      </w:r>
      <w:r>
        <w:t xml:space="preserve">000 within-event permutations) places the average effect squarely inside its permutation</w:t>
      </w:r>
      <w:r>
        <w:t xml:space="preserve"> </w:t>
      </w:r>
      <w:r>
        <w:t xml:space="preserve">distribution (</w:t>
      </w:r>
      <m:oMath>
        <m:r>
          <m:t>p</m:t>
        </m:r>
        <m:r>
          <m:rPr>
            <m:sty m:val="p"/>
          </m:rPr>
          <m:t>=</m:t>
        </m:r>
        <m:r>
          <m:t>0.76</m:t>
        </m:r>
      </m:oMath>
      <w:r>
        <w:t xml:space="preserve">)—a design-based null—while the belief interaction lies in the far</w:t>
      </w:r>
      <w:r>
        <w:t xml:space="preserve"> </w:t>
      </w:r>
      <w:r>
        <w:t xml:space="preserve">tail 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), which, because permutation scrambles which counties are treated, locates it 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systematic</w:t>
      </w:r>
      <w:r>
        <w:t xml:space="preserve"> </w:t>
      </w:r>
      <w:r>
        <w:t xml:space="preserve">wealth/geography structure of treatment rather than in belief.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analysis shows the null is informative: at 80% power the</w:t>
      </w:r>
      <w:r>
        <w:t xml:space="preserve"> </w:t>
      </w:r>
      <w:r>
        <w:t xml:space="preserve">design could detect belief-conditional effects above</w:t>
      </w:r>
      <w:r>
        <w:t xml:space="preserve"> </w:t>
      </w:r>
      <m:oMath>
        <m:r>
          <m:t>2.2</m:t>
        </m:r>
        <m:r>
          <m:rPr>
            <m:sty m:val="p"/>
          </m:rPr>
          <m:t>%</m:t>
        </m:r>
      </m:oMath>
      <w:r>
        <w:t xml:space="preserve"> </w:t>
      </w:r>
      <w:r>
        <w:t xml:space="preserve">of home value—smaller than the</w:t>
      </w:r>
      <w:r>
        <w:t xml:space="preserve"> </w:t>
      </w:r>
      <m:oMath>
        <m:r>
          <m:t>8.4</m:t>
        </m:r>
      </m:oMath>
      <w:r>
        <w:t xml:space="preserve">-point Ian–Helene spread. A sharp test awaits the student’s hand-collected landfall</w:t>
      </w:r>
      <w:r>
        <w:t xml:space="preserve"> </w:t>
      </w:r>
      <w:r>
        <w:t xml:space="preserve">geography.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G12, Q54, R31, D84, G14.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climate risk, house prices, hurricanes, climate beliefs,</w:t>
      </w:r>
      <w:r>
        <w:t xml:space="preserve"> </w:t>
      </w:r>
      <w:r>
        <w:t xml:space="preserve">difference-in-differences, randomization inference, statistical power.</w:t>
      </w:r>
    </w:p>
    <w:bookmarkStart w:id="14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central question in climate finance is whether asset prices reflect physical climate risk,</w:t>
      </w:r>
      <w:r>
        <w:t xml:space="preserve"> </w:t>
      </w:r>
      <w:r>
        <w:t xml:space="preserve">and if so,</w:t>
      </w:r>
      <w:r>
        <w:t xml:space="preserve"> </w:t>
      </w:r>
      <w:r>
        <w:rPr>
          <w:i/>
          <w:iCs/>
        </w:rPr>
        <w:t xml:space="preserve">whose</w:t>
      </w:r>
      <w:r>
        <w:t xml:space="preserve"> </w:t>
      </w:r>
      <w:r>
        <w:t xml:space="preserve">beliefs do the pricing. In an influential paper,</w:t>
      </w:r>
      <w:r>
        <w:t xml:space="preserve"> </w:t>
      </w:r>
      <w:r>
        <w:t xml:space="preserve"> </w:t>
      </w:r>
      <w:r>
        <w:t xml:space="preserve">argue that otherwise-identical coastal homes sell at a discount for projected sea-level-rise</w:t>
      </w:r>
      <w:r>
        <w:t xml:space="preserve"> </w:t>
      </w:r>
      <w:r>
        <w:t xml:space="preserve">exposure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neighborhoods where residents believe in climate change; where</w:t>
      </w:r>
      <w:r>
        <w:t xml:space="preserve"> </w:t>
      </w:r>
      <w:r>
        <w:t xml:space="preserve">residents are skeptical, the same physical risk is not capitalized.</w:t>
      </w:r>
      <w:r>
        <w:t xml:space="preserve"> </w:t>
      </w:r>
      <w:r>
        <w:t xml:space="preserve"> </w:t>
      </w:r>
      <w:r>
        <w:t xml:space="preserve">find a parallel result for sea-level-rise exposure that is concentrated among sophisticated</w:t>
      </w:r>
      <w:r>
        <w:t xml:space="preserve"> </w:t>
      </w:r>
      <w:r>
        <w:t xml:space="preserve">and believing buyers. A natural and policy-relevant sharpening of this hypothesis is dynamic:</w:t>
      </w:r>
      <w:r>
        <w:t xml:space="preserve"> </w:t>
      </w:r>
      <w:r>
        <w:t xml:space="preserve">when a</w:t>
      </w:r>
      <w:r>
        <w:t xml:space="preserve"> </w:t>
      </w:r>
      <w:r>
        <w:rPr>
          <w:i/>
          <w:iCs/>
        </w:rPr>
        <w:t xml:space="preserve">disaster actually strikes</w:t>
      </w:r>
      <w:r>
        <w:t xml:space="preserve">—making latent risk vividly salient—do home values</w:t>
      </w:r>
      <w:r>
        <w:t xml:space="preserve"> </w:t>
      </w:r>
      <w:r>
        <w:t xml:space="preserve">adjust more in high-belief places than in skeptical ones? This paper asks exactly that using</w:t>
      </w:r>
      <w:r>
        <w:t xml:space="preserve"> </w:t>
      </w:r>
      <w:r>
        <w:t xml:space="preserve">two of the most destructive recent U.S. landfalls.</w:t>
      </w:r>
    </w:p>
    <w:p>
      <w:pPr>
        <w:pStyle w:val="BodyText"/>
      </w:pPr>
      <w:r>
        <w:t xml:space="preserve">We study Hurricane Ian (landfall near Fort Myers, Florida, 28 September 2022) and Hurricane</w:t>
      </w:r>
      <w:r>
        <w:t xml:space="preserve"> </w:t>
      </w:r>
      <w:r>
        <w:t xml:space="preserve">Helene (landfall in Florida’s Big Bend, 26 September 2024, with catastrophic inland flooding</w:t>
      </w:r>
      <w:r>
        <w:t xml:space="preserve"> </w:t>
      </w:r>
      <w:r>
        <w:t xml:space="preserve">across Georgia, South Carolina, and the southern Appalachians). Our outcome is the Zillow</w:t>
      </w:r>
      <w:r>
        <w:t xml:space="preserve"> </w:t>
      </w:r>
      <w:r>
        <w:t xml:space="preserve">Home Value Index (ZHVI), a monthly, smoothed, seasonally-adjusted measure of the typical</w:t>
      </w:r>
      <w:r>
        <w:t xml:space="preserve"> </w:t>
      </w:r>
      <w:r>
        <w:t xml:space="preserve">home value in each county, from 2000 through May 2026. We define a county as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(hard-hit) if FEMA activated its Individuals &amp; Households Program (IHP) there—FEMA’s own,</w:t>
      </w:r>
      <w:r>
        <w:t xml:space="preserve"> </w:t>
      </w:r>
      <w:r>
        <w:t xml:space="preserve">primary-source determination that household-level damage was severe enough to warrant direct</w:t>
      </w:r>
      <w:r>
        <w:t xml:space="preserve"> </w:t>
      </w:r>
      <w:r>
        <w:t xml:space="preserve">aid to residents. Control counties are those in the same storm-affected states that were not</w:t>
      </w:r>
      <w:r>
        <w:t xml:space="preserve"> </w:t>
      </w:r>
      <w:r>
        <w:t xml:space="preserve">IHP-designated. We align each county’s calendar months to months-since-landfall, keep a</w:t>
      </w:r>
      <w:r>
        <w:t xml:space="preserve"> </w:t>
      </w:r>
      <w:r>
        <w:t xml:space="preserve">symmetric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]</m:t>
        </m:r>
      </m:oMath>
      <w:r>
        <w:t xml:space="preserve">-month window, require full ZHVI coverage so the event study is</w:t>
      </w:r>
      <w:r>
        <w:t xml:space="preserve"> </w:t>
      </w:r>
      <w:r>
        <w:t xml:space="preserve">balanced, and stack the two events (unit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county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event). The estimating equation</w:t>
      </w:r>
      <w:r>
        <w:t xml:space="preserve"> </w:t>
      </w:r>
      <w:r>
        <w:t xml:space="preserve">is a two-way fixed-effects difference-in-differences,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rPr>
                  <m:nor/>
                  <m:sty m:val="p"/>
                </m:rPr>
                <m:t>ZHVI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Treat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county</w:t>
      </w:r>
      <m:oMath>
        <m:r>
          <m:rPr>
            <m:sty m:val="p"/>
          </m:rPr>
          <m:t>×</m:t>
        </m:r>
      </m:oMath>
      <w:r>
        <w:t xml:space="preserve">event fixed effects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, event</w:t>
      </w:r>
      <m:oMath>
        <m:r>
          <m:rPr>
            <m:sty m:val="p"/>
          </m:rPr>
          <m:t>×</m:t>
        </m:r>
      </m:oMath>
      <w:r>
        <w:t xml:space="preserve">calendar-month fixed effects</w:t>
      </w:r>
      <w:r>
        <w:t xml:space="preserve"> </w:t>
      </w:r>
      <m:oMath>
        <m:r>
          <m:t>δ</m:t>
        </m:r>
      </m:oMath>
      <w:r>
        <w:t xml:space="preserve">, and standard errors clustered by county. We then interact</w:t>
      </w:r>
      <w:r>
        <w:t xml:space="preserve"> </w:t>
      </w:r>
      <m:oMath>
        <m:r>
          <m:rPr>
            <m:nor/>
            <m:sty m:val="p"/>
          </m:rPr>
          <m:t>Treat</m:t>
        </m:r>
        <m:r>
          <m:rPr>
            <m:sty m:val="p"/>
          </m:rPr>
          <m:t>×</m:t>
        </m:r>
        <m:r>
          <m:rPr>
            <m:nor/>
            <m:sty m:val="p"/>
          </m:rPr>
          <m:t>Post</m:t>
        </m:r>
      </m:oMath>
      <w:r>
        <w:t xml:space="preserve"> </w:t>
      </w:r>
      <w:r>
        <w:t xml:space="preserve">with three county moderators: Yale Climate Opinion</w:t>
      </w:r>
      <w:r>
        <w:t xml:space="preserve"> </w:t>
      </w:r>
      <w:r>
        <w:t xml:space="preserve">“worried”</w:t>
      </w:r>
      <w:r>
        <w:t xml:space="preserve"> </w:t>
      </w:r>
      <w:r>
        <w:t xml:space="preserve">estimates</w:t>
      </w:r>
      <w:r>
        <w:t xml:space="preserve"> </w:t>
      </w:r>
      <w:r>
        <w:t xml:space="preserve">,</w:t>
      </w:r>
      <w:r>
        <w:t xml:space="preserve"> </w:t>
      </w:r>
      <w:r>
        <w:t xml:space="preserve">2020 Republican vote share (an inverse-belief proxy), and the FEMA National Risk Index</w:t>
      </w:r>
      <w:r>
        <w:t xml:space="preserve"> </w:t>
      </w:r>
      <w:r>
        <w:t xml:space="preserve">hurricane-risk score.</w:t>
      </w:r>
    </w:p>
    <w:bookmarkStart w:id="11" w:name="findings."/>
    <w:p>
      <w:pPr>
        <w:pStyle w:val="Heading4"/>
      </w:pPr>
      <w:r>
        <w:t xml:space="preserve">Findings.</w:t>
      </w:r>
    </w:p>
    <w:p>
      <w:pPr>
        <w:pStyle w:val="FirstParagraph"/>
      </w:pPr>
      <w:r>
        <w:t xml:space="preserve">First, the average effect is a</w:t>
      </w:r>
      <w:r>
        <w:t xml:space="preserve"> </w:t>
      </w:r>
      <w:r>
        <w:rPr>
          <w:i/>
          <w:iCs/>
        </w:rPr>
        <w:t xml:space="preserve">precise null</w:t>
      </w:r>
      <w:r>
        <w:t xml:space="preserve">: in the preferred</w:t>
      </w:r>
      <w:r>
        <w:t xml:space="preserve"> </w:t>
      </w:r>
      <w:r>
        <w:t xml:space="preserve">two-way FE specification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0.0013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0.34</m:t>
        </m:r>
      </m:oMath>
      <w:r>
        <w:t xml:space="preserve">; Table </w:t>
      </w:r>
      <w:hyperlink w:anchor="tab:did">
        <w:r>
          <w:rPr>
            <w:rStyle w:val="Hyperlink"/>
          </w:rPr>
          <w:t xml:space="preserve">2</w:t>
        </w:r>
      </w:hyperlink>
      <w:r>
        <w:t xml:space="preserve">). Hard-hit counties’</w:t>
      </w:r>
      <w:r>
        <w:t xml:space="preserve"> </w:t>
      </w:r>
      <w:r>
        <w:t xml:space="preserve">typical home values did not, on average, diverge from same-state controls after landfall.</w:t>
      </w:r>
      <w:r>
        <w:t xml:space="preserve"> </w:t>
      </w:r>
      <w:r>
        <w:t xml:space="preserve">Second, this average hides a serious identification wrinkle and a sharp storm-level split:</w:t>
      </w:r>
      <w:r>
        <w:t xml:space="preserve"> </w:t>
      </w:r>
      <w:r>
        <w:t xml:space="preserve">Ian’s hard-hit counties (expensive SW-Florida coast)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m:oMath>
        <m:r>
          <m:rPr>
            <m:sty m:val="p"/>
          </m:rPr>
          <m:t>+</m:t>
        </m:r>
        <m:r>
          <m:t>7.3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</w:t>
      </w:r>
      <w:r>
        <w:t xml:space="preserve"> </w:t>
      </w:r>
      <w:r>
        <w:t xml:space="preserve">controls (</w:t>
      </w:r>
      <m:oMath>
        <m:r>
          <m:t>t</m:t>
        </m:r>
        <m:r>
          <m:rPr>
            <m:sty m:val="p"/>
          </m:rPr>
          <m:t>=</m:t>
        </m:r>
        <m:r>
          <m:t>7.7</m:t>
        </m:r>
      </m:oMath>
      <w:r>
        <w:t xml:space="preserve">), while Helene’s hard-hit counties (poorer inland Appalachia)</w:t>
      </w:r>
      <w:r>
        <w:t xml:space="preserve"> </w:t>
      </w:r>
      <w:r>
        <w:rPr>
          <w:i/>
          <w:iCs/>
        </w:rPr>
        <w:t xml:space="preserve">fell</w:t>
      </w:r>
      <w:r>
        <w:t xml:space="preserve"> </w:t>
      </w:r>
      <m:oMath>
        <m:r>
          <m:rPr>
            <m:sty m:val="p"/>
          </m:rPr>
          <m:t>−</m:t>
        </m:r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</m:oMath>
      <w:r>
        <w:t xml:space="preserve">). Third, the dynamic event study (Figure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) shows that treated</w:t>
      </w:r>
      <w:r>
        <w:t xml:space="preserve"> </w:t>
      </w:r>
      <w:r>
        <w:t xml:space="preserve">counties were on a rising relative trajectory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landfall—the parallel-trends</w:t>
      </w:r>
      <w:r>
        <w:t xml:space="preserve"> </w:t>
      </w:r>
      <w:r>
        <w:t xml:space="preserve">assumption is not clean in the pooled sample. The differential pre-trend is</w:t>
      </w:r>
      <w:r>
        <w:t xml:space="preserve"> </w:t>
      </w:r>
      <m:oMath>
        <m:r>
          <m:rPr>
            <m:sty m:val="p"/>
          </m:rPr>
          <m:t>+</m:t>
        </m:r>
        <m:r>
          <m:t>0.0007</m:t>
        </m:r>
      </m:oMath>
      <w:r>
        <w:t xml:space="preserve">/month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3.6</m:t>
        </m:r>
      </m:oMath>
      <w:r>
        <w:t xml:space="preserve">), and it is entirely a high-belief-group phenomenon:</w:t>
      </w:r>
      <w:r>
        <w:t xml:space="preserve"> </w:t>
      </w:r>
      <m:oMath>
        <m:r>
          <m:rPr>
            <m:sty m:val="p"/>
          </m:rPr>
          <m:t>+</m:t>
        </m:r>
        <m:r>
          <m:t>0.0012</m:t>
        </m:r>
      </m:oMath>
      <w:r>
        <w:t xml:space="preserve">/month (</w:t>
      </w:r>
      <m:oMath>
        <m:r>
          <m:t>t</m:t>
        </m:r>
        <m:r>
          <m:rPr>
            <m:sty m:val="p"/>
          </m:rPr>
          <m:t>=</m:t>
        </m:r>
        <m:r>
          <m:t>3.6</m:t>
        </m:r>
      </m:oMath>
      <w:r>
        <w:t xml:space="preserve">) among</w:t>
      </w:r>
      <w:r>
        <w:t xml:space="preserve"> </w:t>
      </w:r>
      <w:r>
        <w:t xml:space="preserve">high-belief counties versus a flat, insignificant</w:t>
      </w:r>
      <w:r>
        <w:t xml:space="preserve"> </w:t>
      </w:r>
      <m:oMath>
        <m:r>
          <m:rPr>
            <m:sty m:val="p"/>
          </m:rPr>
          <m:t>+</m:t>
        </m:r>
        <m:r>
          <m:t>0.0003</m:t>
        </m:r>
      </m:oMath>
      <w:r>
        <w:t xml:space="preserve">/month (</w:t>
      </w:r>
      <m:oMath>
        <m:r>
          <m:t>t</m:t>
        </m:r>
        <m:r>
          <m:rPr>
            <m:sty m:val="p"/>
          </m:rPr>
          <m:t>=</m:t>
        </m:r>
        <m:r>
          <m:t>1.1</m:t>
        </m:r>
      </m:oMath>
      <w:r>
        <w:t xml:space="preserve">) among low-belief</w:t>
      </w:r>
      <w:r>
        <w:t xml:space="preserve"> </w:t>
      </w:r>
      <w:r>
        <w:t xml:space="preserve">counties (Table </w:t>
      </w:r>
      <w:hyperlink w:anchor="tab:pretrend">
        <w:r>
          <w:rPr>
            <w:rStyle w:val="Hyperlink"/>
          </w:rPr>
          <w:t xml:space="preserve">4</w:t>
        </w:r>
      </w:hyperlink>
      <w:r>
        <w:t xml:space="preserve">). Once we net out a treated-specific linear trend, the</w:t>
      </w:r>
      <w:r>
        <w:t xml:space="preserve"> </w:t>
      </w:r>
      <w:r>
        <w:t xml:space="preserve">average effect turns modestly</w:t>
      </w:r>
      <w:r>
        <w:t xml:space="preserve"> </w:t>
      </w:r>
      <w:r>
        <w:rPr>
          <w:i/>
          <w:iCs/>
        </w:rPr>
        <w:t xml:space="preserve">negative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0.0053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</m:oMath>
      <w:r>
        <w:t xml:space="preserve">)—a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0.5% relative</w:t>
      </w:r>
      <w:r>
        <w:t xml:space="preserve"> </w:t>
      </w:r>
      <w:r>
        <w:t xml:space="preserve">decline consistent with mild downward re-pricing.</w:t>
      </w:r>
    </w:p>
    <w:p>
      <w:pPr>
        <w:pStyle w:val="BodyText"/>
      </w:pPr>
      <w:r>
        <w:t xml:space="preserve">Fourth, and most important for the research question,</w:t>
      </w:r>
      <w:r>
        <w:t xml:space="preserve"> </w:t>
      </w:r>
      <w:r>
        <w:rPr>
          <w:i/>
          <w:iCs/>
        </w:rPr>
        <w:t xml:space="preserve">the belief-conditioning</w:t>
      </w:r>
      <w:r>
        <w:rPr>
          <w:i/>
          <w:iCs/>
        </w:rPr>
        <w:t xml:space="preserve"> </w:t>
      </w:r>
      <w:r>
        <w:rPr>
          <w:i/>
          <w:iCs/>
        </w:rPr>
        <w:t xml:space="preserve">hypothesis does not survive</w:t>
      </w:r>
      <w:r>
        <w:t xml:space="preserve">. A naive high/low</w:t>
      </w:r>
      <w:r>
        <w:t xml:space="preserve"> </w:t>
      </w:r>
      <w:r>
        <w:t xml:space="preserve">“worried”</w:t>
      </w:r>
      <w:r>
        <w:t xml:space="preserve"> </w:t>
      </w:r>
      <w:r>
        <w:t xml:space="preserve">split yields a positive</w:t>
      </w:r>
      <w:r>
        <w:t xml:space="preserve"> </w:t>
      </w:r>
      <w:r>
        <w:t xml:space="preserve">interaction (</w:t>
      </w:r>
      <m:oMath>
        <m:r>
          <m:rPr>
            <m:sty m:val="p"/>
          </m:rPr>
          <m:t>+</m:t>
        </m:r>
        <m:r>
          <m:t>0.020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; Table </w:t>
      </w:r>
      <w:hyperlink w:anchor="tab:belief">
        <w:r>
          <w:rPr>
            <w:rStyle w:val="Hyperlink"/>
          </w:rPr>
          <w:t xml:space="preserve">3</w:t>
        </w:r>
      </w:hyperlink>
      <w:r>
        <w:t xml:space="preserve">), which would say prices held up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where belief is high—the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sign to the risk-capitalization</w:t>
      </w:r>
      <w:r>
        <w:t xml:space="preserve"> </w:t>
      </w:r>
      <w:r>
        <w:t xml:space="preserve">story, and driven by Florida’s booming, high-belief Ian coast. The interaction (i) reverses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0.011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) when we use continuous worry within Helene alone, (ii) is an</w:t>
      </w:r>
      <w:r>
        <w:t xml:space="preserve"> </w:t>
      </w:r>
      <w:r>
        <w:t xml:space="preserve">insignificant</w:t>
      </w:r>
      <w:r>
        <w:t xml:space="preserve"> </w:t>
      </w:r>
      <m:oMath>
        <m:r>
          <m:rPr>
            <m:sty m:val="p"/>
          </m:rPr>
          <m:t>+</m:t>
        </m:r>
        <m:r>
          <m:t>0.002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) using the GOP-vote proxy, and (iii) collapses to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0.8</m:t>
        </m:r>
      </m:oMath>
      <w:r>
        <w:t xml:space="preserve">) once we allow belief-group-specific linear trends. The belief-split event study</w:t>
      </w:r>
      <w:r>
        <w:t xml:space="preserve"> </w:t>
      </w:r>
      <w:r>
        <w:t xml:space="preserve">(Figure </w:t>
      </w:r>
      <w:hyperlink w:anchor="fig:split">
        <w:r>
          <w:rPr>
            <w:rStyle w:val="Hyperlink"/>
          </w:rPr>
          <w:t xml:space="preserve">2</w:t>
        </w:r>
      </w:hyperlink>
      <w:r>
        <w:t xml:space="preserve">) makes the artifact visible: the high-belief group’s pre-trend is</w:t>
      </w:r>
      <w:r>
        <w:t xml:space="preserve"> </w:t>
      </w:r>
      <w:r>
        <w:t xml:space="preserve">steep, while the low-belief group is flat pre-storm and then declines the most. In short, in</w:t>
      </w:r>
      <w:r>
        <w:t xml:space="preserve"> </w:t>
      </w:r>
      <w:r>
        <w:t xml:space="preserve">these two events we find</w:t>
      </w:r>
      <w:r>
        <w:t xml:space="preserve"> </w:t>
      </w:r>
      <w:r>
        <w:rPr>
          <w:i/>
          <w:iCs/>
        </w:rPr>
        <w:t xml:space="preserve">no robust evidence</w:t>
      </w:r>
      <w:r>
        <w:t xml:space="preserve"> </w:t>
      </w:r>
      <w:r>
        <w:t xml:space="preserve">that housing re-prices realized disaster</w:t>
      </w:r>
      <w:r>
        <w:t xml:space="preserve"> </w:t>
      </w:r>
      <w:r>
        <w:t xml:space="preserve">risk more where people believe; if anything, the cleanest identification points the other</w:t>
      </w:r>
      <w:r>
        <w:t xml:space="preserve"> </w:t>
      </w:r>
      <w:r>
        <w:t xml:space="preserve">way.</w:t>
      </w:r>
    </w:p>
    <w:bookmarkEnd w:id="11"/>
    <w:bookmarkStart w:id="12" w:name="four-steps-past-a-bare-null."/>
    <w:p>
      <w:pPr>
        <w:pStyle w:val="Heading4"/>
      </w:pPr>
      <w:r>
        <w:t xml:space="preserve">Four steps past a bare null.</w:t>
      </w:r>
    </w:p>
    <w:p>
      <w:pPr>
        <w:pStyle w:val="FirstParagraph"/>
      </w:pPr>
      <w:r>
        <w:t xml:space="preserve">We then take four additional steps, deliberately using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county data and design-based inference, so that the paper says what its</w:t>
      </w:r>
      <w:r>
        <w:t xml:space="preserve"> </w:t>
      </w:r>
      <w:r>
        <w:t xml:space="preserve">null does and does not rule out. (i)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 </w:t>
      </w:r>
      <w:r>
        <w:t xml:space="preserve">(Section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r>
        <w:t xml:space="preserve">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): interacting the exposure DiD with pre-storm moderators shows the effect</w:t>
      </w:r>
      <w:r>
        <w:t xml:space="preserve"> </w:t>
      </w:r>
      <w:r>
        <w:t xml:space="preserve">loads on pre-storm price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0.019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2.6</m:t>
        </m:r>
      </m:oMath>
      <w:r>
        <w:t xml:space="preserve">)—booming markets held up—and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the FEMA baseline hurricane or coastal-flood risk scores (both insignificant). The</w:t>
      </w:r>
      <w:r>
        <w:t xml:space="preserve"> </w:t>
      </w:r>
      <w:r>
        <w:t xml:space="preserve">one direct test of the</w:t>
      </w:r>
      <w:r>
        <w:t xml:space="preserve"> </w:t>
      </w:r>
      <w:r>
        <w:t xml:space="preserve">“latent-risk salience”</w:t>
      </w:r>
      <w:r>
        <w:t xml:space="preserve"> </w:t>
      </w:r>
      <w:r>
        <w:t xml:space="preserve">channel (H3) therefore fails: exposure did not</w:t>
      </w:r>
      <w:r>
        <w:t xml:space="preserve"> </w:t>
      </w:r>
      <w:r>
        <w:t xml:space="preserve">re-price more where physical risk was genuinely high, only where prices were already rising.</w:t>
      </w:r>
      <w:r>
        <w:t xml:space="preserve"> </w:t>
      </w:r>
      <w:r>
        <w:t xml:space="preserve">(ii)</w:t>
      </w:r>
      <w:r>
        <w:t xml:space="preserve"> </w:t>
      </w:r>
      <w:r>
        <w:rPr>
          <w:i/>
          <w:iCs/>
        </w:rPr>
        <w:t xml:space="preserve">Matching</w:t>
      </w:r>
      <w:r>
        <w:t xml:space="preserve"> </w:t>
      </w:r>
      <w:r>
        <w:t xml:space="preserve">(Section </w:t>
      </w:r>
      <w:hyperlink w:anchor="sec:match">
        <w:r>
          <w:rPr>
            <w:rStyle w:val="Hyperlink"/>
          </w:rPr>
          <w:t xml:space="preserve">8</w:t>
        </w:r>
      </w:hyperlink>
      <w:r>
        <w:t xml:space="preserve">, Table </w:t>
      </w:r>
      <w:hyperlink w:anchor="tab:matched">
        <w:r>
          <w:rPr>
            <w:rStyle w:val="Hyperlink"/>
          </w:rPr>
          <w:t xml:space="preserve">6</w:t>
        </w:r>
      </w:hyperlink>
      <w:r>
        <w:t xml:space="preserve">): a within-event</w:t>
      </w:r>
      <w:r>
        <w:t xml:space="preserve"> </w:t>
      </w:r>
      <w:r>
        <w:t xml:space="preserve">nearest-neighbor match of each treated county to a control on pre-storm price level and momentum</w:t>
      </w:r>
      <w:r>
        <w:t xml:space="preserve"> </w:t>
      </w:r>
      <w:r>
        <w:t xml:space="preserve">(201 pairs; the pre-storm level gap falls from</w:t>
      </w:r>
      <w:r>
        <w:t xml:space="preserve"> </w:t>
      </w:r>
      <m:oMath>
        <m:r>
          <m:rPr>
            <m:sty m:val="p"/>
          </m:rPr>
          <m:t>−</m:t>
        </m:r>
        <m:r>
          <m:t>0.042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0.001</m:t>
        </m:r>
      </m:oMath>
      <w:r>
        <w:t xml:space="preserve"> </w:t>
      </w:r>
      <w:r>
        <w:t xml:space="preserve">log points) collapses the</w:t>
      </w:r>
      <w:r>
        <w:t xml:space="preserve"> </w:t>
      </w:r>
      <w:r>
        <w:t xml:space="preserve">belief interaction to an insignificant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). (iii)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(Section </w:t>
      </w:r>
      <w:hyperlink w:anchor="sec:ri">
        <w:r>
          <w:rPr>
            <w:rStyle w:val="Hyperlink"/>
          </w:rPr>
          <w:t xml:space="preserve">9</w:t>
        </w:r>
      </w:hyperlink>
      <w:r>
        <w:t xml:space="preserve">, 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4</w:t>
        </w:r>
      </w:hyperlink>
      <w:r>
        <w:t xml:space="preserve">): permuting the treatment label</w:t>
      </w:r>
      <w:r>
        <w:t xml:space="preserve"> </w:t>
      </w:r>
      <w:r>
        <w:t xml:space="preserve">1</w:t>
      </w:r>
      <w:r>
        <w:t xml:space="preserve">,</w:t>
      </w:r>
      <w:r>
        <w:t xml:space="preserve">000 times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storm places the average effect at the</w:t>
      </w:r>
      <w:r>
        <w:t xml:space="preserve"> </w:t>
      </w:r>
      <m:oMath>
        <m:r>
          <m:t>63</m:t>
        </m:r>
      </m:oMath>
      <w:r>
        <w:t xml:space="preserve">rd percentile of its</w:t>
      </w:r>
      <w:r>
        <w:t xml:space="preserve"> </w:t>
      </w:r>
      <w:r>
        <w:t xml:space="preserve">permutation distribution (</w:t>
      </w:r>
      <m:oMath>
        <m:r>
          <m:t>p</m:t>
        </m:r>
        <m:r>
          <m:rPr>
            <m:sty m:val="p"/>
          </m:rPr>
          <m:t>=</m:t>
        </m:r>
        <m:r>
          <m:t>0.76</m:t>
        </m:r>
      </m:oMath>
      <w:r>
        <w:t xml:space="preserve">)—a genuine design-based null—while the belief interaction</w:t>
      </w:r>
      <w:r>
        <w:t xml:space="preserve"> </w:t>
      </w:r>
      <w:r>
        <w:t xml:space="preserve">sits at the</w:t>
      </w:r>
      <w:r>
        <w:t xml:space="preserve"> </w:t>
      </w:r>
      <m:oMath>
        <m:r>
          <m:t>99</m:t>
        </m:r>
      </m:oMath>
      <w:r>
        <w:t xml:space="preserve">th percentile (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). Because the permutation scrambles which counties are</w:t>
      </w:r>
      <w:r>
        <w:t xml:space="preserve"> </w:t>
      </w:r>
      <w:r>
        <w:t xml:space="preserve">labeled hard-hit, an interaction this extreme is not sampling noise; it says the real treated set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systematically</w:t>
      </w:r>
      <w:r>
        <w:t xml:space="preserve"> </w:t>
      </w:r>
      <w:r>
        <w:t xml:space="preserve">the high-belief, high-price, high-momentum coast, i.e. the very</w:t>
      </w:r>
      <w:r>
        <w:t xml:space="preserve"> </w:t>
      </w:r>
      <w:r>
        <w:t xml:space="preserve">geography confound that matching and detrending remove. (iv)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(Section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, 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): the minimum detectable effect at 80% power is</w:t>
      </w:r>
      <w:r>
        <w:t xml:space="preserve"> </w:t>
      </w:r>
      <m:oMath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of home value for the average effect and</w:t>
      </w:r>
      <w:r>
        <w:t xml:space="preserve"> </w:t>
      </w:r>
      <m:oMath>
        <m:r>
          <m:t>2.2</m:t>
        </m:r>
        <m:r>
          <m:rPr>
            <m:sty m:val="p"/>
          </m:rPr>
          <m:t>%</m:t>
        </m:r>
      </m:oMath>
      <w:r>
        <w:t xml:space="preserve"> </w:t>
      </w:r>
      <w:r>
        <w:t xml:space="preserve">for the belief interaction—below the</w:t>
      </w:r>
      <w:r>
        <w:t xml:space="preserve"> </w:t>
      </w:r>
      <m:oMath>
        <m:r>
          <m:t>8.4</m:t>
        </m:r>
      </m:oMath>
      <w:r>
        <w:t xml:space="preserve">-percentage-point Ian–Helene spread—so the failure to find a robust belief effect is an</w:t>
      </w:r>
      <w:r>
        <w:t xml:space="preserve"> </w:t>
      </w:r>
      <w:r>
        <w:t xml:space="preserve">informative bound, not low power.</w:t>
      </w:r>
    </w:p>
    <w:bookmarkEnd w:id="12"/>
    <w:bookmarkStart w:id="13" w:name="contribution."/>
    <w:p>
      <w:pPr>
        <w:pStyle w:val="Heading4"/>
      </w:pPr>
      <w:r>
        <w:t xml:space="preserve">Contribution.</w:t>
      </w:r>
    </w:p>
    <w:p>
      <w:pPr>
        <w:pStyle w:val="FirstParagraph"/>
      </w:pPr>
      <w:r>
        <w:t xml:space="preserve">We contribute to the climate-belief asset-pricing literature</w:t>
      </w:r>
      <w:r>
        <w:t xml:space="preserve"> </w:t>
      </w:r>
      <w:r>
        <w:t xml:space="preserve"> </w:t>
      </w:r>
      <w:r>
        <w:t xml:space="preserve">by moving from cross-sectional</w:t>
      </w:r>
      <w:r>
        <w:t xml:space="preserve"> </w:t>
      </w:r>
      <w:r>
        <w:rPr>
          <w:i/>
          <w:iCs/>
        </w:rPr>
        <w:t xml:space="preserve">sea-level-rise</w:t>
      </w:r>
      <w:r>
        <w:t xml:space="preserve"> </w:t>
      </w:r>
      <w:r>
        <w:t xml:space="preserve">capitalization to a</w:t>
      </w:r>
      <w:r>
        <w:t xml:space="preserve"> </w:t>
      </w:r>
      <w:r>
        <w:rPr>
          <w:i/>
          <w:iCs/>
        </w:rPr>
        <w:t xml:space="preserve">realized-disaster</w:t>
      </w:r>
      <w:r>
        <w:t xml:space="preserve"> </w:t>
      </w:r>
      <w:r>
        <w:t xml:space="preserve">event study with an</w:t>
      </w:r>
      <w:r>
        <w:t xml:space="preserve"> </w:t>
      </w:r>
      <w:r>
        <w:t xml:space="preserve">explicit belief moderator, and by showing how easily a belief-conditional</w:t>
      </w:r>
      <w:r>
        <w:t xml:space="preserve"> </w:t>
      </w:r>
      <w:r>
        <w:t xml:space="preserve">“result”</w:t>
      </w:r>
      <w:r>
        <w:t xml:space="preserve"> </w:t>
      </w:r>
      <w:r>
        <w:t xml:space="preserve">can be</w:t>
      </w:r>
      <w:r>
        <w:t xml:space="preserve"> </w:t>
      </w:r>
      <w:r>
        <w:t xml:space="preserve">manufactured by pre-trends and storm geography. We complement the disaster-and-house-prices</w:t>
      </w:r>
      <w:r>
        <w:t xml:space="preserve"> </w:t>
      </w:r>
      <w:r>
        <w:t xml:space="preserve">literature</w:t>
      </w:r>
      <w:r>
        <w:t xml:space="preserve"> </w:t>
      </w:r>
      <w:r>
        <w:t xml:space="preserve">, which documents heterogeneous</w:t>
      </w:r>
      <w:r>
        <w:t xml:space="preserve"> </w:t>
      </w:r>
      <w:r>
        <w:t xml:space="preserve">and often transitory price responses to floods and storms, by pairing two contemporaneous</w:t>
      </w:r>
      <w:r>
        <w:t xml:space="preserve"> </w:t>
      </w:r>
      <w:r>
        <w:t xml:space="preserve">landfalls of very different socioeconomic character. Methodologically, we treat the null as a</w:t>
      </w:r>
      <w:r>
        <w:t xml:space="preserve"> </w:t>
      </w:r>
      <w:r>
        <w:t xml:space="preserve">quantitative object—reporting matching, randomization inference, and minimum detectable</w:t>
      </w:r>
      <w:r>
        <w:t xml:space="preserve"> </w:t>
      </w:r>
      <w:r>
        <w:t xml:space="preserve">effects—in the spirit of recent work on the fragility of pre-trend tests</w:t>
      </w:r>
      <w:r>
        <w:t xml:space="preserve"> </w:t>
      </w:r>
      <w:r>
        <w:t xml:space="preserve">,</w:t>
      </w:r>
      <w:r>
        <w:t xml:space="preserve"> </w:t>
      </w:r>
      <w:r>
        <w:t xml:space="preserve">design-based inference with clustered data</w:t>
      </w:r>
      <w:r>
        <w:t xml:space="preserve"> </w:t>
      </w:r>
      <w:r>
        <w:t xml:space="preserve">, and the interpretation of</w:t>
      </w:r>
      <w:r>
        <w:t xml:space="preserve"> </w:t>
      </w:r>
      <w:r>
        <w:t xml:space="preserve">statistical nonsignificance</w:t>
      </w:r>
      <w:r>
        <w:t xml:space="preserve"> </w:t>
      </w:r>
      <w:r>
        <w:t xml:space="preserve">. Our honest null is a caution: the identifying</w:t>
      </w:r>
      <w:r>
        <w:t xml:space="preserve"> </w:t>
      </w:r>
      <w:r>
        <w:t xml:space="preserve">variation in</w:t>
      </w:r>
      <w:r>
        <w:t xml:space="preserve"> </w:t>
      </w:r>
      <w:r>
        <w:t xml:space="preserve">“do believers re-price”</w:t>
      </w:r>
      <w:r>
        <w:t xml:space="preserve"> </w:t>
      </w:r>
      <w:r>
        <w:t xml:space="preserve">designs is often confounded with wealth, coastal</w:t>
      </w:r>
      <w:r>
        <w:t xml:space="preserve"> </w:t>
      </w:r>
      <w:r>
        <w:t xml:space="preserve">amenity, and pre-existing housing-market momentum. Section </w:t>
      </w:r>
      <w:hyperlink w:anchor="sec:b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develops the</w:t>
      </w:r>
      <w:r>
        <w:t xml:space="preserve"> </w:t>
      </w:r>
      <w:r>
        <w:t xml:space="preserve">hypotheses, Section </w:t>
      </w:r>
      <w:hyperlink w:anchor="sec:li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places the paper in the literature,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the data and research design,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the average effect and pre-trend problem,</w:t>
      </w:r>
      <w:r>
        <w:t xml:space="preserve"> </w:t>
      </w:r>
      <w:r>
        <w:t xml:space="preserve">Section </w:t>
      </w:r>
      <w:hyperlink w:anchor="sec:belief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the central belief test, Section </w:t>
      </w:r>
      <w:hyperlink w:anchor="sec:he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heterogeneity,</w:t>
      </w:r>
      <w:r>
        <w:t xml:space="preserve"> </w:t>
      </w:r>
      <w:r>
        <w:t xml:space="preserve">Section </w:t>
      </w:r>
      <w:hyperlink w:anchor="sec:match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matching, Section </w:t>
      </w:r>
      <w:hyperlink w:anchor="sec:ri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randomization inference,</w:t>
      </w:r>
      <w:r>
        <w:t xml:space="preserve"> </w:t>
      </w:r>
      <w:r>
        <w:t xml:space="preserve">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power, and Section </w:t>
      </w:r>
      <w:hyperlink w:anchor="sec:concl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concludes with the hand-collection</w:t>
      </w:r>
      <w:r>
        <w:t xml:space="preserve"> </w:t>
      </w:r>
      <w:r>
        <w:t xml:space="preserve">that would sharpen the test.</w:t>
      </w:r>
    </w:p>
    <w:bookmarkEnd w:id="13"/>
    <w:bookmarkEnd w:id="14"/>
    <w:bookmarkStart w:id="15" w:name="sec:bg"/>
    <w:p>
      <w:pPr>
        <w:pStyle w:val="Heading1"/>
      </w:pPr>
      <w:r>
        <w:t xml:space="preserve">Background and Hypotheses</w:t>
      </w:r>
    </w:p>
    <w:p>
      <w:pPr>
        <w:pStyle w:val="FirstParagraph"/>
      </w:pPr>
      <w:r>
        <w:t xml:space="preserve">Standard hedonic theory says a salient increase in perceived disaster risk should lower the</w:t>
      </w:r>
      <w:r>
        <w:t xml:space="preserve"> </w:t>
      </w:r>
      <w:r>
        <w:t xml:space="preserve">present value of a home in the risk zone, all else equal</w:t>
      </w:r>
      <w:r>
        <w:t xml:space="preserve"> </w:t>
      </w:r>
      <w:r>
        <w:t xml:space="preserve">. The</w:t>
      </w:r>
      <w:r>
        <w:t xml:space="preserve"> </w:t>
      </w:r>
      <w:r>
        <w:t xml:space="preserve"> </w:t>
      </w:r>
      <w:r>
        <w:t xml:space="preserve">refinement adds heterogeneous beliefs: capitalization requires that</w:t>
      </w:r>
      <w:r>
        <w:t xml:space="preserve"> </w:t>
      </w:r>
      <w:r>
        <w:t xml:space="preserve">marginal buyers</w:t>
      </w:r>
      <w:r>
        <w:t xml:space="preserve"> </w:t>
      </w:r>
      <w:r>
        <w:rPr>
          <w:i/>
          <w:iCs/>
        </w:rPr>
        <w:t xml:space="preserve">perceive</w:t>
      </w:r>
      <w:r>
        <w:t xml:space="preserve"> </w:t>
      </w:r>
      <w:r>
        <w:t xml:space="preserve">the risk. A major landfall is an information shock that raises</w:t>
      </w:r>
      <w:r>
        <w:t xml:space="preserve"> </w:t>
      </w:r>
      <w:r>
        <w:t xml:space="preserve">salience</w:t>
      </w:r>
      <w:r>
        <w:t xml:space="preserve"> </w:t>
      </w:r>
      <w:r>
        <w:t xml:space="preserve">. This motivates:</w:t>
      </w:r>
    </w:p>
    <w:p>
      <w:pPr>
        <w:pStyle w:val="BlockText"/>
      </w:pPr>
      <w:r>
        <w:rPr>
          <w:b/>
          <w:bCs/>
        </w:rPr>
        <w:t xml:space="preserve">H1 (Re-pricing).</w:t>
      </w:r>
      <w:r>
        <w:t xml:space="preserve"> </w:t>
      </w:r>
      <w:r>
        <w:t xml:space="preserve">After a major landfall, typical home values in hard-hit counties</w:t>
      </w:r>
      <w:r>
        <w:t xml:space="preserve"> </w:t>
      </w:r>
      <w:r>
        <w:t xml:space="preserve">fall relative to unaffected same-state controls.</w:t>
      </w:r>
      <w:r>
        <w:br/>
      </w:r>
      <w:r>
        <w:rPr>
          <w:b/>
          <w:bCs/>
        </w:rPr>
        <w:t xml:space="preserve">H2 (Belief-conditioning).</w:t>
      </w:r>
      <w:r>
        <w:t xml:space="preserve"> </w:t>
      </w:r>
      <w:r>
        <w:t xml:space="preserve">The decline in H1 is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where county climate</w:t>
      </w:r>
      <w:r>
        <w:t xml:space="preserve"> </w:t>
      </w:r>
      <w:r>
        <w:t xml:space="preserve">beliefs are stronger (higher</w:t>
      </w:r>
      <w:r>
        <w:t xml:space="preserve"> </w:t>
      </w:r>
      <w:r>
        <w:t xml:space="preserve">“worried,”</w:t>
      </w:r>
      <w:r>
        <w:t xml:space="preserve"> </w:t>
      </w:r>
      <w:r>
        <w:t xml:space="preserve">lower Republican vote share).</w:t>
      </w:r>
      <w:r>
        <w:br/>
      </w:r>
      <w:r>
        <w:rPr>
          <w:b/>
          <w:bCs/>
        </w:rPr>
        <w:t xml:space="preserve">H3 (Latent-risk salience).</w:t>
      </w:r>
      <w:r>
        <w:t xml:space="preserve"> </w:t>
      </w:r>
      <w:r>
        <w:t xml:space="preserve">The decline is larger where baseline hurricane risk</w:t>
      </w:r>
      <w:r>
        <w:t xml:space="preserve"> </w:t>
      </w:r>
      <w:r>
        <w:t xml:space="preserve">(FEMA NRI) was already high, i.e. where the storm made a truly high-risk location salient.</w:t>
      </w:r>
    </w:p>
    <w:p>
      <w:pPr>
        <w:pStyle w:val="FirstParagraph"/>
      </w:pPr>
      <w:r>
        <w:t xml:space="preserve">Competing forces work against H1 in the short and medium run: supply destruction, insurance</w:t>
      </w:r>
      <w:r>
        <w:t xml:space="preserve"> </w:t>
      </w:r>
      <w:r>
        <w:t xml:space="preserve">inflows, and reconstruction demand can</w:t>
      </w:r>
      <w:r>
        <w:t xml:space="preserve"> </w:t>
      </w:r>
      <w:r>
        <w:rPr>
          <w:i/>
          <w:iCs/>
        </w:rPr>
        <w:t xml:space="preserve">raise</w:t>
      </w:r>
      <w:r>
        <w:t xml:space="preserve"> </w:t>
      </w:r>
      <w:r>
        <w:t xml:space="preserve">measured prices, especially in wealthy</w:t>
      </w:r>
      <w:r>
        <w:t xml:space="preserve"> </w:t>
      </w:r>
      <w:r>
        <w:t xml:space="preserve">coastal markets</w:t>
      </w:r>
      <w:r>
        <w:t xml:space="preserve"> </w:t>
      </w:r>
      <w:r>
        <w:t xml:space="preserve">. Which force dominates—and whether beliefs shape</w:t>
      </w:r>
      <w:r>
        <w:t xml:space="preserve"> </w:t>
      </w:r>
      <w:r>
        <w:t xml:space="preserve">it—is the empirical question. A fourth consideration is measurement: our treatment is a</w:t>
      </w:r>
      <w:r>
        <w:t xml:space="preserve"> </w:t>
      </w:r>
      <w:r>
        <w:t xml:space="preserve">binary FEMA designation, an intent-to-treat proxy for a continuous, geographically graded</w:t>
      </w:r>
      <w:r>
        <w:t xml:space="preserve"> </w:t>
      </w:r>
      <w:r>
        <w:t xml:space="preserve">shock. If the binary flag mixes severely and marginally affected counties, a true</w:t>
      </w:r>
      <w:r>
        <w:t xml:space="preserve"> </w:t>
      </w:r>
      <w:r>
        <w:t xml:space="preserve">belief-conditional effect could be averaged toward zero. Quantifying how much that matters is</w:t>
      </w:r>
      <w:r>
        <w:t xml:space="preserve"> </w:t>
      </w:r>
      <w:r>
        <w:t xml:space="preserve">exactly what the companion hand-collection of landfall geography is designed to resolve, and</w:t>
      </w:r>
      <w:r>
        <w:t xml:space="preserve"> </w:t>
      </w:r>
      <w:r>
        <w:t xml:space="preserve">it is why we bound the null with power rather than reading it as a definitive zero.</w:t>
      </w:r>
    </w:p>
    <w:bookmarkEnd w:id="15"/>
    <w:bookmarkStart w:id="16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sits at the intersection of three literatures. The first is the capitalization of</w:t>
      </w:r>
      <w:r>
        <w:t xml:space="preserve"> </w:t>
      </w:r>
      <w:r>
        <w:t xml:space="preserve">climate and disaster risk into real-estate prices.</w:t>
      </w:r>
      <w:r>
        <w:t xml:space="preserve"> </w:t>
      </w:r>
      <w:r>
        <w:t xml:space="preserve"> </w:t>
      </w:r>
      <w:r>
        <w:t xml:space="preserve">is our point of</w:t>
      </w:r>
      <w:r>
        <w:t xml:space="preserve"> </w:t>
      </w:r>
      <w:r>
        <w:t xml:space="preserve">departure: using MLS transactions they show that projected sea-level-rise exposure is</w:t>
      </w:r>
      <w:r>
        <w:t xml:space="preserve"> </w:t>
      </w:r>
      <w:r>
        <w:t xml:space="preserve">discounted in the price of otherwise-similar homes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communities that believe in</w:t>
      </w:r>
      <w:r>
        <w:t xml:space="preserve"> </w:t>
      </w:r>
      <w:r>
        <w:t xml:space="preserve">climate change, and not in skeptical ones.</w:t>
      </w:r>
      <w:r>
        <w:t xml:space="preserve"> </w:t>
      </w:r>
      <w:r>
        <w:t xml:space="preserve"> </w:t>
      </w:r>
      <w:r>
        <w:t xml:space="preserve">document a sizable</w:t>
      </w:r>
      <w:r>
        <w:t xml:space="preserve"> </w:t>
      </w:r>
      <w:r>
        <w:t xml:space="preserve">sea-level-rise discount concentrated among sophisticated, non-owner-occupier, and believing</w:t>
      </w:r>
      <w:r>
        <w:t xml:space="preserve"> </w:t>
      </w:r>
      <w:r>
        <w:t xml:space="preserve">buyers, and</w:t>
      </w:r>
      <w:r>
        <w:t xml:space="preserve"> </w:t>
      </w:r>
      <w:r>
        <w:t xml:space="preserve"> </w:t>
      </w:r>
      <w:r>
        <w:t xml:space="preserve">survey the broader climate-finance evidence that beliefs and</w:t>
      </w:r>
      <w:r>
        <w:t xml:space="preserve"> </w:t>
      </w:r>
      <w:r>
        <w:t xml:space="preserve">attention shape how physical risk is priced. A parallel, older strand studies how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floods and storms move prices:</w:t>
      </w:r>
      <w:r>
        <w:t xml:space="preserve"> </w:t>
      </w:r>
      <w:r>
        <w:t xml:space="preserve"> </w:t>
      </w:r>
      <w:r>
        <w:t xml:space="preserve">find flood-risk premiums that rise after events</w:t>
      </w:r>
      <w:r>
        <w:t xml:space="preserve"> </w:t>
      </w:r>
      <w:r>
        <w:t xml:space="preserve">and decay;</w:t>
      </w:r>
      <w:r>
        <w:t xml:space="preserve"> </w:t>
      </w:r>
      <w:r>
        <w:t xml:space="preserve"> </w:t>
      </w:r>
      <w:r>
        <w:t xml:space="preserve">show Hurricane Sandy depressed New York values in inundated</w:t>
      </w:r>
      <w:r>
        <w:t xml:space="preserve"> </w:t>
      </w:r>
      <w:r>
        <w:t xml:space="preserve">zones;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 </w:t>
      </w:r>
      <w:r>
        <w:t xml:space="preserve">show that information and salience, not just</w:t>
      </w:r>
      <w:r>
        <w:t xml:space="preserve"> </w:t>
      </w:r>
      <w:r>
        <w:t xml:space="preserve">physical exposure, drive both insurance take-up and price responses. Our contribution to this</w:t>
      </w:r>
      <w:r>
        <w:t xml:space="preserve"> </w:t>
      </w:r>
      <w:r>
        <w:t xml:space="preserve">strand is to move the belief-conditioning test from a</w:t>
      </w:r>
      <w:r>
        <w:t xml:space="preserve"> </w:t>
      </w:r>
      <w:r>
        <w:rPr>
          <w:i/>
          <w:iCs/>
        </w:rPr>
        <w:t xml:space="preserve">cross-sectional, projected-risk</w:t>
      </w:r>
      <w:r>
        <w:t xml:space="preserve"> </w:t>
      </w:r>
      <w:r>
        <w:t xml:space="preserve">setting to a</w:t>
      </w:r>
      <w:r>
        <w:t xml:space="preserve"> </w:t>
      </w:r>
      <w:r>
        <w:rPr>
          <w:i/>
          <w:iCs/>
        </w:rPr>
        <w:t xml:space="preserve">dynamic, realized-disaster</w:t>
      </w:r>
      <w:r>
        <w:t xml:space="preserve"> </w:t>
      </w:r>
      <w:r>
        <w:t xml:space="preserve">one, and to show that in two large recent</w:t>
      </w:r>
      <w:r>
        <w:t xml:space="preserve"> </w:t>
      </w:r>
      <w:r>
        <w:t xml:space="preserve">landfalls the belief interaction is not robust.</w:t>
      </w:r>
    </w:p>
    <w:p>
      <w:pPr>
        <w:pStyle w:val="BodyText"/>
      </w:pPr>
      <w:r>
        <w:t xml:space="preserve">The second literature is the econometrics of difference-in-differences and event studies, and in</w:t>
      </w:r>
      <w:r>
        <w:t xml:space="preserve"> </w:t>
      </w:r>
      <w:r>
        <w:t xml:space="preserve">particular the credibility of parallel trends. Recent work stresses that pre-trend tests have low</w:t>
      </w:r>
      <w:r>
        <w:t xml:space="preserve"> </w:t>
      </w:r>
      <w:r>
        <w:t xml:space="preserve">power and can license false confidence</w:t>
      </w:r>
      <w:r>
        <w:t xml:space="preserve"> </w:t>
      </w:r>
      <w:r>
        <w:t xml:space="preserve">, that conventional two-way</w:t>
      </w:r>
      <w:r>
        <w:t xml:space="preserve"> </w:t>
      </w:r>
      <w:r>
        <w:t xml:space="preserve">fixed-effects and event-study estimands are fragile under treatment-effect heterogeneity and</w:t>
      </w:r>
      <w:r>
        <w:t xml:space="preserve"> </w:t>
      </w:r>
      <w:r>
        <w:t xml:space="preserve">staggered timing</w:t>
      </w:r>
      <w:r>
        <w:t xml:space="preserve"> </w:t>
      </w:r>
      <w:r>
        <w:t xml:space="preserve">, and that inference with a</w:t>
      </w:r>
      <w:r>
        <w:t xml:space="preserve"> </w:t>
      </w:r>
      <w:r>
        <w:t xml:space="preserve">moderate number of clusters benefits from design-based methods such as randomization inference</w:t>
      </w:r>
      <w:r>
        <w:t xml:space="preserve"> </w:t>
      </w:r>
      <w:r>
        <w:t xml:space="preserve">. Because our design stacks two events and rests on a parallel-trends assumption</w:t>
      </w:r>
      <w:r>
        <w:t xml:space="preserve"> </w:t>
      </w:r>
      <w:r>
        <w:t xml:space="preserve">that the data reject in the pooled sample, we take these warnings literally: we report the</w:t>
      </w:r>
      <w:r>
        <w:t xml:space="preserve"> </w:t>
      </w:r>
      <w:r>
        <w:t xml:space="preserve">pre-trend explicitly, add treated-specific trends, and use within-event permutation inference to</w:t>
      </w:r>
      <w:r>
        <w:t xml:space="preserve"> </w:t>
      </w:r>
      <w:r>
        <w:t xml:space="preserve">ask whether our estimates could arise by chance under the design.</w:t>
      </w:r>
    </w:p>
    <w:p>
      <w:pPr>
        <w:pStyle w:val="BodyText"/>
      </w:pPr>
      <w:r>
        <w:t xml:space="preserve">The third literature concerns the interpretation of null and non-robust results. Economics has a</w:t>
      </w:r>
      <w:r>
        <w:t xml:space="preserve"> </w:t>
      </w:r>
      <w:r>
        <w:t xml:space="preserve">documented tendency toward low power and selective reporting</w:t>
      </w:r>
      <w:r>
        <w:t xml:space="preserve"> </w:t>
      </w:r>
      <w:r>
        <w:t xml:space="preserve">, and</w:t>
      </w:r>
      <w:r>
        <w:t xml:space="preserve"> </w:t>
      </w:r>
      <w:r>
        <w:t xml:space="preserve">methodologists urge that a statistically insignificant estimate be read through its confidence</w:t>
      </w:r>
      <w:r>
        <w:t xml:space="preserve"> </w:t>
      </w:r>
      <w:r>
        <w:t xml:space="preserve">interval and power rather than treated as proof of no effect</w:t>
      </w:r>
      <w:r>
        <w:t xml:space="preserve"> </w:t>
      </w:r>
      <w:r>
        <w:t xml:space="preserve">. We follow that</w:t>
      </w:r>
      <w:r>
        <w:t xml:space="preserve"> </w:t>
      </w:r>
      <w:r>
        <w:t xml:space="preserve">guidance: Section </w:t>
      </w:r>
      <w:hyperlink w:anchor="sec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 the minimum belief-conditional effect our design could</w:t>
      </w:r>
      <w:r>
        <w:t xml:space="preserve"> </w:t>
      </w:r>
      <w:r>
        <w:t xml:space="preserve">detect at 80% power, so the non-result is stated as a bound—smaller than the cross-storm price</w:t>
      </w:r>
      <w:r>
        <w:t xml:space="preserve"> </w:t>
      </w:r>
      <w:r>
        <w:t xml:space="preserve">spread—rather than as a bare</w:t>
      </w:r>
      <w:r>
        <w:t xml:space="preserve"> </w:t>
      </w:r>
      <w:r>
        <w:t xml:space="preserve">“insignificant.”</w:t>
      </w:r>
    </w:p>
    <w:bookmarkEnd w:id="16"/>
    <w:bookmarkStart w:id="23" w:name="sec:data"/>
    <w:p>
      <w:pPr>
        <w:pStyle w:val="Heading1"/>
      </w:pPr>
      <w:r>
        <w:t xml:space="preserve">Data and Research Design</w:t>
      </w:r>
    </w:p>
    <w:bookmarkStart w:id="17" w:name="home-values."/>
    <w:p>
      <w:pPr>
        <w:pStyle w:val="Heading4"/>
      </w:pPr>
      <w:r>
        <w:t xml:space="preserve">Home values.</w:t>
      </w:r>
    </w:p>
    <w:p>
      <w:pPr>
        <w:pStyle w:val="FirstParagraph"/>
      </w:pPr>
      <w:r>
        <w:t xml:space="preserve">Zillow ZHVI (all homes, county, smoothed, seasonally adjusted),</w:t>
      </w:r>
      <w:r>
        <w:t xml:space="preserve"> </w:t>
      </w:r>
      <w:r>
        <w:t xml:space="preserve">2000-01 through 2026-05, for the six storm states (FL, GA, NC, SC, TN, VA): 3</w:t>
      </w:r>
      <w:r>
        <w:t xml:space="preserve">,</w:t>
      </w:r>
      <w:r>
        <w:t xml:space="preserve">072 U.S. counties in the raw file, 600 with continuous coverage in our balanced event windows.</w:t>
      </w:r>
    </w:p>
    <w:bookmarkEnd w:id="17"/>
    <w:bookmarkStart w:id="18" w:name="exposure."/>
    <w:p>
      <w:pPr>
        <w:pStyle w:val="Heading4"/>
      </w:pPr>
      <w:r>
        <w:t xml:space="preserve">Exposure.</w:t>
      </w:r>
    </w:p>
    <w:p>
      <w:pPr>
        <w:pStyle w:val="FirstParagraph"/>
      </w:pPr>
      <w:r>
        <w:t xml:space="preserve">OpenFEMA</w:t>
      </w:r>
      <w:r>
        <w:t xml:space="preserve"> </w:t>
      </w:r>
      <w:r>
        <w:rPr>
          <w:rStyle w:val="VerbatimChar"/>
        </w:rPr>
        <w:t xml:space="preserve">Dis</w:t>
      </w:r>
      <w:r>
        <w:rPr>
          <w:rStyle w:val="VerbatimChar"/>
        </w:rPr>
        <w:softHyphen/>
      </w:r>
      <w:r>
        <w:rPr>
          <w:rStyle w:val="VerbatimChar"/>
        </w:rPr>
        <w:t xml:space="preserve">aster</w:t>
      </w:r>
      <w:r>
        <w:rPr>
          <w:rStyle w:val="VerbatimChar"/>
        </w:rPr>
        <w:softHyphen/>
      </w:r>
      <w:r>
        <w:rPr>
          <w:rStyle w:val="VerbatimChar"/>
        </w:rPr>
        <w:t xml:space="preserve">Declarations</w:t>
      </w:r>
      <w:r>
        <w:rPr>
          <w:rStyle w:val="VerbatimChar"/>
        </w:rPr>
        <w:softHyphen/>
      </w:r>
      <w:r>
        <w:rPr>
          <w:rStyle w:val="VerbatimChar"/>
        </w:rPr>
        <w:t xml:space="preserve">Summaries</w:t>
      </w:r>
      <w:r>
        <w:t xml:space="preserve"> </w:t>
      </w:r>
      <w:r>
        <w:t xml:space="preserve">for the storms’</w:t>
      </w:r>
      <w:r>
        <w:t xml:space="preserve"> </w:t>
      </w:r>
      <w:r>
        <w:t xml:space="preserve">major-disaster (DR) declarations—Ian: DR-4673 (FL), DR-4677 (SC); Helene: DR-4827 (NC),</w:t>
      </w:r>
      <w:r>
        <w:t xml:space="preserve"> </w:t>
      </w:r>
      <w:r>
        <w:t xml:space="preserve">DR-4828 (FL), DR-4829 (SC), DR-4830 (GA), DR-4831 (VA), DR-4832 (TN). A county is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if any designated area within it received the Individuals &amp; Households</w:t>
      </w:r>
      <w:r>
        <w:t xml:space="preserve"> </w:t>
      </w:r>
      <w:r>
        <w:t xml:space="preserve">Program (IHP). This yields 216 treated county-events (29 for Ian, 187 for Helene) and 497</w:t>
      </w:r>
      <w:r>
        <w:t xml:space="preserve"> </w:t>
      </w:r>
      <w:r>
        <w:t xml:space="preserve">controls.</w:t>
      </w:r>
    </w:p>
    <w:bookmarkEnd w:id="18"/>
    <w:bookmarkStart w:id="19" w:name="beliefs."/>
    <w:p>
      <w:pPr>
        <w:pStyle w:val="Heading4"/>
      </w:pPr>
      <w:r>
        <w:t xml:space="preserve">Beliefs.</w:t>
      </w:r>
    </w:p>
    <w:p>
      <w:pPr>
        <w:pStyle w:val="FirstParagraph"/>
      </w:pPr>
      <w:r>
        <w:t xml:space="preserve">Yale Climate Opinion Maps (YCOM, model 5.0, county level) estimated</w:t>
      </w:r>
      <w:r>
        <w:t xml:space="preserve"> </w:t>
      </w:r>
      <w:r>
        <w:t xml:space="preserve">share of adults</w:t>
      </w:r>
      <w:r>
        <w:t xml:space="preserve"> </w:t>
      </w:r>
      <w:r>
        <w:t xml:space="preserve">“worried”</w:t>
      </w:r>
      <w:r>
        <w:t xml:space="preserve"> </w:t>
      </w:r>
      <w:r>
        <w:t xml:space="preserve">about global warming; we also use</w:t>
      </w:r>
      <w:r>
        <w:t xml:space="preserve"> </w:t>
      </w:r>
      <w:r>
        <w:t xml:space="preserve">“happening.”</w:t>
      </w:r>
      <w:r>
        <w:t xml:space="preserve"> </w:t>
      </w:r>
      <w:r>
        <w:t xml:space="preserve">As an</w:t>
      </w:r>
      <w:r>
        <w:t xml:space="preserve"> </w:t>
      </w:r>
      <w:r>
        <w:t xml:space="preserve">inverse-belief robustness proxy we use 2020 county Republican presidential vote share (MIT</w:t>
      </w:r>
      <w:r>
        <w:t xml:space="preserve"> </w:t>
      </w:r>
      <w:r>
        <w:t xml:space="preserve">Election Lab / county returns). The median county</w:t>
      </w:r>
      <w:r>
        <w:t xml:space="preserve"> </w:t>
      </w:r>
      <w:r>
        <w:t xml:space="preserve">“worried”</w:t>
      </w:r>
      <w:r>
        <w:t xml:space="preserve"> </w:t>
      </w:r>
      <w:r>
        <w:t xml:space="preserve">in our sample is 55.4%.</w:t>
      </w:r>
    </w:p>
    <w:bookmarkEnd w:id="19"/>
    <w:bookmarkStart w:id="20" w:name="baseline-risk."/>
    <w:p>
      <w:pPr>
        <w:pStyle w:val="Heading4"/>
      </w:pPr>
      <w:r>
        <w:t xml:space="preserve">Baseline risk.</w:t>
      </w:r>
    </w:p>
    <w:p>
      <w:pPr>
        <w:pStyle w:val="FirstParagraph"/>
      </w:pPr>
      <w:r>
        <w:t xml:space="preserve">FEMA National Risk Index (county, ArcGIS), hurricane-risk,</w:t>
      </w:r>
      <w:r>
        <w:t xml:space="preserve"> </w:t>
      </w:r>
      <w:r>
        <w:t xml:space="preserve">coastal-flood, and overall-risk scores, used both as moderators and to validate that treated</w:t>
      </w:r>
      <w:r>
        <w:t xml:space="preserve"> </w:t>
      </w:r>
      <w:r>
        <w:t xml:space="preserve">counties were genuinely higher-risk (Table </w:t>
      </w:r>
      <w:hyperlink w:anchor="tab:balance">
        <w:r>
          <w:rPr>
            <w:rStyle w:val="Hyperlink"/>
          </w:rPr>
          <w:t xml:space="preserve">1</w:t>
        </w:r>
      </w:hyperlink>
      <w:r>
        <w:t xml:space="preserve">).</w:t>
      </w:r>
    </w:p>
    <w:bookmarkEnd w:id="20"/>
    <w:bookmarkStart w:id="21" w:name="panel."/>
    <w:p>
      <w:pPr>
        <w:pStyle w:val="Heading4"/>
      </w:pPr>
      <w:r>
        <w:t xml:space="preserve">Panel.</w:t>
      </w:r>
    </w:p>
    <w:p>
      <w:pPr>
        <w:pStyle w:val="FirstParagraph"/>
      </w:pPr>
      <w:r>
        <w:t xml:space="preserve">We melt ZHVI to county-month, restrict to storm states, align to</w:t>
      </w:r>
      <w:r>
        <w:t xml:space="preserve"> </w:t>
      </w:r>
      <w:r>
        <w:t xml:space="preserve">months-since-landfall, keep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with full coverage, define</w:t>
      </w:r>
      <w:r>
        <w:t xml:space="preserve"> </w:t>
      </w:r>
      <m:oMath>
        <m:r>
          <m:rPr>
            <m:nor/>
            <m:sty m:val="p"/>
          </m:rPr>
          <m:t>Post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months</w:t>
      </w:r>
      <w:r>
        <w:t xml:space="preserve"> </w:t>
      </w:r>
      <w:r>
        <w:t xml:space="preserve">after the landfall month, merge the moderators, and stack the two events. The final panel has</w:t>
      </w:r>
      <w:r>
        <w:t xml:space="preserve"> </w:t>
      </w:r>
      <w:r>
        <w:t xml:space="preserve">32</w:t>
      </w:r>
      <w:r>
        <w:t xml:space="preserve">,</w:t>
      </w:r>
      <w:r>
        <w:t xml:space="preserve">085 county-months across 713 county-events. Table </w:t>
      </w:r>
      <w:hyperlink w:anchor="tab:bala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treated</w:t>
      </w:r>
      <w:r>
        <w:t xml:space="preserve"> </w:t>
      </w:r>
      <w:r>
        <w:t xml:space="preserve">counties are slightly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worried (55.8 vs. 56.7), more Republican (0.642 vs. 0.604,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3.2</m:t>
        </m:r>
      </m:oMath>
      <w:r>
        <w:t xml:space="preserve">), and—reassuringly—higher baseline hurricane risk (NRI 77.8 vs. 72.6,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3.5</m:t>
        </m:r>
      </m:oMath>
      <w:r>
        <w:t xml:space="preserve">),</w:t>
      </w:r>
      <w:r>
        <w:t xml:space="preserve"> </w:t>
      </w:r>
      <w:r>
        <w:t xml:space="preserve">with statistically indistinguishable home-value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at landfall.</w:t>
      </w:r>
    </w:p>
    <w:bookmarkEnd w:id="21"/>
    <w:bookmarkStart w:id="22" w:name="three-design-based-checks."/>
    <w:p>
      <w:pPr>
        <w:pStyle w:val="Heading4"/>
      </w:pPr>
      <w:r>
        <w:t xml:space="preserve">Three design-based checks.</w:t>
      </w:r>
    </w:p>
    <w:p>
      <w:pPr>
        <w:pStyle w:val="FirstParagraph"/>
      </w:pPr>
      <w:r>
        <w:t xml:space="preserve">Beyond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we run three checks that</w:t>
      </w:r>
      <w:r>
        <w:t xml:space="preserve"> </w:t>
      </w:r>
      <w:r>
        <w:t xml:space="preserve">do not rely on the parametric null and use only observable data. (1)</w:t>
      </w:r>
      <w:r>
        <w:t xml:space="preserve"> </w:t>
      </w:r>
      <w:r>
        <w:rPr>
          <w:i/>
          <w:iCs/>
        </w:rPr>
        <w:t xml:space="preserve">Matching</w:t>
      </w:r>
      <w:r>
        <w:t xml:space="preserve">: we</w:t>
      </w:r>
      <w:r>
        <w:t xml:space="preserve"> </w:t>
      </w:r>
      <w:r>
        <w:t xml:space="preserve">nearest-neighbor match each treated county-event to a not-yet-used control</w:t>
      </w:r>
      <w:r>
        <w:t xml:space="preserve"> </w:t>
      </w:r>
      <w:r>
        <w:rPr>
          <w:i/>
          <w:iCs/>
        </w:rPr>
        <w:t xml:space="preserve">within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storm</w:t>
      </w:r>
      <w:r>
        <w:t xml:space="preserve"> </w:t>
      </w:r>
      <w:r>
        <w:t xml:space="preserve">on pre-storm ZHVI level and pre-storm price momentum (caliper 0.5 SD on the standardized</w:t>
      </w:r>
      <w:r>
        <w:t xml:space="preserve"> </w:t>
      </w:r>
      <w:r>
        <w:t xml:space="preserve">distance), and re-estimate</w:t>
      </w:r>
      <w:r>
        <w:t xml:space="preserve"> 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on the balanced sample. (2)</w:t>
      </w:r>
      <w:r>
        <w:t xml:space="preserve"> </w:t>
      </w:r>
      <w:r>
        <w:rPr>
          <w:i/>
          <w:iCs/>
        </w:rPr>
        <w:t xml:space="preserve">Randomization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</w:t>
      </w:r>
      <w:r>
        <w:t xml:space="preserve">: we permute the time-invariant treatment label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event 1</w:t>
      </w:r>
      <w:r>
        <w:t xml:space="preserve">,</w:t>
      </w:r>
      <w:r>
        <w:t xml:space="preserve">000</w:t>
      </w:r>
      <w:r>
        <w:t xml:space="preserve"> </w:t>
      </w:r>
      <w:r>
        <w:t xml:space="preserve">times—holding the number treated per storm fixed at Ian</w:t>
      </w:r>
      <w:r>
        <w:t xml:space="preserve"> </w:t>
      </w:r>
      <m:oMath>
        <m:r>
          <m:rPr>
            <m:sty m:val="p"/>
          </m:rPr>
          <m:t>=</m:t>
        </m:r>
        <m:r>
          <m:t>29</m:t>
        </m:r>
      </m:oMath>
      <w:r>
        <w:t xml:space="preserve">, Helene</w:t>
      </w:r>
      <w:r>
        <w:t xml:space="preserve"> </w:t>
      </w:r>
      <m:oMath>
        <m:r>
          <m:rPr>
            <m:sty m:val="p"/>
          </m:rPr>
          <m:t>=</m:t>
        </m:r>
        <m:r>
          <m:t>187</m:t>
        </m:r>
      </m:oMath>
      <w:r>
        <w:t xml:space="preserve">—rebuild</w:t>
      </w:r>
      <w:r>
        <w:t xml:space="preserve"> </w:t>
      </w:r>
      <m:oMath>
        <m:sSup>
          <m:e>
            <m:r>
              <m:rPr>
                <m:nor/>
                <m:sty m:val="p"/>
              </m:rPr>
              <m:t>Treat</m:t>
            </m:r>
          </m:e>
          <m:sup>
            <m:r>
              <m:rPr>
                <m:nor/>
                <m:sty m:val="p"/>
              </m:rPr>
              <m:t>perm</m:t>
            </m:r>
          </m:sup>
        </m:sSup>
        <m:r>
          <m:rPr>
            <m:sty m:val="p"/>
          </m:rPr>
          <m:t>×</m:t>
        </m:r>
        <m:r>
          <m:rPr>
            <m:nor/>
            <m:sty m:val="p"/>
          </m:rPr>
          <m:t>Post</m:t>
        </m:r>
      </m:oMath>
      <w:r>
        <w:t xml:space="preserve">, re-estimate</w:t>
      </w:r>
      <w:r>
        <w:t xml:space="preserve"> 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, and compare the actual</w:t>
      </w:r>
      <w:r>
        <w:t xml:space="preserve"> </w:t>
      </w:r>
      <w:r>
        <w:t xml:space="preserve">coefficients to the permutation distribution. (3)</w:t>
      </w:r>
      <w:r>
        <w:t xml:space="preserve"> </w:t>
      </w:r>
      <w:r>
        <w:rPr>
          <w:i/>
          <w:iCs/>
        </w:rPr>
        <w:t xml:space="preserve">Power</w:t>
      </w:r>
      <w:r>
        <w:t xml:space="preserve">: we compute the minimum detectable</w:t>
      </w:r>
      <w:r>
        <w:t xml:space="preserve"> </w:t>
      </w:r>
      <w:r>
        <w:t xml:space="preserve">effect at 80% power from each coefficient’s estimated standard error, expressed in percent of</w:t>
      </w:r>
      <w:r>
        <w:t xml:space="preserve"> </w:t>
      </w:r>
      <w:r>
        <w:t xml:space="preserve">home value and relative to the cross-storm spread. Together these convert</w:t>
      </w:r>
      <w:r>
        <w:t xml:space="preserve"> </w:t>
      </w:r>
      <w:r>
        <w:t xml:space="preserve">“insignificant”</w:t>
      </w:r>
      <w:r>
        <w:t xml:space="preserve"> </w:t>
      </w:r>
      <w:r>
        <w:t xml:space="preserve">into</w:t>
      </w:r>
      <w:r>
        <w:t xml:space="preserve"> </w:t>
      </w:r>
      <w:r>
        <w:t xml:space="preserve">a set of falsifiable, design-based statements. Crucially, none of these uses a graded</w:t>
      </w:r>
      <w:r>
        <w:t xml:space="preserve"> </w:t>
      </w:r>
      <w:r>
        <w:t xml:space="preserve">distance/intensity exposure or a corrected treatment set—those are the student’s hand-collected</w:t>
      </w:r>
      <w:r>
        <w:t xml:space="preserve"> </w:t>
      </w:r>
      <w:r>
        <w:t xml:space="preserve">contribution (Section </w:t>
      </w:r>
      <w:hyperlink w:anchor="sec:concl">
        <w:r>
          <w:rPr>
            <w:rStyle w:val="Hyperlink"/>
          </w:rPr>
          <w:t xml:space="preserve">11</w:t>
        </w:r>
      </w:hyperlink>
      <w:r>
        <w:t xml:space="preserve">)—so the checks here are deliberately orthogonal to that</w:t>
      </w:r>
      <w:r>
        <w:t xml:space="preserve"> </w:t>
      </w:r>
      <w:r>
        <w:t xml:space="preserve">reserved test.</w:t>
      </w:r>
    </w:p>
    <w:bookmarkEnd w:id="22"/>
    <w:bookmarkEnd w:id="23"/>
    <w:bookmarkStart w:id="24" w:name="sec:res"/>
    <w:p>
      <w:pPr>
        <w:pStyle w:val="Heading1"/>
      </w:pPr>
      <w:r>
        <w:t xml:space="preserve">Results: Average Effect and the Pre-Trend Problem</w:t>
      </w:r>
    </w:p>
    <w:p>
      <w:pPr>
        <w:pStyle w:val="FirstParagraph"/>
      </w:pPr>
      <w:r>
        <w:t xml:space="preserve">Table </w:t>
      </w:r>
      <w:hyperlink w:anchor="tab:di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Equation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. The naive pooled OLS is a null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0.003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). Adding county</w:t>
      </w:r>
      <m:oMath>
        <m:r>
          <m:rPr>
            <m:sty m:val="p"/>
          </m:rPr>
          <m:t>×</m:t>
        </m:r>
      </m:oMath>
      <w:r>
        <w:t xml:space="preserve">event fixed effects alone yields a spuriously large</w:t>
      </w:r>
      <w:r>
        <w:t xml:space="preserve"> </w:t>
      </w:r>
      <m:oMath>
        <m:r>
          <m:rPr>
            <m:sty m:val="p"/>
          </m:rPr>
          <m:t>+</m:t>
        </m:r>
        <m:r>
          <m:t>0.056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12.4</m:t>
        </m:r>
      </m:oMath>
      <w:r>
        <w:t xml:space="preserve">)—but this omits calendar time and merely captures the nationwide</w:t>
      </w:r>
      <w:r>
        <w:t xml:space="preserve"> </w:t>
      </w:r>
      <w:r>
        <w:t xml:space="preserve">2021–24 price boom. The preferred two-way FE estimate is a</w:t>
      </w:r>
      <w:r>
        <w:t xml:space="preserve"> </w:t>
      </w:r>
      <w:r>
        <w:rPr>
          <w:i/>
          <w:iCs/>
        </w:rPr>
        <w:t xml:space="preserve">precise null</w:t>
      </w:r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0.0013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0.34</m:t>
        </m:r>
      </m:oMath>
      <w:r>
        <w:t xml:space="preserve">): hard-hit and control counties moved together on average. The average,</w:t>
      </w:r>
      <w:r>
        <w:t xml:space="preserve"> </w:t>
      </w:r>
      <w:r>
        <w:t xml:space="preserve">however, conceals opposite signs across storms: restricting to Ian gives</w:t>
      </w:r>
      <w:r>
        <w:t xml:space="preserve"> </w:t>
      </w:r>
      <m:oMath>
        <m:r>
          <m:rPr>
            <m:sty m:val="p"/>
          </m:rPr>
          <m:t>+</m:t>
        </m:r>
        <m:r>
          <m:t>0.073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7.7</m:t>
        </m:r>
      </m:oMath>
      <w:r>
        <w:t xml:space="preserve">),</w:t>
      </w:r>
      <w:r>
        <w:t xml:space="preserve"> </w:t>
      </w:r>
      <w:r>
        <w:t xml:space="preserve">restricting to Helene gives</w:t>
      </w:r>
      <w:r>
        <w:t xml:space="preserve"> </w:t>
      </w:r>
      <m:oMath>
        <m:r>
          <m:rPr>
            <m:sty m:val="p"/>
          </m:rPr>
          <m:t>−</m:t>
        </m:r>
        <m:r>
          <m:t>0.011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</m:oMath>
      <w:r>
        <w:t xml:space="preserve">). Figure </w:t>
      </w:r>
      <w:hyperlink w:anchor="fig:raw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why—Ian’s</w:t>
      </w:r>
      <w:r>
        <w:t xml:space="preserve"> </w:t>
      </w:r>
      <w:r>
        <w:t xml:space="preserve">hard-hit SW-Florida coast kept outrunning its controls, while Helene’s inland hard-hit</w:t>
      </w:r>
      <w:r>
        <w:t xml:space="preserve"> </w:t>
      </w:r>
      <w:r>
        <w:t xml:space="preserve">counties slipped below.</w:t>
      </w:r>
    </w:p>
    <w:p>
      <w:pPr>
        <w:pStyle w:val="BodyText"/>
      </w:pPr>
      <w:r>
        <w:t xml:space="preserve">Figure </w:t>
      </w:r>
      <w:hyperlink w:anchor="fig: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plots the dynamic version (treated</w:t>
      </w:r>
      <m:oMath>
        <m:r>
          <m:rPr>
            <m:sty m:val="p"/>
          </m:rPr>
          <m:t>×</m:t>
        </m:r>
      </m:oMath>
      <w:r>
        <w:t xml:space="preserve">event-time dummies, landfall</w:t>
      </w:r>
      <w:r>
        <w:t xml:space="preserve"> </w:t>
      </w:r>
      <w:r>
        <w:t xml:space="preserve">normalized to zero). Treated counties are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their landfall-relative position two</w:t>
      </w:r>
      <w:r>
        <w:t xml:space="preserve"> </w:t>
      </w:r>
      <w:r>
        <w:t xml:space="preserve">years out and climb toward it by landfall—an upward pre-trend—then drift down again,</w:t>
      </w:r>
      <w:r>
        <w:t xml:space="preserve"> </w:t>
      </w:r>
      <w:r>
        <w:t xml:space="preserve">reaching</w:t>
      </w:r>
      <w:r>
        <w:t xml:space="preserve"> </w:t>
      </w:r>
      <m:oMath>
        <m:r>
          <m:rPr>
            <m:sty m:val="p"/>
          </m:rPr>
          <m:t>−</m:t>
        </m:r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2.6</m:t>
        </m:r>
      </m:oMath>
      <w:r>
        <w:t xml:space="preserve">) twenty months post. Table </w:t>
      </w:r>
      <w:hyperlink w:anchor="tab:pretren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formalizes the</w:t>
      </w:r>
      <w:r>
        <w:t xml:space="preserve"> </w:t>
      </w:r>
      <w:r>
        <w:t xml:space="preserve">pre-trend: a significant</w:t>
      </w:r>
      <w:r>
        <w:t xml:space="preserve"> </w:t>
      </w:r>
      <m:oMath>
        <m:r>
          <m:rPr>
            <m:sty m:val="p"/>
          </m:rPr>
          <m:t>+</m:t>
        </m:r>
        <m:r>
          <m:t>0.0007</m:t>
        </m:r>
      </m:oMath>
      <w:r>
        <w:t xml:space="preserve">/month differential slope pooled, concentrated entirely in</w:t>
      </w:r>
      <w:r>
        <w:t xml:space="preserve"> </w:t>
      </w:r>
      <w:r>
        <w:t xml:space="preserve">the high-belief group (</w:t>
      </w:r>
      <m:oMath>
        <m:r>
          <m:rPr>
            <m:sty m:val="p"/>
          </m:rPr>
          <m:t>+</m:t>
        </m:r>
        <m:r>
          <m:t>0.0012</m:t>
        </m:r>
      </m:oMath>
      <w:r>
        <w:t xml:space="preserve">/month,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3.6</m:t>
        </m:r>
      </m:oMath>
      <w:r>
        <w:t xml:space="preserve">) and absent in the low-belief group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0.0003</m:t>
        </m:r>
      </m:oMath>
      <w:r>
        <w:t xml:space="preserve">/month,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1.1</m:t>
        </m:r>
      </m:oMath>
      <w:r>
        <w:t xml:space="preserve">). Because the parallel-trends assumption is not clean pooled, we add</w:t>
      </w:r>
      <w:r>
        <w:t xml:space="preserve"> </w:t>
      </w:r>
      <w:r>
        <w:t xml:space="preserve">a treated-specific linear trend (Table </w:t>
      </w:r>
      <w:hyperlink w:anchor="tab:did">
        <w:r>
          <w:rPr>
            <w:rStyle w:val="Hyperlink"/>
          </w:rPr>
          <w:t xml:space="preserve">2</w:t>
        </w:r>
      </w:hyperlink>
      <w:r>
        <w:t xml:space="preserve">, row 7): the level effect becomes</w:t>
      </w:r>
      <w:r>
        <w:t xml:space="preserve"> </w:t>
      </w:r>
      <m:oMath>
        <m:r>
          <m:rPr>
            <m:sty m:val="p"/>
          </m:rPr>
          <m:t>−</m:t>
        </m:r>
        <m:r>
          <m:t>0.0053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</m:oMath>
      <w:r>
        <w:t xml:space="preserve">), a mild downward re-pricing consistent with H1 but economically small.</w:t>
      </w:r>
    </w:p>
    <w:bookmarkEnd w:id="24"/>
    <w:bookmarkStart w:id="25" w:name="sec:belief"/>
    <w:p>
      <w:pPr>
        <w:pStyle w:val="Heading1"/>
      </w:pPr>
      <w:r>
        <w:t xml:space="preserve">Belief Conditioning: The Central Test</w:t>
      </w:r>
    </w:p>
    <w:p>
      <w:pPr>
        <w:pStyle w:val="FirstParagraph"/>
      </w:pPr>
      <w:r>
        <w:t xml:space="preserve">Table </w:t>
      </w:r>
      <w:hyperlink w:anchor="tab:belief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tests H2. Row (1), a high/low</w:t>
      </w:r>
      <w:r>
        <w:t xml:space="preserve"> </w:t>
      </w:r>
      <w:r>
        <w:t xml:space="preserve">“worried”</w:t>
      </w:r>
      <w:r>
        <w:t xml:space="preserve"> </w:t>
      </w:r>
      <w:r>
        <w:t xml:space="preserve">split, gives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interaction,</w:t>
      </w:r>
      <w:r>
        <w:t xml:space="preserve"> </w:t>
      </w:r>
      <m:oMath>
        <m:r>
          <m:rPr>
            <m:sty m:val="p"/>
          </m:rPr>
          <m:t>+</m:t>
        </m:r>
        <m:r>
          <m:t>0.020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2.5</m:t>
        </m:r>
      </m:oMath>
      <w:r>
        <w:t xml:space="preserve">): exposure is associated with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relative prices where belief is high. This is the wrong sign for H2 and, as Figure </w:t>
      </w:r>
      <w:hyperlink w:anchor="fig:spli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shows, is a pre-trend artifact—the high-belief treated group (dominated by Florida’s Ian</w:t>
      </w:r>
      <w:r>
        <w:t xml:space="preserve"> </w:t>
      </w:r>
      <w:r>
        <w:t xml:space="preserve">coast, 86% high-belief vs. 42% for Helene) was already on a steep upward path. The</w:t>
      </w:r>
      <w:r>
        <w:t xml:space="preserve"> </w:t>
      </w:r>
      <w:r>
        <w:t xml:space="preserve">interaction is fragile in every direction: continuous</w:t>
      </w:r>
      <w:r>
        <w:t xml:space="preserve"> </w:t>
      </w:r>
      <w:r>
        <w:t xml:space="preserve">“worried”</w:t>
      </w:r>
      <w:r>
        <w:t xml:space="preserve"> </w:t>
      </w:r>
      <w:r>
        <w:t xml:space="preserve">pooled is a null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0.001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0.3</m:t>
        </m:r>
      </m:oMath>
      <w:r>
        <w:t xml:space="preserve">); the GOP-vote proxy is a null (</w:t>
      </w:r>
      <m:oMath>
        <m:r>
          <m:rPr>
            <m:sty m:val="p"/>
          </m:rPr>
          <m:t>+</m:t>
        </m:r>
        <m:r>
          <m:t>0.002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rPr>
          <w:i/>
          <w:iCs/>
        </w:rPr>
        <w:t xml:space="preserve">within Helene</w:t>
      </w:r>
      <w:r>
        <w:t xml:space="preserve">,</w:t>
      </w:r>
      <w:r>
        <w:t xml:space="preserve"> </w:t>
      </w:r>
      <w:r>
        <w:t xml:space="preserve">continuous</w:t>
      </w:r>
      <w:r>
        <w:t xml:space="preserve"> </w:t>
      </w:r>
      <w:r>
        <w:t xml:space="preserve">“worried”</w:t>
      </w:r>
      <w:r>
        <w:t xml:space="preserve"> </w:t>
      </w:r>
      <w:r>
        <w:t xml:space="preserve">flips to</w:t>
      </w:r>
      <w:r>
        <w:t xml:space="preserve"> </w:t>
      </w:r>
      <m:oMath>
        <m:r>
          <m:rPr>
            <m:sty m:val="p"/>
          </m:rPr>
          <m:t>−</m:t>
        </m:r>
        <m:r>
          <m:t>0.011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)—the H2 sign, but confined to one storm;</w:t>
      </w:r>
      <w:r>
        <w:t xml:space="preserve"> </w:t>
      </w:r>
      <w:r>
        <w:t xml:space="preserve">and once belief-group-specific linear trends are included (row 6) the split interaction</w:t>
      </w:r>
      <w:r>
        <w:t xml:space="preserve"> </w:t>
      </w:r>
      <w:r>
        <w:t xml:space="preserve">collapses to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0.8</m:t>
        </m:r>
      </m:oMath>
      <w:r>
        <w:t xml:space="preserve">). We therefore cannot reject the null of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belief-conditional re-pricing. The NRI hurricane-risk moderator (H3) is likewise only</w:t>
      </w:r>
      <w:r>
        <w:t xml:space="preserve"> </w:t>
      </w:r>
      <w:r>
        <w:t xml:space="preserve">marginal (</w:t>
      </w:r>
      <m:oMath>
        <m:r>
          <m:rPr>
            <m:sty m:val="p"/>
          </m:rPr>
          <m:t>+</m:t>
        </m:r>
        <m:r>
          <m:t>0.006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1.7</m:t>
        </m:r>
      </m:oMath>
      <w:r>
        <w:t xml:space="preserve">) and, again, of the</w:t>
      </w:r>
      <w:r>
        <w:t xml:space="preserve"> </w:t>
      </w:r>
      <w:r>
        <w:t xml:space="preserve">“wrong”</w:t>
      </w:r>
      <w:r>
        <w:t xml:space="preserve"> </w:t>
      </w:r>
      <w:r>
        <w:t xml:space="preserve">sign for a risk-capitalization</w:t>
      </w:r>
      <w:r>
        <w:t xml:space="preserve"> </w:t>
      </w:r>
      <w:r>
        <w:t xml:space="preserve">story. The remaining sections stress-test this reading with three design-based tools before</w:t>
      </w:r>
      <w:r>
        <w:t xml:space="preserve"> </w:t>
      </w:r>
      <w:r>
        <w:t xml:space="preserve">concluding.</w:t>
      </w:r>
    </w:p>
    <w:bookmarkEnd w:id="25"/>
    <w:bookmarkStart w:id="26" w:name="sec:het"/>
    <w:p>
      <w:pPr>
        <w:pStyle w:val="Heading1"/>
      </w:pPr>
      <w:r>
        <w:t xml:space="preserve">Heterogeneity by Observable Moderators</w:t>
      </w:r>
    </w:p>
    <w:p>
      <w:pPr>
        <w:pStyle w:val="FirstParagraph"/>
      </w:pPr>
      <w:r>
        <w:t xml:space="preserve">If exposure re-priced disaster risk for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counties and the pooled null merely</w:t>
      </w:r>
      <w:r>
        <w:t xml:space="preserve"> </w:t>
      </w:r>
      <w:r>
        <w:t xml:space="preserve">averages it away, the effect should surface in observable subgroups—and if the belief story is</w:t>
      </w:r>
      <w:r>
        <w:t xml:space="preserve"> </w:t>
      </w:r>
      <w:r>
        <w:t xml:space="preserve">right, it should surface where physical risk was genuinely high. Table </w:t>
      </w:r>
      <w:hyperlink w:anchor="tab:hetero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interacts the exposure DiD with four pre-storm moderators, each split at its within-event median</w:t>
      </w:r>
      <w:r>
        <w:t xml:space="preserve"> </w:t>
      </w:r>
      <w:r>
        <w:t xml:space="preserve">so the moderator is orthogonal to the storm dummy: pre-storm home-value level (wealth), pre-storm</w:t>
      </w:r>
      <w:r>
        <w:t xml:space="preserve"> </w:t>
      </w:r>
      <w:r>
        <w:t xml:space="preserve">price momentum, the FEMA National Risk Index coastal-flood score, and the NRI overall-risk score.</w:t>
      </w:r>
      <w:r>
        <w:t xml:space="preserve"> </w:t>
      </w:r>
      <w:r>
        <w:t xml:space="preserve">Each row reports the base DiD (low-moderator group) and the extra effect for the high-moderator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Two facts emerge. First, the exposure effect loads on pre-storm</w:t>
      </w:r>
      <w:r>
        <w:t xml:space="preserve"> </w:t>
      </w:r>
      <w:r>
        <w:rPr>
          <w:i/>
          <w:iCs/>
        </w:rPr>
        <w:t xml:space="preserve">momentum</w:t>
      </w:r>
      <w:r>
        <w:t xml:space="preserve">: the</w:t>
      </w:r>
      <w:r>
        <w:t xml:space="preserve"> </w:t>
      </w:r>
      <w:r>
        <w:t xml:space="preserve">interaction is</w:t>
      </w:r>
      <w:r>
        <w:t xml:space="preserve"> </w:t>
      </w:r>
      <m:oMath>
        <m:r>
          <m:rPr>
            <m:sty m:val="p"/>
          </m:rPr>
          <m:t>+</m:t>
        </m:r>
        <m:r>
          <m:t>0.019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2.6</m:t>
        </m:r>
      </m:oMath>
      <w:r>
        <w:t xml:space="preserve">), so counties whose prices were already climbing fastest are</w:t>
      </w:r>
      <w:r>
        <w:t xml:space="preserve"> </w:t>
      </w:r>
      <w:r>
        <w:t xml:space="preserve">exactly where hard-hit values held up or rose—precisely the booming Ian coast, and precisely</w:t>
      </w:r>
      <w:r>
        <w:t xml:space="preserve"> </w:t>
      </w:r>
      <w:r>
        <w:t xml:space="preserve">the mechanical confound the pre-trend diagnosed. Wealth tells a related story (the high-value</w:t>
      </w:r>
      <w:r>
        <w:t xml:space="preserve"> </w:t>
      </w:r>
      <w:r>
        <w:t xml:space="preserve">interaction is</w:t>
      </w:r>
      <w:r>
        <w:t xml:space="preserve"> </w:t>
      </w:r>
      <m:oMath>
        <m:r>
          <m:rPr>
            <m:sty m:val="p"/>
          </m:rPr>
          <m:t>−</m:t>
        </m:r>
        <m:r>
          <m:t>0.018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</m:t>
        </m:r>
      </m:oMath>
      <w:r>
        <w:t xml:space="preserve">, against a positive base, i.e. the level effect is</w:t>
      </w:r>
      <w:r>
        <w:t xml:space="preserve"> </w:t>
      </w:r>
      <w:r>
        <w:t xml:space="preserve">concentrated in below-median-value markets rather than the most expensive ones). Second, and decisively for H3, the</w:t>
      </w:r>
      <w:r>
        <w:t xml:space="preserve"> </w:t>
      </w:r>
      <w:r>
        <w:t xml:space="preserve">two</w:t>
      </w:r>
      <w:r>
        <w:t xml:space="preserve"> </w:t>
      </w:r>
      <w:r>
        <w:rPr>
          <w:i/>
          <w:iCs/>
        </w:rPr>
        <w:t xml:space="preserve">physical-risk</w:t>
      </w:r>
      <w:r>
        <w:t xml:space="preserve"> </w:t>
      </w:r>
      <w:r>
        <w:t xml:space="preserve">moderators—coastal-flood risk and overall NRI risk—carry</w:t>
      </w:r>
      <w:r>
        <w:t xml:space="preserve"> </w:t>
      </w:r>
      <w:r>
        <w:rPr>
          <w:i/>
          <w:iCs/>
        </w:rPr>
        <w:t xml:space="preserve">insignificant</w:t>
      </w:r>
      <w:r>
        <w:t xml:space="preserve"> </w:t>
      </w:r>
      <w:r>
        <w:t xml:space="preserve">interactions (</w:t>
      </w:r>
      <m:oMath>
        <m:r>
          <m:rPr>
            <m:sty m:val="p"/>
          </m:rPr>
          <m:t>−</m:t>
        </m:r>
        <m:r>
          <m:t>0.014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</m:t>
        </m:r>
      </m:oMath>
      <w:r>
        <w:t xml:space="preserve">; and</w:t>
      </w:r>
      <w:r>
        <w:t xml:space="preserve"> </w:t>
      </w:r>
      <m:oMath>
        <m:r>
          <m:rPr>
            <m:sty m:val="p"/>
          </m:rPr>
          <m:t>+</m:t>
        </m:r>
        <m:r>
          <m:t>0.010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1.3</m:t>
        </m:r>
      </m:oMath>
      <w:r>
        <w:t xml:space="preserve">). Exposure did not</w:t>
      </w:r>
      <w:r>
        <w:t xml:space="preserve"> </w:t>
      </w:r>
      <w:r>
        <w:t xml:space="preserve">re-price more where baseline risk was truly high; it moved with pre-existing housing momentum.</w:t>
      </w:r>
      <w:r>
        <w:t xml:space="preserve"> </w:t>
      </w:r>
      <w:r>
        <w:t xml:space="preserve">This is the opposite of what the latent-risk-salience channel predicts and reinforces that the</w:t>
      </w:r>
      <w:r>
        <w:t xml:space="preserve"> </w:t>
      </w:r>
      <w:r>
        <w:t xml:space="preserve">belief pattern in Table </w:t>
      </w:r>
      <w:hyperlink w:anchor="tab:belief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geography and momentum, not risk perception.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interact treatment with a graded distance/intensity exposure here—that dimension is</w:t>
      </w:r>
      <w:r>
        <w:t xml:space="preserve"> </w:t>
      </w:r>
      <w:r>
        <w:t xml:space="preserve">the student’s hand-collected contribution and is deliberately excluded from the observable</w:t>
      </w:r>
      <w:r>
        <w:t xml:space="preserve"> </w:t>
      </w:r>
      <w:r>
        <w:t xml:space="preserve">moderators above.</w:t>
      </w:r>
    </w:p>
    <w:bookmarkEnd w:id="26"/>
    <w:bookmarkStart w:id="27" w:name="sec:match"/>
    <w:p>
      <w:pPr>
        <w:pStyle w:val="Heading1"/>
      </w:pPr>
      <w:r>
        <w:t xml:space="preserve">Matching</w:t>
      </w:r>
    </w:p>
    <w:p>
      <w:pPr>
        <w:pStyle w:val="FirstParagraph"/>
      </w:pPr>
      <w:r>
        <w:t xml:space="preserve">The treated and control groups differ on pre-existing housing dynamics, and the raw Ian result</w:t>
      </w:r>
      <w:r>
        <w:t xml:space="preserve"> </w:t>
      </w:r>
      <w:r>
        <w:t xml:space="preserve">could simply reflect wealthy, fast-appreciating coastal markets being the ones FEMA designated.</w:t>
      </w:r>
      <w:r>
        <w:t xml:space="preserve"> </w:t>
      </w:r>
      <w:r>
        <w:t xml:space="preserve">Table </w:t>
      </w:r>
      <w:hyperlink w:anchor="tab:matche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re-estimates the design on a sample in which each treated county-event is</w:t>
      </w:r>
      <w:r>
        <w:t xml:space="preserve"> </w:t>
      </w:r>
      <w:r>
        <w:t xml:space="preserve">nearest-neighbor matched,</w:t>
      </w:r>
      <w:r>
        <w:t xml:space="preserve"> </w:t>
      </w:r>
      <w:r>
        <w:rPr>
          <w:i/>
          <w:iCs/>
        </w:rPr>
        <w:t xml:space="preserve">within its own storm</w:t>
      </w:r>
      <w:r>
        <w:t xml:space="preserve"> </w:t>
      </w:r>
      <w:r>
        <w:t xml:space="preserve">and without replacement, to a control on</w:t>
      </w:r>
      <w:r>
        <w:t xml:space="preserve"> </w:t>
      </w:r>
      <w:r>
        <w:t xml:space="preserve">pre-storm ZHVI level and pre-storm price momentum (201 pairs; the treated–control pre-storm</w:t>
      </w:r>
      <w:r>
        <w:t xml:space="preserve"> </w:t>
      </w:r>
      <w:r>
        <w:t xml:space="preserve">level gap falls from</w:t>
      </w:r>
      <w:r>
        <w:t xml:space="preserve"> </w:t>
      </w:r>
      <m:oMath>
        <m:r>
          <m:rPr>
            <m:sty m:val="p"/>
          </m:rPr>
          <m:t>−</m:t>
        </m:r>
        <m:r>
          <m:t>0.042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0.001</m:t>
        </m:r>
      </m:oMath>
      <w:r>
        <w:t xml:space="preserve"> </w:t>
      </w:r>
      <w:r>
        <w:t xml:space="preserve">log points and the momentum gap from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month). On the balanced sample the average effect is</w:t>
      </w:r>
      <w:r>
        <w:t xml:space="preserve"> </w:t>
      </w:r>
      <m:oMath>
        <m:r>
          <m:rPr>
            <m:sty m:val="p"/>
          </m:rPr>
          <m:t>−</m:t>
        </m:r>
        <m:r>
          <m:t>0.006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</m:t>
        </m:r>
      </m:oMath>
      <w:r>
        <w:t xml:space="preserve">) and the detrended effect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</m:oMath>
      <w:r>
        <w:t xml:space="preserve">)—both statistically</w:t>
      </w:r>
      <w:r>
        <w:t xml:space="preserve"> </w:t>
      </w:r>
      <w:r>
        <w:t xml:space="preserve">indistinguishable from zero, so the mild negative in the full sample is not robust to balancing</w:t>
      </w:r>
      <w:r>
        <w:t xml:space="preserve"> </w:t>
      </w:r>
      <w:r>
        <w:t xml:space="preserve">on pre-storm dynamics. Most important, the belief-split interaction—the wrong-signed</w:t>
      </w:r>
      <w:r>
        <w:t xml:space="preserve"> </w:t>
      </w:r>
      <m:oMath>
        <m:r>
          <m:rPr>
            <m:sty m:val="p"/>
          </m:rPr>
          <m:t>+</m:t>
        </m:r>
        <m:r>
          <m:t>0.020</m:t>
        </m:r>
      </m:oMath>
      <w:r>
        <w:t xml:space="preserve"> </w:t>
      </w:r>
      <w:r>
        <w:t xml:space="preserve">that a casual reading might report as</w:t>
      </w:r>
      <w:r>
        <w:t xml:space="preserve"> </w:t>
      </w:r>
      <w:r>
        <w:t xml:space="preserve">“believers re-price less”</w:t>
      </w:r>
      <w:r>
        <w:t xml:space="preserve">—</w:t>
      </w:r>
      <w:r>
        <w:rPr>
          <w:i/>
          <w:iCs/>
        </w:rPr>
        <w:t xml:space="preserve">collapses to</w:t>
      </w:r>
      <w:r>
        <w:rPr>
          <w:i/>
          <w:iCs/>
        </w:rP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 once treated and control counties are matched on how expensive and how fast-rising</w:t>
      </w:r>
      <w:r>
        <w:t xml:space="preserve"> </w:t>
      </w:r>
      <w:r>
        <w:t xml:space="preserve">they were before the storm. The belief</w:t>
      </w:r>
      <w:r>
        <w:t xml:space="preserve"> </w:t>
      </w:r>
      <w:r>
        <w:t xml:space="preserve">“effect”</w:t>
      </w:r>
      <w:r>
        <w:t xml:space="preserve"> </w:t>
      </w:r>
      <w:r>
        <w:t xml:space="preserve">is a wealth/momentum artifact, not a</w:t>
      </w:r>
      <w:r>
        <w:t xml:space="preserve"> </w:t>
      </w:r>
      <w:r>
        <w:t xml:space="preserve">belief response.</w:t>
      </w:r>
    </w:p>
    <w:bookmarkEnd w:id="27"/>
    <w:bookmarkStart w:id="28" w:name="sec:ri"/>
    <w:p>
      <w:pPr>
        <w:pStyle w:val="Heading1"/>
      </w:pPr>
      <w:r>
        <w:t xml:space="preserve">Randomization Inference</w:t>
      </w:r>
    </w:p>
    <w:p>
      <w:pPr>
        <w:pStyle w:val="FirstParagraph"/>
      </w:pPr>
      <w:r>
        <w:t xml:space="preserve">Table </w:t>
      </w:r>
      <w:hyperlink w:anchor="tab:ri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 design-based inference from 1</w:t>
      </w:r>
      <w:r>
        <w:t xml:space="preserve">,</w:t>
      </w:r>
      <w:r>
        <w:t xml:space="preserve">000</w:t>
      </w:r>
      <w:r>
        <w:t xml:space="preserve"> </w:t>
      </w:r>
      <w:r>
        <w:t xml:space="preserve">permutations of the treatment label, drawn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storm so that the number of</w:t>
      </w:r>
      <w:r>
        <w:t xml:space="preserve"> </w:t>
      </w:r>
      <w:r>
        <w:t xml:space="preserve">hard-hit counties per event (Ian</w:t>
      </w:r>
      <w:r>
        <w:t xml:space="preserve"> </w:t>
      </w:r>
      <m:oMath>
        <m:r>
          <m:rPr>
            <m:sty m:val="p"/>
          </m:rPr>
          <m:t>=</m:t>
        </m:r>
        <m:r>
          <m:t>29</m:t>
        </m:r>
      </m:oMath>
      <w:r>
        <w:t xml:space="preserve">, Helene</w:t>
      </w:r>
      <w:r>
        <w:t xml:space="preserve"> </w:t>
      </w:r>
      <m:oMath>
        <m:r>
          <m:rPr>
            <m:sty m:val="p"/>
          </m:rPr>
          <m:t>=</m:t>
        </m:r>
        <m:r>
          <m:t>187</m:t>
        </m:r>
      </m:oMath>
      <w:r>
        <w:t xml:space="preserve">) is held fixed and the two-event structure</w:t>
      </w:r>
      <w:r>
        <w:t xml:space="preserve"> </w:t>
      </w:r>
      <w:r>
        <w:t xml:space="preserve">is preserved. For the average effect the actual coefficient (</w:t>
      </w:r>
      <m:oMath>
        <m:r>
          <m:rPr>
            <m:sty m:val="p"/>
          </m:rPr>
          <m:t>+</m:t>
        </m:r>
        <m:r>
          <m:t>0.0013</m:t>
        </m:r>
      </m:oMath>
      <w:r>
        <w:t xml:space="preserve">) sits at the</w:t>
      </w:r>
      <w:r>
        <w:t xml:space="preserve"> </w:t>
      </w:r>
      <m:oMath>
        <m:r>
          <m:t>63</m:t>
        </m:r>
      </m:oMath>
      <w:r>
        <w:t xml:space="preserve">rd</w:t>
      </w:r>
      <w:r>
        <w:t xml:space="preserve"> </w:t>
      </w:r>
      <w:r>
        <w:t xml:space="preserve">percentile of the permutation distribution (95% permutation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</m:t>
        </m:r>
        <m:r>
          <m:rPr>
            <m:sty m:val="p"/>
          </m:rPr>
          <m:t>]</m:t>
        </m:r>
      </m:oMath>
      <w:r>
        <w:t xml:space="preserve">), giving</w:t>
      </w:r>
      <w:r>
        <w:t xml:space="preserve"> </w:t>
      </w:r>
      <w:r>
        <w:t xml:space="preserve">a randomization</w:t>
      </w:r>
      <w:r>
        <w:t xml:space="preserve"> </w:t>
      </w:r>
      <m:oMath>
        <m:r>
          <m:t>p</m:t>
        </m:r>
      </m:oMath>
      <w:r>
        <w:t xml:space="preserve">-value of</w:t>
      </w:r>
      <w:r>
        <w:t xml:space="preserve"> </w:t>
      </w:r>
      <m:oMath>
        <m:r>
          <m:t>0.76</m:t>
        </m:r>
      </m:oMath>
      <w:r>
        <w:t xml:space="preserve">: the average null is not an artifact of clustered-SE</w:t>
      </w:r>
      <w:r>
        <w:t xml:space="preserve"> </w:t>
      </w:r>
      <w:r>
        <w:t xml:space="preserve">asymptotics but survives a fully design-based test. The belief-split interaction is different:</w:t>
      </w:r>
      <w:r>
        <w:t xml:space="preserve"> </w:t>
      </w:r>
      <w:r>
        <w:t xml:space="preserve">its actual value (</w:t>
      </w:r>
      <m:oMath>
        <m:r>
          <m:rPr>
            <m:sty m:val="p"/>
          </m:rPr>
          <m:t>+</m:t>
        </m:r>
        <m:r>
          <m:t>0.020</m:t>
        </m:r>
      </m:oMath>
      <w:r>
        <w:t xml:space="preserve">) lies at the</w:t>
      </w:r>
      <w:r>
        <w:t xml:space="preserve"> </w:t>
      </w:r>
      <m:oMath>
        <m:r>
          <m:t>99</m:t>
        </m:r>
      </m:oMath>
      <w:r>
        <w:t xml:space="preserve">th percentile, outside the permutation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0.018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0.015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.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resurrect a belief reading. Because the</w:t>
      </w:r>
      <w:r>
        <w:t xml:space="preserve"> </w:t>
      </w:r>
      <w:r>
        <w:t xml:space="preserve">permutation randomizes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counties are labeled hard-hit, an interaction this extreme</w:t>
      </w:r>
      <w:r>
        <w:t xml:space="preserve"> </w:t>
      </w:r>
      <w:r>
        <w:t xml:space="preserve">means the real treated set is a</w:t>
      </w:r>
      <w:r>
        <w:t xml:space="preserve"> </w:t>
      </w:r>
      <w:r>
        <w:rPr>
          <w:i/>
          <w:iCs/>
        </w:rPr>
        <w:t xml:space="preserve">systematically</w:t>
      </w:r>
      <w:r>
        <w:t xml:space="preserve"> </w:t>
      </w:r>
      <w:r>
        <w:t xml:space="preserve">unusual draw—the high-belief, high-price,</w:t>
      </w:r>
      <w:r>
        <w:t xml:space="preserve"> </w:t>
      </w:r>
      <w:r>
        <w:t xml:space="preserve">high-momentum Florida/Ian coast—rather than a random one. Randomization inference thus</w:t>
      </w:r>
      <w:r>
        <w:t xml:space="preserve"> </w:t>
      </w:r>
      <w:r>
        <w:t xml:space="preserve">corroborates both halves of the story: the average exposure effect is a genuine null, and the</w:t>
      </w:r>
      <w:r>
        <w:t xml:space="preserve"> </w:t>
      </w:r>
      <w:r>
        <w:t xml:space="preserve">belief interaction is systematic wealth-and-geography structure (the same structure matching and</w:t>
      </w:r>
      <w:r>
        <w:t xml:space="preserve"> </w:t>
      </w:r>
      <w:r>
        <w:t xml:space="preserve">detrending remove), not sampling noise and not a causal response to belief.</w:t>
      </w:r>
    </w:p>
    <w:bookmarkEnd w:id="28"/>
    <w:bookmarkStart w:id="29" w:name="sec:power"/>
    <w:p>
      <w:pPr>
        <w:pStyle w:val="Heading1"/>
      </w:pPr>
      <w:r>
        <w:t xml:space="preserve">Is the Null Informative? Power and Minimum Detectable Effects</w:t>
      </w:r>
    </w:p>
    <w:p>
      <w:pPr>
        <w:pStyle w:val="FirstParagraph"/>
      </w:pPr>
      <w:r>
        <w:t xml:space="preserve">A null is only interesting if the design could have detected a real effect. Table </w:t>
      </w:r>
      <w:hyperlink w:anchor="tab:power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reports, for the average, detrended, and belief-conditional coefficients, the minimum detectable</w:t>
      </w:r>
      <w:r>
        <w:t xml:space="preserve"> </w:t>
      </w:r>
      <w:r>
        <w:t xml:space="preserve">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expressed as a percent of home value and as a share of the cross-county</w:t>
      </w:r>
      <w:r>
        <w:t xml:space="preserve"> </w:t>
      </w:r>
      <w:r>
        <w:t xml:space="preserve">standard deviation of the post-minus-pre change in log ZHVI (</w:t>
      </w:r>
      <m:oMath>
        <m:r>
          <m:t>7.2</m:t>
        </m:r>
        <m:r>
          <m:rPr>
            <m:sty m:val="p"/>
          </m:rPr>
          <m:t>%</m:t>
        </m:r>
      </m:oMath>
      <w:r>
        <w:t xml:space="preserve">). The design is well powered:</w:t>
      </w:r>
      <w:r>
        <w:t xml:space="preserve"> </w:t>
      </w:r>
      <w:r>
        <w:t xml:space="preserve">at 80% power we could detect an average exposure effect of</w:t>
      </w:r>
      <w:r>
        <w:t xml:space="preserve"> </w:t>
      </w:r>
      <m:oMath>
        <m:r>
          <m:t>1.1</m:t>
        </m:r>
        <m:r>
          <m:rPr>
            <m:sty m:val="p"/>
          </m:rPr>
          <m:t>%</m:t>
        </m:r>
      </m:oMath>
      <w:r>
        <w:t xml:space="preserve"> </w:t>
      </w:r>
      <w:r>
        <w:t xml:space="preserve">of home value (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cross-county change SD), a detrended effect of</w:t>
      </w:r>
      <w:r>
        <w:t xml:space="preserve"> </w:t>
      </w:r>
      <m:oMath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7</m:t>
        </m:r>
        <m:r>
          <m:rPr>
            <m:sty m:val="p"/>
          </m:rPr>
          <m:t>%</m:t>
        </m:r>
      </m:oMath>
      <w:r>
        <w:t xml:space="preserve">), and a belief-conditional</w:t>
      </w:r>
      <w:r>
        <w:t xml:space="preserve"> </w:t>
      </w:r>
      <w:r>
        <w:t xml:space="preserve">interaction of</w:t>
      </w:r>
      <w:r>
        <w:t xml:space="preserve"> </w:t>
      </w:r>
      <m:oMath>
        <m:r>
          <m:t>2.2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30</m:t>
        </m:r>
        <m:r>
          <m:rPr>
            <m:sty m:val="p"/>
          </m:rPr>
          <m:t>%</m:t>
        </m:r>
      </m:oMath>
      <w:r>
        <w:t xml:space="preserve">). These thresholds are well below the effects the setting itself</w:t>
      </w:r>
      <w:r>
        <w:t xml:space="preserve"> </w:t>
      </w:r>
      <w:r>
        <w:t xml:space="preserve">produces: the Ian–Helene storm spread is</w:t>
      </w:r>
      <w:r>
        <w:t xml:space="preserve"> </w:t>
      </w:r>
      <m:oMath>
        <m:r>
          <m:t>8.4</m:t>
        </m:r>
      </m:oMath>
      <w:r>
        <w:t xml:space="preserve"> </w:t>
      </w:r>
      <w:r>
        <w:t xml:space="preserve">percentage points, and the raw belief split is</w:t>
      </w:r>
      <w:r>
        <w:t xml:space="preserve"> </w:t>
      </w:r>
      <m:oMath>
        <m:r>
          <m:t>2.0</m:t>
        </m:r>
        <m:r>
          <m:rPr>
            <m:sty m:val="p"/>
          </m:rPr>
          <m:t>%</m:t>
        </m:r>
      </m:oMath>
      <w:r>
        <w:t xml:space="preserve">. In other words, a belief-conditional re-pricing even a fraction of the cross-storm</w:t>
      </w:r>
      <w:r>
        <w:t xml:space="preserve"> </w:t>
      </w:r>
      <w:r>
        <w:t xml:space="preserve">spread would very likely have been detected; its absence once confounds are removed is therefore</w:t>
      </w:r>
      <w:r>
        <w:t xml:space="preserve"> </w:t>
      </w:r>
      <w:r>
        <w:t xml:space="preserve">an informative upper bound on the belief mechanism in these two events, not a symptom of an</w:t>
      </w:r>
      <w:r>
        <w:t xml:space="preserve"> </w:t>
      </w:r>
      <w:r>
        <w:t xml:space="preserve">underpowered test.</w:t>
      </w:r>
    </w:p>
    <w:bookmarkEnd w:id="29"/>
    <w:bookmarkStart w:id="54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Do home values re-price disaster risk only where people believe? In the two largest recent</w:t>
      </w:r>
      <w:r>
        <w:t xml:space="preserve"> </w:t>
      </w:r>
      <w:r>
        <w:t xml:space="preserve">U.S. landfalls, our answer is a carefully documented</w:t>
      </w:r>
      <w:r>
        <w:t xml:space="preserve"> </w:t>
      </w:r>
      <w:r>
        <w:rPr>
          <w:i/>
          <w:iCs/>
        </w:rPr>
        <w:t xml:space="preserve">no</w:t>
      </w:r>
      <w:r>
        <w:t xml:space="preserve">. The average</w:t>
      </w:r>
      <w:r>
        <w:t xml:space="preserve"> </w:t>
      </w:r>
      <w:r>
        <w:t xml:space="preserve">hard-hit-versus-control effect is a precise null; net of pre-trends it is a small negative;</w:t>
      </w:r>
      <w:r>
        <w:t xml:space="preserve"> </w:t>
      </w:r>
      <w:r>
        <w:t xml:space="preserve">and the belief-conditional pattern that a casual split appears to show is an artifact of storm</w:t>
      </w:r>
      <w:r>
        <w:t xml:space="preserve"> </w:t>
      </w:r>
      <w:r>
        <w:t xml:space="preserve">geography and pre-existing housing momentum—it reverses across specifications, vanishes under</w:t>
      </w:r>
      <w:r>
        <w:t xml:space="preserve"> </w:t>
      </w:r>
      <w:r>
        <w:t xml:space="preserve">detrending, collapses under matching, and is located by randomization inference in the</w:t>
      </w:r>
      <w:r>
        <w:t xml:space="preserve"> </w:t>
      </w:r>
      <w:r>
        <w:t xml:space="preserve">systematic wealth structure of which counties were treated rather than in belief. The</w:t>
      </w:r>
      <w:r>
        <w:t xml:space="preserve"> </w:t>
      </w:r>
      <w:r>
        <w:t xml:space="preserve">heterogeneity evidence sharpens the point: exposure moved with pre-storm price momentum, not with</w:t>
      </w:r>
      <w:r>
        <w:t xml:space="preserve"> </w:t>
      </w:r>
      <w:r>
        <w:t xml:space="preserve">FEMA baseline hurricane or flood risk, so even the latent-risk-salience channel finds no support.</w:t>
      </w:r>
      <w:r>
        <w:t xml:space="preserve"> </w:t>
      </w:r>
      <w:r>
        <w:t xml:space="preserve">A power analysis establishes that the null is informative: belief-conditional effects smaller than</w:t>
      </w:r>
      <w:r>
        <w:t xml:space="preserve"> </w:t>
      </w:r>
      <w:r>
        <w:t xml:space="preserve">the cross-storm spread would have been detected. We read this not as a refutation of</w:t>
      </w:r>
      <w:r>
        <w:t xml:space="preserve"> </w:t>
      </w:r>
      <w:r>
        <w:t xml:space="preserve">’s cross-sectional sea-level-rise result, but as a warning that</w:t>
      </w:r>
      <w:r>
        <w:t xml:space="preserve"> </w:t>
      </w:r>
      <w:r>
        <w:t xml:space="preserve">realized-disaster event studies of belief conditioning are especially vulnerable to confounding</w:t>
      </w:r>
      <w:r>
        <w:t xml:space="preserve"> </w:t>
      </w:r>
      <w:r>
        <w:t xml:space="preserve">by wealth, coastal amenity, and momentum.</w:t>
      </w:r>
    </w:p>
    <w:p>
      <w:pPr>
        <w:pStyle w:val="BodyText"/>
      </w:pPr>
      <w:r>
        <w:t xml:space="preserve">The decisive next step is human. An automated pipeline cannot know each storm’s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landfall track, wind-field, and surge footprint, nor separate a county flooded by 30 inches</w:t>
      </w:r>
      <w:r>
        <w:t xml:space="preserve"> </w:t>
      </w:r>
      <w:r>
        <w:t xml:space="preserve">of rain from a neighbor merely designated for administrative convenience. Our treatment is an</w:t>
      </w:r>
      <w:r>
        <w:t xml:space="preserve"> </w:t>
      </w:r>
      <w:r>
        <w:t xml:space="preserve">intent-to-treat</w:t>
      </w:r>
      <w:r>
        <w:t xml:space="preserve"> </w:t>
      </w:r>
      <w:r>
        <w:rPr>
          <w:i/>
          <w:iCs/>
        </w:rPr>
        <w:t xml:space="preserve">proxy</w:t>
      </w:r>
      <w:r>
        <w:t xml:space="preserve">—a binary FEMA IHP flag—and every check above is deliberately</w:t>
      </w:r>
      <w:r>
        <w:t xml:space="preserve"> </w:t>
      </w:r>
      <w:r>
        <w:t xml:space="preserve">built on observable data that is orthogonal to true exposure intensity. Hand-collecting the</w:t>
      </w:r>
      <w:r>
        <w:t xml:space="preserve"> </w:t>
      </w:r>
      <w:r>
        <w:t xml:space="preserve">precise affected geography from NOAA and FEMA primary sources—turning the coarse IHP indicator</w:t>
      </w:r>
      <w:r>
        <w:t xml:space="preserve"> </w:t>
      </w:r>
      <w:r>
        <w:t xml:space="preserve">into a graded distance/intensity exposure, and validating the treated set county by county—is</w:t>
      </w:r>
      <w:r>
        <w:t xml:space="preserve"> </w:t>
      </w:r>
      <w:r>
        <w:t xml:space="preserve">what would convert this honest null into a sharp, defensible test of whether believers, and only</w:t>
      </w:r>
      <w:r>
        <w:t xml:space="preserve"> </w:t>
      </w:r>
      <w:r>
        <w:t xml:space="preserve">believers, re-price the risk that a hurricane makes suddenly real. That test—not another</w:t>
      </w:r>
      <w:r>
        <w:t xml:space="preserve"> </w:t>
      </w:r>
      <w:r>
        <w:t xml:space="preserve">robustness check on the binary proxy—is the natural next step, and it is the contribution the</w:t>
      </w:r>
      <w:r>
        <w:t xml:space="preserve"> </w:t>
      </w:r>
      <w:r>
        <w:t xml:space="preserve">design has been built to receive.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Baldauf, M., Garlappi, L., Yannelis, C., 2020.</w:t>
      </w:r>
      <w:r>
        <w:t xml:space="preserve"> </w:t>
      </w:r>
      <w:r>
        <w:t xml:space="preserve">Does climate change affect real estate prices? Only if you believe in it. Review of Financial Studies 33, 1256–1295.</w:t>
      </w:r>
      <w:r>
        <w:t xml:space="preserve"> </w:t>
      </w:r>
      <w:r>
        <w:t xml:space="preserve">Bernstein, A., Gustafson, M.T., Lewis, R., 2019.</w:t>
      </w:r>
      <w:r>
        <w:t xml:space="preserve"> </w:t>
      </w:r>
      <w:r>
        <w:t xml:space="preserve">Disaster on the horizon: the price effect of sea level rise. Journal of Financial Economics 134, 253–272.</w:t>
      </w:r>
      <w:r>
        <w:t xml:space="preserve"> </w:t>
      </w:r>
      <w:r>
        <w:t xml:space="preserve">Bin, O., Landry, C.E., 2013.</w:t>
      </w:r>
      <w:r>
        <w:t xml:space="preserve"> </w:t>
      </w:r>
      <w:r>
        <w:t xml:space="preserve">Changes in implicit flood risk premiums: empirical evidence from the housing market. Journal of Environmental Economics and Management 65, 361–376.</w:t>
      </w:r>
      <w:r>
        <w:t xml:space="preserve"> </w:t>
      </w:r>
      <w:r>
        <w:t xml:space="preserve">Callaway, B., Sant’Anna, P.H.C., 2021.</w:t>
      </w:r>
      <w:r>
        <w:t xml:space="preserve"> </w:t>
      </w:r>
      <w:r>
        <w:t xml:space="preserve">Difference-in-differences with multiple time periods. Journal of Econometrics 225, 200–230.</w:t>
      </w:r>
      <w:r>
        <w:t xml:space="preserve"> </w:t>
      </w:r>
      <w:r>
        <w:t xml:space="preserve">Gallagher, J., 2014.</w:t>
      </w:r>
      <w:r>
        <w:t xml:space="preserve"> </w:t>
      </w:r>
      <w:r>
        <w:t xml:space="preserve">Learning about an infrequent event: evidence from flood insurance take-up in the United States. American Economic Journal: Applied Economics 6, 206–233.</w:t>
      </w:r>
      <w:r>
        <w:t xml:space="preserve"> </w:t>
      </w:r>
      <w:r>
        <w:t xml:space="preserve">Giglio, S., Kelly, B., Stroebel, J., 2021.</w:t>
      </w:r>
      <w:r>
        <w:t xml:space="preserve"> </w:t>
      </w:r>
      <w:r>
        <w:t xml:space="preserve">Climate finance. Annual Review of Financial Economics 13, 15–36.</w:t>
      </w:r>
      <w:r>
        <w:t xml:space="preserve"> </w:t>
      </w:r>
      <w:r>
        <w:t xml:space="preserve">Goodman-Bacon, A., 2021.</w:t>
      </w:r>
      <w:r>
        <w:t xml:space="preserve"> </w:t>
      </w:r>
      <w:r>
        <w:t xml:space="preserve">Difference-in-differences with variation in treatment timing. Journal of Econometrics 225, 254–277.</w:t>
      </w:r>
      <w:r>
        <w:t xml:space="preserve"> </w:t>
      </w:r>
      <w:r>
        <w:t xml:space="preserve">Hino, M., Burke, M., 2021.</w:t>
      </w:r>
      <w:r>
        <w:t xml:space="preserve"> </w:t>
      </w:r>
      <w:r>
        <w:t xml:space="preserve">The effect of information about climate risk on property values. Proceedings of the National Academy of Sciences 118, e2003374118.</w:t>
      </w:r>
      <w:r>
        <w:t xml:space="preserve"> </w:t>
      </w:r>
      <w:r>
        <w:t xml:space="preserve">Howe, P.D., Mildenberger, M., Marlon, J.R., Leiserowitz, A., 2015.</w:t>
      </w:r>
      <w:r>
        <w:t xml:space="preserve"> </w:t>
      </w:r>
      <w:r>
        <w:t xml:space="preserve">Geographic variation in opinions on climate change at state and local scales in the USA. Nature Climate Change 5, 596–603.</w:t>
      </w:r>
      <w:r>
        <w:t xml:space="preserve"> </w:t>
      </w:r>
      <w:r>
        <w:t xml:space="preserve">Ioannidis, J.P.A., Stanley, T.D., Doucouliagos, H.,</w:t>
      </w:r>
      <w:r>
        <w:t xml:space="preserve"> </w:t>
      </w:r>
      <w:r>
        <w:t xml:space="preserve">2017. The power of bias in economics research. Economic Journal 127, F236–F265.</w:t>
      </w:r>
      <w:r>
        <w:t xml:space="preserve"> </w:t>
      </w:r>
      <w:r>
        <w:t xml:space="preserve">Ortega, F., Taspinar, S., 2018.</w:t>
      </w:r>
      <w:r>
        <w:t xml:space="preserve"> </w:t>
      </w:r>
      <w:r>
        <w:t xml:space="preserve">Rising sea levels and sinking property values: Hurricane Sandy and New York’s housing market. Journal of Urban Economics 106, 81–100.</w:t>
      </w:r>
      <w:r>
        <w:t xml:space="preserve"> </w:t>
      </w:r>
      <w:r>
        <w:t xml:space="preserve">Roth, J., 2022. Pretest with caution: Event-study estimates after</w:t>
      </w:r>
      <w:r>
        <w:t xml:space="preserve"> </w:t>
      </w:r>
      <w:r>
        <w:t xml:space="preserve">testing for parallel trends. American Economic Review: Insights 4, 305–322.</w:t>
      </w:r>
      <w:r>
        <w:t xml:space="preserve"> </w:t>
      </w:r>
      <w:r>
        <w:t xml:space="preserve">Sun, L., Abraham, S., 2021. Estimating dynamic</w:t>
      </w:r>
      <w:r>
        <w:t xml:space="preserve"> </w:t>
      </w:r>
      <w:r>
        <w:t xml:space="preserve">treatment effects in event studies with heterogeneous treatment effects. Journal of Econometrics 225, 175–199.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 Quarterly Journal of</w:t>
      </w:r>
      <w:r>
        <w:t xml:space="preserve"> </w:t>
      </w:r>
      <w:r>
        <w:t xml:space="preserve">Economics 134, 557–598.</w:t>
      </w:r>
    </w:p>
    <w:bookmarkStart w:id="30" w:name="tab:balance"/>
    <w:p>
      <w:pPr>
        <w:pStyle w:val="TableCaption"/>
      </w:pPr>
      <w:r>
        <w:t xml:space="preserve">Balance: treated (hard-hit) vs. control counties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alance: treated (hard-hit) vs. control counties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(hard-hit)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Worried about warming (</w:t>
            </w:r>
            <w:r>
              <w:t xml:space="preserve"> </w:t>
            </w:r>
            <w:r>
              <w:t xml:space="preserve">Believe warming happening (</w:t>
            </w:r>
            <w:r>
              <w:t xml:space="preserve"> </w:t>
            </w:r>
            <w:r>
              <w:t xml:space="preserve">2020 GOP vote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NRI hurricane risk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77.825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72.560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5.265***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NRI overall risk 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53.265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4.814**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ZHVI at landfall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Pre-period monthly ln-ZHVI trend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(county-events)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County-event means.</w:t>
      </w:r>
      <w:r>
        <w:t xml:space="preserve"> </w:t>
      </w:r>
      <w:r>
        <w:t xml:space="preserve">“Treated”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FEMA IHP-designated.</w:t>
      </w:r>
      <w:r>
        <w:t xml:space="preserve"> </w:t>
      </w:r>
      <w:r>
        <w:t xml:space="preserve">Belief/vote/NRI are time-invariant; ln ZHVI and pre-trend measured at/through landfall.</w:t>
      </w:r>
      <w:r>
        <w:t xml:space="preserve"> </w:t>
      </w:r>
      <w:r>
        <w:t xml:space="preserve">Welch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1" w:name="tab:did"/>
    <w:p>
      <w:pPr>
        <w:pStyle w:val="TableCaption"/>
      </w:pPr>
      <w:r>
        <w:t xml:space="preserve">Exposure difference-in-differences (DV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</m:oMath>
      <w:r>
        <w:t xml:space="preserve"> </w:t>
      </w:r>
      <w:r>
        <w:t xml:space="preserve">ZHVI)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osure difference-in-differences (DV =\ln ZHVI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Pooled OLS, no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(-0.54)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+ county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event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0.0561***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(12.38)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+ event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month FE (preferred)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Controls = designated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(2.95)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Helene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-0.0107**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Ian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(7.69)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 + treated linear trend (detrended)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</w:tbl>
    <w:bookmarkEnd w:id="3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FEMA IHP county; Post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months after</w:t>
      </w:r>
      <w:r>
        <w:t xml:space="preserve"> </w:t>
      </w:r>
      <w:r>
        <w:t xml:space="preserve">landfall. County</w:t>
      </w:r>
      <m:oMath>
        <m:r>
          <m:rPr>
            <m:sty m:val="p"/>
          </m:rPr>
          <m:t>×</m:t>
        </m:r>
      </m:oMath>
      <w:r>
        <w:t xml:space="preserve">event and event</w:t>
      </w:r>
      <m:oMath>
        <m:r>
          <m:rPr>
            <m:sty m:val="p"/>
          </m:rPr>
          <m:t>×</m:t>
        </m:r>
      </m:oMath>
      <w:r>
        <w:t xml:space="preserve">calendar-month FE except where noted; SE clustered</w:t>
      </w:r>
      <w:r>
        <w:t xml:space="preserve"> </w:t>
      </w:r>
      <w:r>
        <w:t xml:space="preserve">by county (600 clusters). Row (7) adds a treated-specific linear trend.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2" w:name="tab:belief"/>
    <w:p>
      <w:pPr>
        <w:pStyle w:val="TableCaption"/>
      </w:pPr>
      <w:r>
        <w:t xml:space="preserve">Belief moderation:</w:t>
      </w:r>
      <w:r>
        <w:t xml:space="preserve"> </w:t>
      </w:r>
      <m:oMath>
        <m:r>
          <m:rPr>
            <m:nor/>
            <m:sty m:val="p"/>
          </m:rPr>
          <m:t>Treat</m:t>
        </m:r>
        <m:r>
          <m:rPr>
            <m:sty m:val="p"/>
          </m:rPr>
          <m:t>×</m:t>
        </m:r>
        <m:r>
          <m:rPr>
            <m:nor/>
            <m:sty m:val="p"/>
          </m:rPr>
          <m:t>Post</m:t>
        </m:r>
        <m:r>
          <m:rPr>
            <m:sty m:val="p"/>
          </m:rPr>
          <m:t>×</m:t>
        </m:r>
      </m:oMath>
      <w:r>
        <w:t xml:space="preserve">Moderator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lief moderation: \text{Treat}\times\text{Post}\timesModerato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Moderator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Moderator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High-belief split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-0.0096*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0.0195**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Worried (continuous, 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GOP vote share (inverse belief, 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NRI hurricane risk (z)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(1.72)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Worried (z), Helene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(-3.36)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(-2.53)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High-belief split, detrended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Two-way FE as in Eq. (1), plus Post</w:t>
      </w:r>
      <m:oMath>
        <m:r>
          <m:rPr>
            <m:sty m:val="p"/>
          </m:rPr>
          <m:t>×</m:t>
        </m:r>
      </m:oMath>
      <w:r>
        <w:t xml:space="preserve">Moderator.</w:t>
      </w:r>
      <w:r>
        <w:t xml:space="preserve"> </w:t>
      </w:r>
      <w:r>
        <w:t xml:space="preserve">Moderators standardized (</w:t>
      </w:r>
      <m:oMath>
        <m:r>
          <m:t>z</m:t>
        </m:r>
      </m:oMath>
      <w:r>
        <w:t xml:space="preserve">) except the high/low split. Row (6) adds treated- and</w:t>
      </w:r>
      <w:r>
        <w:t xml:space="preserve"> </w:t>
      </w:r>
      <w:r>
        <w:t xml:space="preserve">belief-group-specific linear trends. A positive interaction means exposure raised relative</w:t>
      </w:r>
      <w:r>
        <w:t xml:space="preserve"> </w:t>
      </w:r>
      <w:r>
        <w:t xml:space="preserve">prices where the moderator is high.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3" w:name="tab:pretrend"/>
    <w:p>
      <w:pPr>
        <w:pStyle w:val="TableCaption"/>
      </w:pPr>
      <w:r>
        <w:t xml:space="preserve">Pre-trend diagnostic (treated</w:t>
      </w:r>
      <m:oMath>
        <m:r>
          <m:rPr>
            <m:sty m:val="p"/>
          </m:rPr>
          <m:t>−</m:t>
        </m:r>
      </m:oMath>
      <w:r>
        <w:t xml:space="preserve">control ln-ZHVI slope, pre-landfall)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-trend diagnostic (treated-control ln-ZHVI slope, pre-landfall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Pre-trend slope/mo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sample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0.00074***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belief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belief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(1.07)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8112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Coefficient on</w:t>
      </w:r>
      <w:r>
        <w:t xml:space="preserve"> </w:t>
      </w:r>
      <m:oMath>
        <m:r>
          <m:rPr>
            <m:nor/>
            <m:sty m:val="p"/>
          </m:rPr>
          <m:t>Treat</m:t>
        </m:r>
        <m:r>
          <m:rPr>
            <m:sty m:val="p"/>
          </m:rPr>
          <m:t>×</m:t>
        </m:r>
      </m:oMath>
      <w:r>
        <w:t xml:space="preserve">(months-to-landfall)</w:t>
      </w:r>
      <w:r>
        <w:t xml:space="preserve"> </w:t>
      </w:r>
      <w:r>
        <w:t xml:space="preserve">over the pre-period only, two-way FE, clustered by county. A nonzero slope violates parallel</w:t>
      </w:r>
      <w:r>
        <w:t xml:space="preserve"> </w:t>
      </w:r>
      <w:r>
        <w:t xml:space="preserve">trends.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4" w:name="tab:hetero"/>
    <w:p>
      <w:pPr>
        <w:pStyle w:val="TableCaption"/>
      </w:pPr>
      <w:r>
        <w:t xml:space="preserve">Heterogeneity of the exposure DiD by observable pre-storm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exposure DiD by observable pre-storm modera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(pre-storm, within-event median split)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pre-storm home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+0.0107*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(+1.71)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-0.0183**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(-2.21)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pre-storm price momentum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FEMA flood risk (NRI)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FEMA overall risk (NRI)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(+1.27)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32085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</m:oMath>
      <w:r>
        <w:t xml:space="preserve"> </w:t>
      </w:r>
      <w:r>
        <w:t xml:space="preserve">ZHVI. Each row adds an interaction</w:t>
      </w:r>
      <w:r>
        <w:t xml:space="preserve"> </w:t>
      </w:r>
      <m:oMath>
        <m:r>
          <m:rPr>
            <m:nor/>
            <m:sty m:val="p"/>
          </m:rPr>
          <m:t>DiD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rPr>
            <m:nor/>
            <m:sty m:val="p"/>
          </m:rPr>
          <m:t>Post</m:t>
        </m:r>
        <m:r>
          <m:rPr>
            <m:sty m:val="p"/>
          </m:rPr>
          <m:t>×</m:t>
        </m:r>
        <m:r>
          <m:t>M</m:t>
        </m:r>
      </m:oMath>
      <w:r>
        <w:t xml:space="preserve">) to Eq.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pre-storm</w:t>
      </w:r>
      <w:r>
        <w:t xml:space="preserve"> </w:t>
      </w:r>
      <w:r>
        <w:t xml:space="preserve">moderator split at its within-event median: pre-storm home-value level, pre-storm price momentum,</w:t>
      </w:r>
      <w:r>
        <w:t xml:space="preserve"> </w:t>
      </w:r>
      <w:r>
        <w:t xml:space="preserve">FEMA NRI coastal-flood risk, and FEMA NRI overall risk.</w:t>
      </w:r>
      <w:r>
        <w:t xml:space="preserve"> </w:t>
      </w:r>
      <w:r>
        <w:t xml:space="preserve">“DiD”</w:t>
      </w:r>
      <w:r>
        <w:t xml:space="preserve"> </w:t>
      </w:r>
      <w:r>
        <w:t xml:space="preserve">is the effect in the</w:t>
      </w:r>
      <w:r>
        <w:t xml:space="preserve"> </w:t>
      </w:r>
      <w:r>
        <w:t xml:space="preserve">low-moderator group;</w:t>
      </w:r>
      <w:r>
        <w:t xml:space="preserve"> </w:t>
      </w:r>
      <w:r>
        <w:t xml:space="preserve">“DiD</w:t>
      </w:r>
      <m:oMath>
        <m:r>
          <m:rPr>
            <m:sty m:val="p"/>
          </m:rPr>
          <m:t>×</m:t>
        </m:r>
        <m:r>
          <m:t>M</m:t>
        </m:r>
      </m:oMath>
      <w:r>
        <w:t xml:space="preserve">”</w:t>
      </w:r>
      <w:r>
        <w:t xml:space="preserve"> </w:t>
      </w:r>
      <w:r>
        <w:t xml:space="preserve">the extra effect for the high-moderator group. The effect</w:t>
      </w:r>
      <w:r>
        <w:t xml:space="preserve"> </w:t>
      </w:r>
      <w:r>
        <w:t xml:space="preserve">loads on price momentum, not on physical-risk moderators. A graded distance/intensity exposure is</w:t>
      </w:r>
      <w:r>
        <w:t xml:space="preserve"> </w:t>
      </w:r>
      <w:r>
        <w:t xml:space="preserve">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(it is the student’s hand-collected variable).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5" w:name="tab:matched"/>
    <w:p>
      <w:pPr>
        <w:pStyle w:val="TableCaption"/>
      </w:pPr>
      <w:r>
        <w:t xml:space="preserve">Matched difference-in-differences (within-event NN on pre-storm level and momentum)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tched difference-in-differences (within-event NN on pre-storm level and momentum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 (matched sample)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DiD (matched)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Detrended DiD (matched)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Belief-split interaction (matched)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(+0.40)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18090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treated county-event is 1:1 nearest-neighbor</w:t>
      </w:r>
      <w:r>
        <w:t xml:space="preserve"> </w:t>
      </w:r>
      <w:r>
        <w:t xml:space="preserve">matched, within its own storm and without replacement, to a control on pre-storm ln-ZHVI level and</w:t>
      </w:r>
      <w:r>
        <w:t xml:space="preserve"> </w:t>
      </w:r>
      <w:r>
        <w:t xml:space="preserve">pre-storm price momentum within a 0.5-SD (standardized Euclidean) caliper (201 pairs; the</w:t>
      </w:r>
      <w:r>
        <w:t xml:space="preserve"> </w:t>
      </w:r>
      <w:r>
        <w:t xml:space="preserve">pre-storm level gap falls from</w:t>
      </w:r>
      <w:r>
        <w:t xml:space="preserve"> </w:t>
      </w:r>
      <m:oMath>
        <m:r>
          <m:rPr>
            <m:sty m:val="p"/>
          </m:rPr>
          <m:t>−</m:t>
        </m:r>
        <m:r>
          <m:t>0.042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0.001</m:t>
        </m:r>
      </m:oMath>
      <w:r>
        <w:t xml:space="preserve"> </w:t>
      </w:r>
      <w:r>
        <w:t xml:space="preserve">log points). Eq.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and its</w:t>
      </w:r>
      <w:r>
        <w:t xml:space="preserve"> </w:t>
      </w:r>
      <w:r>
        <w:t xml:space="preserve">detrended and belief-split variants are re-estimated on the matched sample. The average and</w:t>
      </w:r>
      <w:r>
        <w:t xml:space="preserve"> </w:t>
      </w:r>
      <w:r>
        <w:t xml:space="preserve">detrended effects are insignificant and the belief interaction collapses to</w:t>
      </w:r>
      <w:r>
        <w:t xml:space="preserve"> </w:t>
      </w:r>
      <m:oMath>
        <m:r>
          <m:rPr>
            <m:sty m:val="p"/>
          </m:rPr>
          <m:t>+</m:t>
        </m:r>
        <m:r>
          <m:t>0.003</m:t>
        </m:r>
      </m:oMath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0.40</m:t>
        </m:r>
      </m:oMath>
      <w:r>
        <w:t xml:space="preserve">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ri"/>
    <w:p>
      <w:pPr>
        <w:pStyle w:val="TableCaption"/>
      </w:pPr>
      <w:r>
        <w:t xml:space="preserve">Randomization inference (1</w:t>
      </w:r>
      <w:r>
        <w:t xml:space="preserve">,</w:t>
      </w:r>
      <w:r>
        <w:t xml:space="preserve">000 within-event permutations of treatment)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1,000 within-event permutations of treatment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Pctile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DiD (Treat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[-0.0089, +0.0079]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Belief-split interaction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[-0.0178, +0.0147]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</w:t>
            </w: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time-invariant treatment label is permuted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storm 1</w:t>
      </w:r>
      <w:r>
        <w:t xml:space="preserve">,</w:t>
      </w:r>
      <w:r>
        <w:t xml:space="preserve">000 times, holding the number treated per event fixed (Ian</w:t>
      </w:r>
      <w:r>
        <w:t xml:space="preserve"> </w:t>
      </w:r>
      <m:oMath>
        <m:r>
          <m:rPr>
            <m:sty m:val="p"/>
          </m:rPr>
          <m:t>=</m:t>
        </m:r>
        <m:r>
          <m:t>29</m:t>
        </m:r>
      </m:oMath>
      <w:r>
        <w:t xml:space="preserve">,</w:t>
      </w:r>
      <w:r>
        <w:t xml:space="preserve"> </w:t>
      </w:r>
      <w:r>
        <w:t xml:space="preserve">Helene</w:t>
      </w:r>
      <w:r>
        <w:t xml:space="preserve"> </w:t>
      </w:r>
      <m:oMath>
        <m:r>
          <m:rPr>
            <m:sty m:val="p"/>
          </m:rPr>
          <m:t>=</m:t>
        </m:r>
        <m:r>
          <m:t>187</m:t>
        </m:r>
      </m:oMath>
      <w:r>
        <w:t xml:space="preserve">); Eq. </w:t>
      </w:r>
      <w:hyperlink w:anchor="eq:did">
        <w:r>
          <w:rPr>
            <w:rStyle w:val="Hyperlink"/>
          </w:rPr>
          <w:t xml:space="preserve">[eq:did]</w:t>
        </w:r>
      </w:hyperlink>
      <w:r>
        <w:t xml:space="preserve"> </w:t>
      </w:r>
      <w:r>
        <w:t xml:space="preserve">is re-estimated each time.</w:t>
      </w:r>
      <w:r>
        <w:t xml:space="preserve"> </w:t>
      </w:r>
      <w:r>
        <w:t xml:space="preserve">“Perm. 95% interval”</w:t>
      </w:r>
      <w:r>
        <w:t xml:space="preserve"> </w:t>
      </w:r>
      <w:r>
        <w:t xml:space="preserve">is the</w:t>
      </w:r>
      <w:r>
        <w:t xml:space="preserve"> </w:t>
      </w:r>
      <w:r>
        <w:t xml:space="preserve">2.5–97.5 percentile of the permutation distribution;</w:t>
      </w:r>
      <w:r>
        <w:t xml:space="preserve"> </w:t>
      </w:r>
      <w:r>
        <w:t xml:space="preserve">“Pctile”</w:t>
      </w:r>
      <w:r>
        <w:t xml:space="preserve"> </w:t>
      </w:r>
      <w:r>
        <w:t xml:space="preserve">locates the actual coefficient;</w:t>
      </w:r>
      <w:r>
        <w:t xml:space="preserve"> </w:t>
      </w:r>
      <w:r>
        <w:t xml:space="preserve">the RI</w:t>
      </w:r>
      <w:r>
        <w:t xml:space="preserve"> </w:t>
      </w:r>
      <m:oMath>
        <m:r>
          <m:t>p</m:t>
        </m:r>
      </m:oMath>
      <w:r>
        <w:t xml:space="preserve">-value is the share of permutations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coefficient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 The</w:t>
      </w:r>
      <w:r>
        <w:t xml:space="preserve"> </w:t>
      </w:r>
      <w:r>
        <w:t xml:space="preserve">average effect is central (design-based null); the belief interaction is extreme because random</w:t>
      </w:r>
      <w:r>
        <w:t xml:space="preserve"> </w:t>
      </w:r>
      <w:r>
        <w:t xml:space="preserve">assignment ignores the wealth/geography structure that drives it. See Figure </w:t>
      </w:r>
      <w:hyperlink w:anchor="fig:ri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37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Estimand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SD(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DiD (Treat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Detrended 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Belief-split interaction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30.1%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 estimated coefficient.</w:t>
      </w:r>
      <w:r>
        <w:t xml:space="preserve"> </w:t>
      </w:r>
      <w:r>
        <w:t xml:space="preserve">“% of price”</w:t>
      </w:r>
      <w:r>
        <w:t xml:space="preserve"> </w:t>
      </w:r>
      <w:r>
        <w:t xml:space="preserve">is the detectable effect in</w:t>
      </w:r>
      <w:r>
        <w:t xml:space="preserve"> </w:t>
      </w:r>
      <w:r>
        <w:t xml:space="preserve">percent of home value (</w:t>
      </w:r>
      <m:oMath>
        <m:r>
          <m:t>100</m:t>
        </m:r>
        <m:r>
          <m:rPr>
            <m:sty m:val="p"/>
          </m:rPr>
          <m:t>×</m:t>
        </m:r>
      </m:oMath>
      <w:r>
        <w:t xml:space="preserve"> </w:t>
      </w:r>
      <w:r>
        <w:t xml:space="preserve">the log coefficient);</w:t>
      </w:r>
      <w:r>
        <w:t xml:space="preserve"> </w:t>
      </w:r>
      <w:r>
        <w:t xml:space="preserve">“% of SD(</w:t>
      </w:r>
      <m:oMath>
        <m:r>
          <m:rPr>
            <m:sty m:val="p"/>
          </m:rPr>
          <m:t>Δ</m:t>
        </m:r>
      </m:oMath>
      <w:r>
        <w:t xml:space="preserve">)”</w:t>
      </w:r>
      <w:r>
        <w:t xml:space="preserve"> </w:t>
      </w:r>
      <w:r>
        <w:t xml:space="preserve">expresses it</w:t>
      </w:r>
      <w:r>
        <w:t xml:space="preserve"> </w:t>
      </w:r>
      <w:r>
        <w:t xml:space="preserve">relative to the</w:t>
      </w:r>
      <w:r>
        <w:t xml:space="preserve"> </w:t>
      </w:r>
      <m:oMath>
        <m:r>
          <m:t>7.2</m:t>
        </m:r>
        <m:r>
          <m:rPr>
            <m:sty m:val="p"/>
          </m:rPr>
          <m:t>%</m:t>
        </m:r>
      </m:oMath>
      <w:r>
        <w:t xml:space="preserve"> </w:t>
      </w:r>
      <w:r>
        <w:t xml:space="preserve">cross-county SD of the post-minus-pre change in log ZHVI. Small ratios</w:t>
      </w:r>
      <w:r>
        <w:t xml:space="preserve"> </w:t>
      </w:r>
      <w:r>
        <w:t xml:space="preserve">indicate an informative null: an effect of that size would have been detected at 80% power.</w:t>
      </w:r>
    </w:p>
    <w:bookmarkStart w:id="41" w:name="fig:es"/>
    <w:p>
      <w:pPr>
        <w:pStyle w:val="CaptionedFigure"/>
      </w:pPr>
      <w:r>
        <w:drawing>
          <wp:inline>
            <wp:extent cx="4373880" cy="259801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1_eventstudy.pdf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9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Dynamic DiD: treated</w:t>
      </w:r>
      <m:oMath>
        <m:r>
          <m:rPr>
            <m:sty m:val="p"/>
          </m:rPr>
          <m:t>−</m:t>
        </m:r>
      </m:oMath>
      <w:r>
        <w:t xml:space="preserve">control ln ZHVI (</w:t>
      </w:r>
      <m:oMath>
        <m:r>
          <m:rPr>
            <m:sty m:val="p"/>
          </m:rPr>
          <m:t>×</m:t>
        </m:r>
        <m:r>
          <m:t>100</m:t>
        </m:r>
      </m:oMath>
      <w:r>
        <w:t xml:space="preserve">) by months since landfall, 95%</w:t>
      </w:r>
      <w:r>
        <w:t xml:space="preserve"> </w:t>
      </w:r>
      <w:r>
        <w:t xml:space="preserve">CI. Note the upward pre-trend before zero: parallel trends is not clean in the pooled</w:t>
      </w:r>
      <w:r>
        <w:t xml:space="preserve"> </w:t>
      </w:r>
      <w:r>
        <w:t xml:space="preserve">sample.</w:t>
      </w:r>
    </w:p>
    <w:bookmarkEnd w:id="41"/>
    <w:bookmarkStart w:id="45" w:name="fig:split"/>
    <w:p>
      <w:pPr>
        <w:pStyle w:val="CaptionedFigure"/>
      </w:pPr>
      <w:r>
        <w:drawing>
          <wp:inline>
            <wp:extent cx="4373880" cy="259801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2_belief_split.pdf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598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Belief-split event study. The high-belief group (Florida/Ian coast) has a steep</w:t>
      </w:r>
      <w:r>
        <w:t xml:space="preserve"> </w:t>
      </w:r>
      <w:r>
        <w:t xml:space="preserve">pre-trend; the low-belief group is flat pre-storm and then declines the most—the opposite of</w:t>
      </w:r>
      <w:r>
        <w:t xml:space="preserve"> </w:t>
      </w:r>
      <w:r>
        <w:t xml:space="preserve">the belief-conditioning hypothesis.</w:t>
      </w:r>
    </w:p>
    <w:bookmarkEnd w:id="45"/>
    <w:bookmarkStart w:id="49" w:name="fig:raw"/>
    <w:p>
      <w:pPr>
        <w:pStyle w:val="CaptionedFigure"/>
      </w:pPr>
      <w:r>
        <w:drawing>
          <wp:inline>
            <wp:extent cx="5067300" cy="231166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3_raw_by_event.pd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1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home-value index (</w:t>
      </w:r>
      <m:oMath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at landfall), hard-hit vs. control. Ian’s hard-hit</w:t>
      </w:r>
      <w:r>
        <w:t xml:space="preserve"> </w:t>
      </w:r>
      <w:r>
        <w:t xml:space="preserve">coast rose relative to controls; Helene’s inland hard-hit counties fell.</w:t>
      </w:r>
    </w:p>
    <w:bookmarkEnd w:id="49"/>
    <w:bookmarkStart w:id="53" w:name="fig:ri"/>
    <w:p>
      <w:pPr>
        <w:pStyle w:val="CaptionedFigure"/>
      </w:pPr>
      <w:r>
        <w:drawing>
          <wp:inline>
            <wp:extent cx="5067300" cy="226379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4_randinf.pd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6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inference: 1</w:t>
      </w:r>
      <w:r>
        <w:t xml:space="preserve">,</w:t>
      </w:r>
      <w:r>
        <w:t xml:space="preserve">000 within-event permutations of treatment. Left: the</w:t>
      </w:r>
      <w:r>
        <w:t xml:space="preserve"> </w:t>
      </w:r>
      <w:r>
        <w:t xml:space="preserve">average exposure DiD (red line) lies near the center of its permutation distribution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0.76</m:t>
        </m:r>
      </m:oMath>
      <w:r>
        <w:t xml:space="preserve">)—a design-based null. Right: the belief-split interaction lies in the far right tail</w:t>
      </w:r>
      <w:r>
        <w:t xml:space="preserve"> </w:t>
      </w:r>
      <w:r>
        <w:t xml:space="preserve">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</m:t>
        </m:r>
      </m:oMath>
      <w:r>
        <w:t xml:space="preserve">); because random assignment ignores county wealth and geography, this locates the</w:t>
      </w:r>
      <w:r>
        <w:t xml:space="preserve"> </w:t>
      </w:r>
      <w:r>
        <w:t xml:space="preserve">belief signal in the structure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counties are hard-hit, not in belief.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Stine: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data are public and free (Zillow ZHVI, OpenFEMA disaster</w:t>
      </w:r>
      <w:r>
        <w:t xml:space="preserve"> </w:t>
      </w:r>
      <w:r>
        <w:t xml:space="preserve">declarations, Yale Climate Opinion Maps, FEMA National Risk Index, and 2020 county election</w:t>
      </w:r>
      <w:r>
        <w:t xml:space="preserve"> </w:t>
      </w:r>
      <w:r>
        <w:t xml:space="preserve">returns); every number in the paper traces to a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</w:t>
      </w:r>
      <w:r>
        <w:t xml:space="preserve"> </w:t>
      </w:r>
      <w:r>
        <w:t xml:space="preserve">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 the ASSIP 2026 cohort for comments. Any errors are our</w:t>
      </w:r>
      <w:r>
        <w:t xml:space="preserve"> </w:t>
      </w:r>
      <w:r>
        <w:t xml:space="preserve">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df" /><Relationship Type="http://schemas.openxmlformats.org/officeDocument/2006/relationships/image" Id="rId42" Target="media/rId42.pdf" /><Relationship Type="http://schemas.openxmlformats.org/officeDocument/2006/relationships/image" Id="rId46" Target="media/rId46.pdf" /><Relationship Type="http://schemas.openxmlformats.org/officeDocument/2006/relationships/image" Id="rId50" Target="media/rId50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Housing Re-Price Disaster Risk Only Where People Believe? Exposure Difference-in-Differences Around Hurricanes Ian and Helene</dc:title>
  <dc:creator>Mateo Eduardo Stine; Lei Gao</dc:creator>
  <cp:keywords/>
  <dcterms:created xsi:type="dcterms:W3CDTF">2026-07-25T07:11:24Z</dcterms:created>
  <dcterms:modified xsi:type="dcterms:W3CDTF">2026-07-25T07:11:24Z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prominent hypothesis in climate finance holds that housing markets capitalize disaster risk only where residents believe the risk is real . We test this after two salient landfalls—Hurricane Ian (SW Florida, Sept. 2022) and Hurricane Helene (Big Bend Florida to southern Appalachia, Sept. 2024)—using an exposure difference-in-differences on monthly Zillow county home values. Treated counties are those FEMA designated for its Individuals &amp; Households Program (hard-hit); controls are non-designated counties in the same storm states. Across 600 counties and 32,085 county-months, the average two-way fixed-effects effect of being hard-hit is a precise null (\text{Treat}\times\text{Post}=+0.001, t=0.34). This masks a differential pre-trend: treated counties—especially high-belief Florida coastal markets hit by Ian—were already appreciating faster before landfall (pre-trend slope +0.0007/month, t=3.6). Net of a treated-specific linear trend, hard-hit values fall \sim0.5% relative to controls (-0.0053, t=-3.0). Crucially, the belief-conditioning hypothesis is not supported: a high/low belief split appears to show exposure raising relative prices where belief is high (+0.020, t=2.5), but this reverses within Helene using continuous worry (-0.011, t=-2.5), vanishes with a 2020 GOP-vote proxy (+0.002, t=0.5), and disappears once pre-trends are removed (+0.003, t=0.8). Four additions push past a bare null. Heterogeneity by observable moderators shows the exposure effect loads on pre-storm price momentum (+0.019, t=2.6), not on FEMA baseline hurricane or flood risk (insignificant)—it tracks housing momentum, not physical risk. A within-event nearest-neighbor match on pre-storm price level and momentum collapses the belief interaction to +0.003 (t=0.40). Randomization inference (1,000 within-event permutations) places the average effect squarely inside its permutation distribution (p=0.76)—a design-based null—while the belief interaction lies in the far tail (p=0.02), which, because permutation scrambles which counties are treated, locates it in the systematic wealth/geography structure of treatment rather than in belief. A minimum-detectable-effect analysis shows the null is informative: at 80% power the design could detect belief-conditional effects above 2.2\% of home value—smaller than the 8.4-point Ian–Helene spread. A sharp test awaits the student’s hand-collected landfall geography. JEL: G12, Q54, R31, D84, G14. Keywords: climate risk, house prices, hurricanes, climate beliefs, difference-in-differences, randomization inference, statistical power.</vt:lpwstr>
  </property>
  <property fmtid="{D5CDD505-2E9C-101B-9397-08002B2CF9AE}" pid="3" name="date">
    <vt:lpwstr>July 2026</vt:lpwstr>
  </property>
</Properties>
</file>