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df" ContentType="application/pdf"/>
  <Override PartName="/word/media/rId48.pdf" ContentType="application/pdf"/>
  <Override PartName="/word/media/rId52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Did Buy-Now-Pay-Later Entering the Credit File Flood the Bureaus?</w:t>
      </w:r>
      <w:r>
        <w:br/>
      </w:r>
      <w:r>
        <w:rPr>
          <w:b/>
          <w:bCs/>
        </w:rPr>
        <w:t xml:space="preserve">Difference-in-Differences Evidence Against the Furnishing-Dispute Hypothesis</w:t>
      </w:r>
    </w:p>
    <w:p>
      <w:pPr>
        <w:pStyle w:val="Author"/>
      </w:pPr>
      <w:r>
        <w:t xml:space="preserve">Rakshana Damodaran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For most of their history, buy-now-pay-later (BNPL) loans were</w:t>
      </w:r>
      <w:r>
        <w:t xml:space="preserve"> </w:t>
      </w:r>
      <w:r>
        <w:rPr>
          <w:i/>
          <w:iCs/>
        </w:rPr>
        <w:t xml:space="preserve">invisible</w:t>
      </w:r>
      <w:r>
        <w:t xml:space="preserve"> </w:t>
      </w:r>
      <w:r>
        <w:t xml:space="preserve">to</w:t>
      </w:r>
      <w:r>
        <w:t xml:space="preserve"> </w:t>
      </w:r>
      <w:r>
        <w:t xml:space="preserve">the credit bureaus</w:t>
      </w:r>
      <w:r>
        <w:t xml:space="preserve"> </w:t>
      </w:r>
      <w:r>
        <w:t xml:space="preserve">. In 2025 major BNPL lenders began</w:t>
      </w:r>
      <w:r>
        <w:t xml:space="preserve"> </w:t>
      </w:r>
      <w:r>
        <w:rPr>
          <w:i/>
          <w:iCs/>
        </w:rPr>
        <w:t xml:space="preserve">furnishing</w:t>
      </w:r>
      <w:r>
        <w:t xml:space="preserve"> </w:t>
      </w:r>
      <w:r>
        <w:t xml:space="preserve">loan histories to the bureaus, and consumer advocates warned that a wave of</w:t>
      </w:r>
      <w:r>
        <w:t xml:space="preserve"> </w:t>
      </w:r>
      <w:r>
        <w:t xml:space="preserve">credit-report</w:t>
      </w:r>
      <w:r>
        <w:t xml:space="preserve"> </w:t>
      </w:r>
      <w:r>
        <w:rPr>
          <w:i/>
          <w:iCs/>
        </w:rPr>
        <w:t xml:space="preserve">disputes</w:t>
      </w:r>
      <w:r>
        <w:t xml:space="preserve"> </w:t>
      </w:r>
      <w:r>
        <w:t xml:space="preserve">would follow</w:t>
      </w:r>
      <w:r>
        <w:t xml:space="preserve"> </w:t>
      </w:r>
      <w:r>
        <w:t xml:space="preserve">. We test this using 19</w:t>
      </w:r>
      <w:r>
        <w:t xml:space="preserve">,</w:t>
      </w:r>
      <w:r>
        <w:t xml:space="preserve">354</w:t>
      </w:r>
      <w:r>
        <w:t xml:space="preserve"> </w:t>
      </w:r>
      <w:r>
        <w:t xml:space="preserve">complaints filed against five pure-play BNPL lenders in the CFPB Consumer Complaint Database</w:t>
      </w:r>
      <w:r>
        <w:t xml:space="preserve"> </w:t>
      </w:r>
      <w:r>
        <w:t xml:space="preserve">(2022–2026). Affirm, the first confirmed major furnisher (to Experian,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April 2025), is</w:t>
      </w:r>
      <w:r>
        <w:t xml:space="preserve"> </w:t>
      </w:r>
      <w:r>
        <w:t xml:space="preserve">our treated firm.</w:t>
      </w:r>
      <w:r>
        <w:t xml:space="preserve"> </w:t>
      </w:r>
      <w:r>
        <w:rPr>
          <w:b/>
          <w:bCs/>
        </w:rPr>
        <w:t xml:space="preserve">We find no evidence of a furnishing-specific complaint spike.</w:t>
      </w:r>
      <w:r>
        <w:t xml:space="preserve"> </w:t>
      </w:r>
      <w:r>
        <w:t xml:space="preserve">Credit-reporting complaints against Affirm did rise (</w:t>
      </w:r>
      <m:oMath>
        <m:r>
          <m:rPr>
            <m:sty m:val="p"/>
          </m:rPr>
          <m:t>×</m:t>
        </m:r>
        <m:r>
          <m:t>2.7</m:t>
        </m:r>
      </m:oMath>
      <w:r>
        <w:t xml:space="preserve">), but they rose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its other complaints (debt collection</w:t>
      </w:r>
      <w:r>
        <w:t xml:space="preserve"> </w:t>
      </w:r>
      <m:oMath>
        <m:r>
          <m:rPr>
            <m:sty m:val="p"/>
          </m:rPr>
          <m:t>×</m:t>
        </m:r>
        <m:r>
          <m:t>5.1</m:t>
        </m:r>
      </m:oMath>
      <w:r>
        <w:t xml:space="preserve">, personal loan</w:t>
      </w:r>
      <w:r>
        <w:t xml:space="preserve"> </w:t>
      </w:r>
      <m:oMath>
        <m:r>
          <m:rPr>
            <m:sty m:val="p"/>
          </m:rPr>
          <m:t>×</m:t>
        </m:r>
        <m:r>
          <m:t>5.8</m:t>
        </m:r>
      </m:oMath>
      <w:r>
        <w:t xml:space="preserve">), so the</w:t>
      </w:r>
      <w:r>
        <w:t xml:space="preserve"> </w:t>
      </w:r>
      <w:r>
        <w:t xml:space="preserve">credit-reporting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fell (within-firm DiD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0.30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3.6</m:t>
        </m:r>
      </m:oMath>
      <w:r>
        <w:t xml:space="preserve">). The null is not a</w:t>
      </w:r>
      <w:r>
        <w:t xml:space="preserve"> </w:t>
      </w:r>
      <w:r>
        <w:t xml:space="preserve">single specification. A per-firm generalization shows no BNPL lender—furnisher or not—has</w:t>
      </w:r>
      <w:r>
        <w:t xml:space="preserve"> </w:t>
      </w:r>
      <w:r>
        <w:t xml:space="preserve">a positive credit-reporting DiD, and a triple-difference (Affirm vs. peers)</w:t>
      </w:r>
      <m:oMath>
        <m:r>
          <m:rPr>
            <m:sty m:val="p"/>
          </m:rPr>
          <m:t>×</m:t>
        </m:r>
      </m:oMath>
      <w:r>
        <w:t xml:space="preserve">(credit</w:t>
      </w:r>
      <w:r>
        <w:t xml:space="preserve"> </w:t>
      </w:r>
      <w:r>
        <w:t xml:space="preserve">reporting vs. other)</w:t>
      </w:r>
      <m:oMath>
        <m:r>
          <m:rPr>
            <m:sty m:val="p"/>
          </m:rPr>
          <m:t>×</m:t>
        </m:r>
      </m:oMath>
      <w:r>
        <w:t xml:space="preserve">post is an insignificant</w:t>
      </w:r>
      <w:r>
        <w:t xml:space="preserve"> </w:t>
      </w:r>
      <m:oMath>
        <m:r>
          <m:rPr>
            <m:sty m:val="p"/>
          </m:rPr>
          <m:t>+</m:t>
        </m:r>
        <m:r>
          <m:t>0.04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0.11</m:t>
        </m:r>
      </m:oMath>
      <w:r>
        <w:t xml:space="preserve">). Under a firm-label</w:t>
      </w:r>
      <w:r>
        <w:t xml:space="preserve"> </w:t>
      </w:r>
      <w:r>
        <w:t xml:space="preserve">permutation Affirm’s cross-firm coefficient is unremarkable (design-based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), and a</w:t>
      </w:r>
      <w:r>
        <w:t xml:space="preserve"> </w:t>
      </w:r>
      <w:r>
        <w:t xml:space="preserve">placebo-in-time analysis shows the within-Affirm credit-reporting series was</w:t>
      </w:r>
      <w:r>
        <w:t xml:space="preserve"> </w:t>
      </w:r>
      <w:r>
        <w:rPr>
          <w:i/>
          <w:iCs/>
        </w:rPr>
        <w:t xml:space="preserve">rising</w:t>
      </w:r>
      <w:r>
        <w:t xml:space="preserve"> </w:t>
      </w:r>
      <w:r>
        <w:t xml:space="preserve">relative to other complaints before furnishing and</w:t>
      </w:r>
      <w:r>
        <w:t xml:space="preserve"> </w:t>
      </w:r>
      <w:r>
        <w:rPr>
          <w:i/>
          <w:iCs/>
        </w:rPr>
        <w:t xml:space="preserve">reversed</w:t>
      </w:r>
      <w:r>
        <w:t xml:space="preserve"> </w:t>
      </w:r>
      <w:r>
        <w:t xml:space="preserve">at the event—the opposite</w:t>
      </w:r>
      <w:r>
        <w:t xml:space="preserve"> </w:t>
      </w:r>
      <w:r>
        <w:t xml:space="preserve">of the predicted spike. Two design-based additions push past a bare</w:t>
      </w:r>
      <w:r>
        <w:t xml:space="preserve"> </w:t>
      </w:r>
      <w:r>
        <w:t xml:space="preserve">“we found nothing.”</w:t>
      </w:r>
      <w:r>
        <w:t xml:space="preserve"> </w:t>
      </w:r>
      <w:r>
        <w:t xml:space="preserve">First, we confront the few-cluster problem (five firms) directly with permutation and</w:t>
      </w:r>
      <w:r>
        <w:t xml:space="preserve"> </w:t>
      </w:r>
      <w:r>
        <w:t xml:space="preserve">placebo-in-time inference rather than lean on cluster-robust asymptotics</w:t>
      </w:r>
      <w:r>
        <w:t xml:space="preserve"> </w:t>
      </w:r>
      <w:r>
        <w:t xml:space="preserve">. Second, a minimum-detectable-effect analysis</w:t>
      </w:r>
      <w:r>
        <w:t xml:space="preserve"> </w:t>
      </w:r>
      <w:r>
        <w:t xml:space="preserve">separates the</w:t>
      </w:r>
      <w:r>
        <w:t xml:space="preserve"> </w:t>
      </w:r>
      <w:r>
        <w:rPr>
          <w:i/>
          <w:iCs/>
        </w:rPr>
        <w:t xml:space="preserve">informative</w:t>
      </w:r>
      <w:r>
        <w:t xml:space="preserve"> </w:t>
      </w:r>
      <w:r>
        <w:t xml:space="preserve">null—the within-Affirm design (108 month</w:t>
      </w:r>
      <m:oMath>
        <m:r>
          <m:rPr>
            <m:sty m:val="p"/>
          </m:rPr>
          <m:t>×</m:t>
        </m:r>
      </m:oMath>
      <w:r>
        <w:t xml:space="preserve">category</w:t>
      </w:r>
      <w:r>
        <w:t xml:space="preserve"> </w:t>
      </w:r>
      <w:r>
        <w:t xml:space="preserve">cells, not a few-cluster object) could have detected a differential credit-reporting increase of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26% and instead finds a</w:t>
      </w:r>
      <w:r>
        <w:t xml:space="preserve"> </w:t>
      </w:r>
      <w:r>
        <w:rPr>
          <w:i/>
          <w:iCs/>
        </w:rPr>
        <w:t xml:space="preserve">decrease</w:t>
      </w:r>
      <w:r>
        <w:t xml:space="preserve">, robust across every specification and</w:t>
      </w:r>
      <w:r>
        <w:t xml:space="preserve"> </w:t>
      </w:r>
      <w:r>
        <w:t xml:space="preserve">conservative against an upward pre-trend—from the genuinely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 </w:t>
      </w:r>
      <w:r>
        <w:t xml:space="preserve">five-firm count</w:t>
      </w:r>
      <w:r>
        <w:t xml:space="preserve"> </w:t>
      </w:r>
      <w:r>
        <w:t xml:space="preserve">designs, whose wide bounds are exactly what the student’s hand-collected staggered furnishing</w:t>
      </w:r>
      <w:r>
        <w:t xml:space="preserve"> </w:t>
      </w:r>
      <w:r>
        <w:t xml:space="preserve">dates are built to resolve.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G51, G28, D18, G23.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buy now pay later, credit reporting, furnishing, consumer complaints,</w:t>
      </w:r>
      <w:r>
        <w:t xml:space="preserve"> </w:t>
      </w:r>
      <w:r>
        <w:t xml:space="preserve">difference-in-differences, randomization inference, statistical power.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Buy-now-pay-later (BNPL) credit grew explosively over 2020–2025, and for most of that period</w:t>
      </w:r>
      <w:r>
        <w:t xml:space="preserve"> </w:t>
      </w:r>
      <w:r>
        <w:t xml:space="preserve">it was largely</w:t>
      </w:r>
      <w:r>
        <w:t xml:space="preserve"> </w:t>
      </w:r>
      <w:r>
        <w:rPr>
          <w:i/>
          <w:iCs/>
        </w:rPr>
        <w:t xml:space="preserve">invisible</w:t>
      </w:r>
      <w:r>
        <w:t xml:space="preserve"> </w:t>
      </w:r>
      <w:r>
        <w:t xml:space="preserve">to the credit-reporting system: the dominant</w:t>
      </w:r>
      <w:r>
        <w:t xml:space="preserve"> </w:t>
      </w:r>
      <w:r>
        <w:t xml:space="preserve">“pay-in-four”</w:t>
      </w:r>
      <w:r>
        <w:t xml:space="preserve"> </w:t>
      </w:r>
      <w:r>
        <w:t xml:space="preserve">products were neither furnished to nor checked against a borrower’s file</w:t>
      </w:r>
      <w:r>
        <w:t xml:space="preserve"> </w:t>
      </w:r>
      <w:r>
        <w:t xml:space="preserve">. That invisibility began to end in 2025, when major BNPL lenders</w:t>
      </w:r>
      <w:r>
        <w:t xml:space="preserve"> </w:t>
      </w:r>
      <w:r>
        <w:t xml:space="preserve">started</w:t>
      </w:r>
      <w:r>
        <w:t xml:space="preserve"> </w:t>
      </w:r>
      <w:r>
        <w:rPr>
          <w:i/>
          <w:iCs/>
        </w:rPr>
        <w:t xml:space="preserve">furnishing</w:t>
      </w:r>
      <w:r>
        <w:t xml:space="preserve"> </w:t>
      </w:r>
      <w:r>
        <w:t xml:space="preserve">loan-level data to the national credit bureaus—Affirm to Experian</w:t>
      </w:r>
      <w:r>
        <w:t xml:space="preserve"> </w:t>
      </w:r>
      <w:r>
        <w:t xml:space="preserve">and TransUnion. Because furnishing exposes a borrower’s on-time and delinquent BNPL behavior</w:t>
      </w:r>
      <w:r>
        <w:t xml:space="preserve"> </w:t>
      </w:r>
      <w:r>
        <w:t xml:space="preserve">to every downstream lender, and because new data pipelines are error-prone in their first</w:t>
      </w:r>
      <w:r>
        <w:t xml:space="preserve"> </w:t>
      </w:r>
      <w:r>
        <w:t xml:space="preserve">months, consumer advocates and the regulator itself warned that furnishing would generate a</w:t>
      </w:r>
      <w:r>
        <w:t xml:space="preserve"> </w:t>
      </w:r>
      <w:r>
        <w:t xml:space="preserve">wave of credit-report</w:t>
      </w:r>
      <w:r>
        <w:t xml:space="preserve"> </w:t>
      </w:r>
      <w:r>
        <w:rPr>
          <w:i/>
          <w:iCs/>
        </w:rPr>
        <w:t xml:space="preserve">disputes</w:t>
      </w:r>
      <w:r>
        <w:t xml:space="preserve">: inaccurate tradelines, mis-reported late payments,</w:t>
      </w:r>
      <w:r>
        <w:t xml:space="preserve"> </w:t>
      </w:r>
      <w:r>
        <w:t xml:space="preserve">duplicate accounts, and</w:t>
      </w:r>
      <w:r>
        <w:t xml:space="preserve"> </w:t>
      </w:r>
      <w:r>
        <w:t xml:space="preserve">“not-mine”</w:t>
      </w:r>
      <w:r>
        <w:t xml:space="preserve"> </w:t>
      </w:r>
      <w:r>
        <w:t xml:space="preserve">entries</w:t>
      </w:r>
      <w:r>
        <w:t xml:space="preserve"> </w:t>
      </w:r>
      <w:r>
        <w:t xml:space="preserve">. This paper asks a simple</w:t>
      </w:r>
      <w:r>
        <w:t xml:space="preserve"> </w:t>
      </w:r>
      <w:r>
        <w:t xml:space="preserve">empirical question with a clean prediction: when a BNPL lender began furnishing, did</w:t>
      </w:r>
      <w:r>
        <w:t xml:space="preserve"> </w:t>
      </w:r>
      <w:r>
        <w:t xml:space="preserve">credit-reporting complaints against</w:t>
      </w:r>
      <w:r>
        <w:t xml:space="preserve"> </w:t>
      </w:r>
      <w:r>
        <w:rPr>
          <w:i/>
          <w:iCs/>
        </w:rPr>
        <w:t xml:space="preserve">that lender</w:t>
      </w:r>
      <w:r>
        <w:t xml:space="preserve"> </w:t>
      </w:r>
      <w:r>
        <w:t xml:space="preserve">jump, relative to a credible</w:t>
      </w:r>
      <w:r>
        <w:t xml:space="preserve"> </w:t>
      </w:r>
      <w:r>
        <w:t xml:space="preserve">counterfactual?</w:t>
      </w:r>
    </w:p>
    <w:p>
      <w:pPr>
        <w:pStyle w:val="BodyText"/>
      </w:pPr>
      <w:r>
        <w:t xml:space="preserve">We use the CFPB Consumer Complaint Database, which records the product, sub-product, issue,</w:t>
      </w:r>
      <w:r>
        <w:t xml:space="preserve"> </w:t>
      </w:r>
      <w:r>
        <w:t xml:space="preserve">firm, date, and state for every complaint routed to a supervised entity</w:t>
      </w:r>
      <w:r>
        <w:t xml:space="preserve"> </w:t>
      </w:r>
      <w:r>
        <w:t xml:space="preserve">. We</w:t>
      </w:r>
      <w:r>
        <w:t xml:space="preserve"> </w:t>
      </w:r>
      <w:r>
        <w:t xml:space="preserve">assemble every complaint filed against five pure-play BNPL lenders (Affirm, Klarna, Sezzle,</w:t>
      </w:r>
      <w:r>
        <w:t xml:space="preserve"> </w:t>
      </w:r>
      <w:r>
        <w:t xml:space="preserve">Zip, Perpay) from January 2022 through June 2026—19</w:t>
      </w:r>
      <w:r>
        <w:t xml:space="preserve">,</w:t>
      </w:r>
      <w:r>
        <w:t xml:space="preserve">354 complaints after cleaning—and</w:t>
      </w:r>
      <w:r>
        <w:t xml:space="preserve"> </w:t>
      </w:r>
      <w:r>
        <w:t xml:space="preserve">designate Affirm, the first confirmed major furnisher (</w:t>
      </w:r>
      <m:oMath>
        <m:r>
          <m:rPr>
            <m:sty m:val="p"/>
          </m:rPr>
          <m:t>∼</m:t>
        </m:r>
      </m:oMath>
      <w:r>
        <w:t xml:space="preserve">April 2025), as the treated firm.</w:t>
      </w:r>
      <w:r>
        <w:t xml:space="preserve"> </w:t>
      </w:r>
      <w:r>
        <w:t xml:space="preserve">The complaint database is well suited to the question: it is a high-frequency, product-tagged,</w:t>
      </w:r>
      <w:r>
        <w:t xml:space="preserve"> </w:t>
      </w:r>
      <w:r>
        <w:t xml:space="preserve">firm-level census of realized consumer harm, and the furnishing-dispute hypothesis makes a</w:t>
      </w:r>
      <w:r>
        <w:t xml:space="preserve"> </w:t>
      </w:r>
      <w:r>
        <w:t xml:space="preserve">sharp, testable prediction about</w:t>
      </w:r>
      <w:r>
        <w:t xml:space="preserve"> </w:t>
      </w:r>
      <w:r>
        <w:rPr>
          <w:i/>
          <w:iCs/>
        </w:rPr>
        <w:t xml:space="preserve">which product line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which firm</w:t>
      </w:r>
      <w:r>
        <w:t xml:space="preserve"> </w:t>
      </w:r>
      <w:r>
        <w:t xml:space="preserve">should move.</w:t>
      </w:r>
    </w:p>
    <w:p>
      <w:pPr>
        <w:pStyle w:val="BodyText"/>
      </w:pPr>
      <w:r>
        <w:rPr>
          <w:b/>
          <w:bCs/>
        </w:rPr>
        <w:t xml:space="preserve">Our finding is a clean reversal of the furnishing-dispute hypothesis, and it survives</w:t>
      </w:r>
      <w:r>
        <w:rPr>
          <w:b/>
          <w:bCs/>
        </w:rPr>
        <w:t xml:space="preserve"> </w:t>
      </w:r>
      <w:r>
        <w:rPr>
          <w:b/>
          <w:bCs/>
        </w:rPr>
        <w:t xml:space="preserve">every design we can build from observable data.</w:t>
      </w:r>
      <w:r>
        <w:t xml:space="preserve"> </w:t>
      </w:r>
      <w:r>
        <w:t xml:space="preserve">First, the BNPL complaint surge of 2025–26</w:t>
      </w:r>
      <w:r>
        <w:t xml:space="preserve"> </w:t>
      </w:r>
      <w:r>
        <w:t xml:space="preserve">is broad. Affirm’s monthly complaints rose three- to six-fold after early 2025, but the</w:t>
      </w:r>
      <w:r>
        <w:t xml:space="preserve"> </w:t>
      </w:r>
      <w:r>
        <w:t xml:space="preserve">increase was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for credit-reporting complaints (</w:t>
      </w:r>
      <m:oMath>
        <m:r>
          <m:rPr>
            <m:sty m:val="p"/>
          </m:rPr>
          <m:t>×</m:t>
        </m:r>
        <m:r>
          <m:t>2.7</m:t>
        </m:r>
      </m:oMath>
      <w:r>
        <w:t xml:space="preserve">) and largest for</w:t>
      </w:r>
      <w:r>
        <w:t xml:space="preserve"> </w:t>
      </w:r>
      <w:r>
        <w:t xml:space="preserve">debt-collection (</w:t>
      </w:r>
      <m:oMath>
        <m:r>
          <m:rPr>
            <m:sty m:val="p"/>
          </m:rPr>
          <m:t>×</m:t>
        </m:r>
        <m:r>
          <m:t>5.1</m:t>
        </m:r>
      </m:oMath>
      <w:r>
        <w:t xml:space="preserve">) and personal-loan (</w:t>
      </w:r>
      <m:oMath>
        <m:r>
          <m:rPr>
            <m:sty m:val="p"/>
          </m:rPr>
          <m:t>×</m:t>
        </m:r>
        <m:r>
          <m:t>5.8</m:t>
        </m:r>
      </m:oMath>
      <w:r>
        <w:t xml:space="preserve">) complaints</w:t>
      </w:r>
      <w:r>
        <w:t xml:space="preserve"> </w:t>
      </w:r>
      <w:r>
        <w:t xml:space="preserve">(Table </w:t>
      </w:r>
      <w:hyperlink w:anchor="tab:comp">
        <w:r>
          <w:rPr>
            <w:rStyle w:val="Hyperlink"/>
          </w:rPr>
          <w:t xml:space="preserve">2</w:t>
        </w:r>
      </w:hyperlink>
      <w:r>
        <w:t xml:space="preserve">). Within Affirm, the credit-reporting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fell</w:t>
      </w:r>
      <w:r>
        <w:t xml:space="preserve">:</w:t>
      </w:r>
      <w:r>
        <w:t xml:space="preserve"> </w:t>
      </w:r>
      <w:r>
        <w:t xml:space="preserve">a within-firm difference-in-differences of credit-reporting counts against other-product counts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3.6</m:t>
        </m:r>
      </m:oMath>
      <w:r>
        <w:t xml:space="preserve">; Table </w:t>
      </w:r>
      <w:hyperlink w:anchor="tab:did">
        <w:r>
          <w:rPr>
            <w:rStyle w:val="Hyperlink"/>
          </w:rPr>
          <w:t xml:space="preserve">4</w:t>
        </w:r>
      </w:hyperlink>
      <w:r>
        <w:t xml:space="preserve">). Second, the furnisher is not special across</w:t>
      </w:r>
      <w:r>
        <w:t xml:space="preserve"> </w:t>
      </w:r>
      <w:r>
        <w:t xml:space="preserve">firms. Non-furnishing peers saw credit-reporting complaints grow as much or more (Klarna</w:t>
      </w:r>
      <w:r>
        <w:t xml:space="preserve"> </w:t>
      </w:r>
      <m:oMath>
        <m:r>
          <m:rPr>
            <m:sty m:val="p"/>
          </m:rPr>
          <m:t>×</m:t>
        </m:r>
        <m:r>
          <m:t>11</m:t>
        </m:r>
      </m:oMath>
      <w:r>
        <w:t xml:space="preserve">, Sezzle</w:t>
      </w:r>
      <w:r>
        <w:t xml:space="preserve"> </w:t>
      </w:r>
      <m:oMath>
        <m:r>
          <m:rPr>
            <m:sty m:val="p"/>
          </m:rPr>
          <m:t>×</m:t>
        </m:r>
        <m:r>
          <m:t>3.5</m:t>
        </m:r>
      </m:oMath>
      <w:r>
        <w:t xml:space="preserve"> </w:t>
      </w:r>
      <w:r>
        <w:t xml:space="preserve">versus Affirm’s</w:t>
      </w:r>
      <w:r>
        <w:t xml:space="preserve"> </w:t>
      </w:r>
      <m:oMath>
        <m:r>
          <m:rPr>
            <m:sty m:val="p"/>
          </m:rPr>
          <m:t>×</m:t>
        </m:r>
        <m:r>
          <m:t>2.7</m:t>
        </m:r>
      </m:oMath>
      <w:r>
        <w:t xml:space="preserve">; Table </w:t>
      </w:r>
      <w:hyperlink w:anchor="tab:firm">
        <w:r>
          <w:rPr>
            <w:rStyle w:val="Hyperlink"/>
          </w:rPr>
          <w:t xml:space="preserve">3</w:t>
        </w:r>
      </w:hyperlink>
      <w:r>
        <w:t xml:space="preserve">), the</w:t>
      </w:r>
      <w:r>
        <w:t xml:space="preserve"> </w:t>
      </w:r>
      <w:r>
        <w:t xml:space="preserve">cross-firm difference-in-differences on credit-reporting counts is insignificant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</m:oMath>
      <w:r>
        <w:t xml:space="preserve">),</w:t>
      </w:r>
      <w:r>
        <w:t xml:space="preserve"> </w:t>
      </w:r>
      <w:r>
        <w:t xml:space="preserve">and a per-firm re-estimation of the within-firm DiD finds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lender—furnisher or</w:t>
      </w:r>
      <w:r>
        <w:t xml:space="preserve"> </w:t>
      </w:r>
      <w:r>
        <w:t xml:space="preserve">not—with a positive credit-reporting coefficient (Table </w:t>
      </w:r>
      <w:hyperlink w:anchor="tab:hetero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Third, and most demanding, a triple-difference—(Affirm vs. peers)</w:t>
      </w:r>
      <m:oMath>
        <m:r>
          <m:rPr>
            <m:sty m:val="p"/>
          </m:rPr>
          <m:t>×</m:t>
        </m:r>
      </m:oMath>
      <w:r>
        <w:t xml:space="preserve">(credit reporting</w:t>
      </w:r>
      <w:r>
        <w:t xml:space="preserve"> </w:t>
      </w:r>
      <w:r>
        <w:t xml:space="preserve">vs. other product lines)</w:t>
      </w:r>
      <m:oMath>
        <m:r>
          <m:rPr>
            <m:sty m:val="p"/>
          </m:rPr>
          <m:t>×</m:t>
        </m:r>
      </m:oMath>
      <w:r>
        <w:t xml:space="preserve">post—is the single cleanest test of the hypothesis, because</w:t>
      </w:r>
      <w:r>
        <w:t xml:space="preserve"> </w:t>
      </w:r>
      <w:r>
        <w:t xml:space="preserve">it nets out both the sector-wide surge (differenced by the peer comparison) and any Affirm-wide</w:t>
      </w:r>
      <w:r>
        <w:t xml:space="preserve"> </w:t>
      </w:r>
      <w:r>
        <w:t xml:space="preserve">shock (differenced by the within-firm product comparison). It is an insignificant</w:t>
      </w:r>
      <w:r>
        <w:t xml:space="preserve"> </w:t>
      </w:r>
      <m:oMath>
        <m:r>
          <m:rPr>
            <m:sty m:val="p"/>
          </m:rPr>
          <m:t>+</m:t>
        </m:r>
        <m:r>
          <m:t>0.04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0.11</m:t>
        </m:r>
      </m:oMath>
      <w:r>
        <w:t xml:space="preserve">; Table </w:t>
      </w:r>
      <w:hyperlink w:anchor="tab:tripleD">
        <w:r>
          <w:rPr>
            <w:rStyle w:val="Hyperlink"/>
          </w:rPr>
          <w:t xml:space="preserve">6</w:t>
        </w:r>
      </w:hyperlink>
      <w:r>
        <w:t xml:space="preserve">). Fourth, the within-Affirm negative coefficient is stable</w:t>
      </w:r>
      <w:r>
        <w:t xml:space="preserve"> </w:t>
      </w:r>
      <w:r>
        <w:t xml:space="preserve">across event dates, symmetric windows, estimators, and the subset of credit-reporting</w:t>
      </w:r>
      <w:r>
        <w:t xml:space="preserve"> </w:t>
      </w:r>
      <w:r>
        <w:t xml:space="preserve">complaints whose CFPB issue label is furnishing-plausible (Table </w:t>
      </w:r>
      <w:hyperlink w:anchor="tab:robust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pStyle w:val="BodyText"/>
      </w:pPr>
      <w:r>
        <w:t xml:space="preserve">We take two further steps that distinguish this from a paper that reports a coefficient near</w:t>
      </w:r>
      <w:r>
        <w:t xml:space="preserve"> </w:t>
      </w:r>
      <w:r>
        <w:t xml:space="preserve">zero and stops. Both are dictated by a feature of the setting we do not hide: there are only</w:t>
      </w:r>
      <w:r>
        <w:t xml:space="preserve"> </w:t>
      </w:r>
      <w:r>
        <w:t xml:space="preserve">five BNPL firms, so cluster-robust asymptotics are not to be trusted, and near-simultaneous</w:t>
      </w:r>
      <w:r>
        <w:t xml:space="preserve"> </w:t>
      </w:r>
      <w:r>
        <w:t xml:space="preserve">industry adoption means there is no cleanly untreated control. First, we replace asymptotic</w:t>
      </w:r>
      <w:r>
        <w:t xml:space="preserve"> </w:t>
      </w:r>
      <w:r>
        <w:t xml:space="preserve">inference with</w:t>
      </w:r>
      <w:r>
        <w:t xml:space="preserve"> </w:t>
      </w:r>
      <w:r>
        <w:rPr>
          <w:i/>
          <w:iCs/>
        </w:rPr>
        <w:t xml:space="preserve">design-based</w:t>
      </w:r>
      <w:r>
        <w:t xml:space="preserve"> </w:t>
      </w:r>
      <w:r>
        <w:t xml:space="preserve">inference</w:t>
      </w:r>
      <w:r>
        <w:t xml:space="preserve"> </w:t>
      </w:r>
      <w:r>
        <w:t xml:space="preserve">.</w:t>
      </w:r>
      <w:r>
        <w:t xml:space="preserve"> </w:t>
      </w:r>
      <w:r>
        <w:t xml:space="preserve">A firm-label permutation—re-assigning the</w:t>
      </w:r>
      <w:r>
        <w:t xml:space="preserve"> </w:t>
      </w:r>
      <w:r>
        <w:t xml:space="preserve">“furnisher”</w:t>
      </w:r>
      <w:r>
        <w:t xml:space="preserve"> </w:t>
      </w:r>
      <w:r>
        <w:t xml:space="preserve">label to each of the five firms in</w:t>
      </w:r>
      <w:r>
        <w:t xml:space="preserve"> </w:t>
      </w:r>
      <w:r>
        <w:t xml:space="preserve">turn—places Affirm’s cross-firm coefficient in the middle of the permutation distribution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), the signature of a firm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special (Table </w:t>
      </w:r>
      <w:hyperlink w:anchor="tab:ri">
        <w:r>
          <w:rPr>
            <w:rStyle w:val="Hyperlink"/>
          </w:rPr>
          <w:t xml:space="preserve">8</w:t>
        </w:r>
      </w:hyperlink>
      <w:r>
        <w:t xml:space="preserve">). A</w:t>
      </w:r>
      <w:r>
        <w:t xml:space="preserve"> </w:t>
      </w:r>
      <w:r>
        <w:t xml:space="preserve">placebo-in-time analysis, drawing 22 fake furnishing dates from the pre-event period, uncovers</w:t>
      </w:r>
      <w:r>
        <w:t xml:space="preserve"> </w:t>
      </w:r>
      <w:r>
        <w:t xml:space="preserve">something the naive DiD hides: within Affirm the credit-reporting series was</w:t>
      </w:r>
      <w:r>
        <w:t xml:space="preserve"> </w:t>
      </w:r>
      <w:r>
        <w:rPr>
          <w:i/>
          <w:iCs/>
        </w:rPr>
        <w:t xml:space="preserve">rising</w:t>
      </w:r>
      <w:r>
        <w:t xml:space="preserve"> </w:t>
      </w:r>
      <w:r>
        <w:t xml:space="preserve">relative to other complaints throughout the pre-period (every placebo split is positive,</w:t>
      </w:r>
      <w:r>
        <w:t xml:space="preserve"> </w:t>
      </w:r>
      <w:r>
        <w:t xml:space="preserve">averaging</w:t>
      </w:r>
      <w:r>
        <w:t xml:space="preserve"> </w:t>
      </w:r>
      <m:oMath>
        <m:r>
          <m:rPr>
            <m:sty m:val="p"/>
          </m:rPr>
          <m:t>+</m:t>
        </m:r>
        <m:r>
          <m:t>0.30</m:t>
        </m:r>
      </m:oMath>
      <w:r>
        <w:t xml:space="preserve">), and the true furnishing date is the one split at which that ratio</w:t>
      </w:r>
      <w:r>
        <w:t xml:space="preserve"> </w:t>
      </w:r>
      <w:r>
        <w:rPr>
          <w:i/>
          <w:iCs/>
        </w:rPr>
        <w:t xml:space="preserve">reverses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(Figure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). The furnishing event coincides with a</w:t>
      </w:r>
      <w:r>
        <w:t xml:space="preserve"> </w:t>
      </w:r>
      <w:r>
        <w:rPr>
          <w:i/>
          <w:iCs/>
        </w:rPr>
        <w:t xml:space="preserve">deceleration</w:t>
      </w:r>
      <w:r>
        <w:t xml:space="preserve"> </w:t>
      </w:r>
      <w:r>
        <w:t xml:space="preserve">of credit-reporting complaints relative to other categories—precisely the</w:t>
      </w:r>
      <w:r>
        <w:t xml:space="preserve"> </w:t>
      </w:r>
      <w:r>
        <w:t xml:space="preserve">opposite of the predicted spike—and it warns that the within-firm design is confounded by a</w:t>
      </w:r>
      <w:r>
        <w:t xml:space="preserve"> </w:t>
      </w:r>
      <w:r>
        <w:t xml:space="preserve">pre-trend, motivating the cross-firm, triple-difference, and (ultimately) staggered designs.</w:t>
      </w:r>
    </w:p>
    <w:p>
      <w:pPr>
        <w:pStyle w:val="BodyText"/>
      </w:pPr>
      <w:r>
        <w:t xml:space="preserve">Second, we ask whether each null is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 </w:t>
      </w:r>
      <w:r>
        <w:t xml:space="preserve">or merely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, because</w:t>
      </w:r>
      <w:r>
        <w:t xml:space="preserve"> </w:t>
      </w:r>
      <w:r>
        <w:t xml:space="preserve">with five firms the two are easily confused. A minimum-detectable-effect (MDE) calculation</w:t>
      </w:r>
      <w:r>
        <w:t xml:space="preserve"> </w:t>
      </w:r>
      <w:r>
        <w:t xml:space="preserve">(Table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) draws the line, and does so without leaning on the five-cluster standard</w:t>
      </w:r>
      <w:r>
        <w:t xml:space="preserve"> </w:t>
      </w:r>
      <w:r>
        <w:t xml:space="preserve">errors we distrust. The within-Affirm design (108 month</w:t>
      </w:r>
      <m:oMath>
        <m:r>
          <m:rPr>
            <m:sty m:val="p"/>
          </m:rPr>
          <m:t>×</m:t>
        </m:r>
      </m:oMath>
      <w:r>
        <w:t xml:space="preserve">category cells, HC1 inference—not</w:t>
      </w:r>
      <w:r>
        <w:t xml:space="preserve"> </w:t>
      </w:r>
      <w:r>
        <w:t xml:space="preserve">a few-cluster object) is well powered: at 80% power it could have detected a differential</w:t>
      </w:r>
      <w:r>
        <w:t xml:space="preserve"> </w:t>
      </w:r>
      <w:r>
        <w:t xml:space="preserve">credit-reporting increase of roughly 26%, and instead finds a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that is robust</w:t>
      </w:r>
      <w:r>
        <w:t xml:space="preserve"> </w:t>
      </w:r>
      <w:r>
        <w:t xml:space="preserve">across every event date, window, and estimator and, because the pre-furnishing trend ran</w:t>
      </w:r>
      <w:r>
        <w:t xml:space="preserve"> </w:t>
      </w:r>
      <w:r>
        <w:rPr>
          <w:i/>
          <w:iCs/>
        </w:rPr>
        <w:t xml:space="preserve">upward</w:t>
      </w:r>
      <w:r>
        <w:t xml:space="preserve">, is a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rejection of H1. That is our strongest informative null:</w:t>
      </w:r>
      <w:r>
        <w:t xml:space="preserve"> </w:t>
      </w:r>
      <w:r>
        <w:t xml:space="preserve">had furnishing produced even a modest disproportionate rise in credit-reporting complaints, we</w:t>
      </w:r>
      <w:r>
        <w:t xml:space="preserve"> </w:t>
      </w:r>
      <w:r>
        <w:t xml:space="preserve">would have seen it. The five-firm cross-firm-</w:t>
      </w:r>
      <w:r>
        <w:rPr>
          <w:i/>
          <w:iCs/>
        </w:rPr>
        <w:t xml:space="preserve">count</w:t>
      </w:r>
      <w:r>
        <w:t xml:space="preserve"> </w:t>
      </w:r>
      <w:r>
        <w:t xml:space="preserve">design and the triple-difference, by</w:t>
      </w:r>
      <w:r>
        <w:t xml:space="preserve"> </w:t>
      </w:r>
      <w:r>
        <w:t xml:space="preserve">contrast, have MDEs above 170%; they cannot rule out large effects and are honestly labeled</w:t>
      </w:r>
      <w:r>
        <w:t xml:space="preserve"> </w:t>
      </w:r>
      <w:r>
        <w:t xml:space="preserve">uninformative. That precise diagnosis—which designs already answer the question and</w:t>
      </w:r>
      <w:r>
        <w:t xml:space="preserve"> </w:t>
      </w:r>
      <w:r>
        <w:t xml:space="preserve">which await sharper treatment timing—is what motivates the companion hand-collection.</w:t>
      </w:r>
    </w:p>
    <w:p>
      <w:pPr>
        <w:pStyle w:val="BodyText"/>
      </w:pPr>
      <w:r>
        <w:t xml:space="preserve">We make four contributions. First, we provide the first difference-in-differences evidence on</w:t>
      </w:r>
      <w:r>
        <w:t xml:space="preserve"> </w:t>
      </w:r>
      <w:r>
        <w:t xml:space="preserve">the credit-reporting consequences of BNPL</w:t>
      </w:r>
      <w:r>
        <w:t xml:space="preserve"> </w:t>
      </w:r>
      <w:r>
        <w:rPr>
          <w:i/>
          <w:iCs/>
        </w:rPr>
        <w:t xml:space="preserve">furnishing</w:t>
      </w:r>
      <w:r>
        <w:t xml:space="preserve">, complementing a young BNPL</w:t>
      </w:r>
      <w:r>
        <w:t xml:space="preserve"> </w:t>
      </w:r>
      <w:r>
        <w:t xml:space="preserve">literature focused on household leverage and fragility</w:t>
      </w:r>
      <w:r>
        <w:t xml:space="preserve"> </w:t>
      </w:r>
      <w:r>
        <w:t xml:space="preserve"> </w:t>
      </w:r>
      <w:r>
        <w:t xml:space="preserve">and the</w:t>
      </w:r>
      <w:r>
        <w:t xml:space="preserve"> </w:t>
      </w:r>
      <w:r>
        <w:t xml:space="preserve">literature that uses consumer complaints as a market-conduct signal</w:t>
      </w:r>
      <w:r>
        <w:t xml:space="preserve"> </w:t>
      </w:r>
      <w:r>
        <w:t xml:space="preserve">. Second,</w:t>
      </w:r>
      <w:r>
        <w:t xml:space="preserve"> </w:t>
      </w:r>
      <w:r>
        <w:t xml:space="preserve">we document that the widely anticipated furnishing-dispute wave did not materialize in the</w:t>
      </w:r>
      <w:r>
        <w:t xml:space="preserve"> </w:t>
      </w:r>
      <w:r>
        <w:t xml:space="preserve">furnisher’s complaint record in its first year—a policy-relevant null, consistent with the</w:t>
      </w:r>
      <w:r>
        <w:t xml:space="preserve"> </w:t>
      </w:r>
      <w:r>
        <w:t xml:space="preserve">2025–26 BNPL complaint surge reflecting the sector’s growth and its regulatory</w:t>
      </w:r>
      <w:r>
        <w:t xml:space="preserve"> </w:t>
      </w:r>
      <w:r>
        <w:t xml:space="preserve">reclassification as credit</w:t>
      </w:r>
      <w:r>
        <w:t xml:space="preserve"> </w:t>
      </w:r>
      <w:r>
        <w:t xml:space="preserve"> </w:t>
      </w:r>
      <w:r>
        <w:t xml:space="preserve">rather than furnishing per se. Third, we offer a</w:t>
      </w:r>
      <w:r>
        <w:t xml:space="preserve"> </w:t>
      </w:r>
      <w:r>
        <w:t xml:space="preserve">methodological template for a small-</w:t>
      </w:r>
      <m:oMath>
        <m:r>
          <m:t>N</m:t>
        </m:r>
      </m:oMath>
      <w:r>
        <w:t xml:space="preserve"> </w:t>
      </w:r>
      <w:r>
        <w:t xml:space="preserve">event with near-simultaneous adoption: triangulate</w:t>
      </w:r>
      <w:r>
        <w:t xml:space="preserve"> </w:t>
      </w:r>
      <w:r>
        <w:t xml:space="preserve">across within-firm, cross-firm, and triple-difference designs, and replace fragile few-cluster</w:t>
      </w:r>
      <w:r>
        <w:t xml:space="preserve"> </w:t>
      </w:r>
      <w:r>
        <w:t xml:space="preserve">asymptotics with permutation and placebo-in-time inference. Fourth, we treat each null as a</w:t>
      </w:r>
      <w:r>
        <w:t xml:space="preserve"> </w:t>
      </w:r>
      <w:r>
        <w:t xml:space="preserve">quantitative object, reporting its power and minimum detectable effect so a reader can see</w:t>
      </w:r>
      <w:r>
        <w:t xml:space="preserve"> </w:t>
      </w:r>
      <w:r>
        <w:t xml:space="preserve">which conclusions the data already support and which require the student’s hand-collected</w:t>
      </w:r>
      <w:r>
        <w:t xml:space="preserve"> </w:t>
      </w:r>
      <w:r>
        <w:t xml:space="preserve">furnishing dates. Section </w:t>
      </w:r>
      <w:hyperlink w:anchor="sec:bg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gives institutional background and hypotheses,</w:t>
      </w:r>
      <w:r>
        <w:t xml:space="preserve"> </w:t>
      </w:r>
      <w:r>
        <w:t xml:space="preserve">Section </w:t>
      </w:r>
      <w:hyperlink w:anchor="sec:li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places the paper in the literature,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the data and</w:t>
      </w:r>
      <w:r>
        <w:t xml:space="preserve"> </w:t>
      </w:r>
      <w:r>
        <w:t xml:space="preserve">research design, Section </w:t>
      </w:r>
      <w:hyperlink w:anchor="sec:r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the main results, Section </w:t>
      </w:r>
      <w:hyperlink w:anchor="sec:speci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generalization and triple-difference, Section </w:t>
      </w:r>
      <w:hyperlink w:anchor="sec:robus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robustness,</w:t>
      </w:r>
      <w:r>
        <w:t xml:space="preserve"> </w:t>
      </w:r>
      <w:r>
        <w:t xml:space="preserve">Section </w:t>
      </w:r>
      <w:hyperlink w:anchor="sec:in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design-based inference, 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the power analysis, and</w:t>
      </w:r>
      <w:r>
        <w:t xml:space="preserve"> </w:t>
      </w:r>
      <w:r>
        <w:t xml:space="preserve">Section </w:t>
      </w:r>
      <w:hyperlink w:anchor="sec:concl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concludes with the hand-collection that would sharpen the test.</w:t>
      </w:r>
    </w:p>
    <w:bookmarkEnd w:id="11"/>
    <w:bookmarkStart w:id="16" w:name="sec:bg"/>
    <w:p>
      <w:pPr>
        <w:pStyle w:val="Heading1"/>
      </w:pPr>
      <w:r>
        <w:t xml:space="preserve">Institutional Background and Hypotheses</w:t>
      </w:r>
    </w:p>
    <w:bookmarkStart w:id="12" w:name="bnpl-and-the-credit-file."/>
    <w:p>
      <w:pPr>
        <w:pStyle w:val="Heading4"/>
      </w:pPr>
      <w:r>
        <w:t xml:space="preserve">BNPL and the credit file.</w:t>
      </w:r>
    </w:p>
    <w:p>
      <w:pPr>
        <w:pStyle w:val="FirstParagraph"/>
      </w:pPr>
      <w:r>
        <w:t xml:space="preserve">BNPL</w:t>
      </w:r>
      <w:r>
        <w:t xml:space="preserve"> </w:t>
      </w:r>
      <w:r>
        <w:t xml:space="preserve">“pay-in-four”</w:t>
      </w:r>
      <w:r>
        <w:t xml:space="preserve"> </w:t>
      </w:r>
      <w:r>
        <w:t xml:space="preserve">products historically sat outside</w:t>
      </w:r>
      <w:r>
        <w:t xml:space="preserve"> </w:t>
      </w:r>
      <w:r>
        <w:t xml:space="preserve">the credit-reporting system: origination typically involved a soft or no bureau pull, and</w:t>
      </w:r>
      <w:r>
        <w:t xml:space="preserve"> </w:t>
      </w:r>
      <w:r>
        <w:t xml:space="preserve">repayment was not furnished as a tradeline</w:t>
      </w:r>
      <w:r>
        <w:t xml:space="preserve"> </w:t>
      </w:r>
      <w:r>
        <w:t xml:space="preserve">. This invisibility is</w:t>
      </w:r>
      <w:r>
        <w:t xml:space="preserve"> </w:t>
      </w:r>
      <w:r>
        <w:t xml:space="preserve">economically consequential—it means BNPL debt is not observed by other lenders, so it neither</w:t>
      </w:r>
      <w:r>
        <w:t xml:space="preserve"> </w:t>
      </w:r>
      <w:r>
        <w:t xml:space="preserve">builds nor documents a borrower’s credit history and is missing from downstream underwriting</w:t>
      </w:r>
      <w:r>
        <w:t xml:space="preserve"> </w:t>
      </w:r>
      <w:r>
        <w:t xml:space="preserve">. Beginning in 2025, that changed as lenders started furnishing BNPL</w:t>
      </w:r>
      <w:r>
        <w:t xml:space="preserve"> </w:t>
      </w:r>
      <w:r>
        <w:t xml:space="preserve">tradelines to the bureaus; Affirm’s furnishing to Experian (publicly dated to around April</w:t>
      </w:r>
      <w:r>
        <w:t xml:space="preserve"> </w:t>
      </w:r>
      <w:r>
        <w:t xml:space="preserve">2025) is the first confirmed major event and anchors our analysis. We deliberately use only</w:t>
      </w:r>
      <w:r>
        <w:t xml:space="preserve"> </w:t>
      </w:r>
      <w:r>
        <w:t xml:space="preserve">this single, publicly documented reference date. The complete lender-by-lender, bureau-by-bureau</w:t>
      </w:r>
      <w:r>
        <w:t xml:space="preserve"> </w:t>
      </w:r>
      <w:r>
        <w:t xml:space="preserve">furnishing chronology is not something we reconstruct here: it is the student’s hand-collection</w:t>
      </w:r>
      <w:r>
        <w:t xml:space="preserve"> </w:t>
      </w:r>
      <w:r>
        <w:t xml:space="preserve">task (Section </w:t>
      </w:r>
      <w:hyperlink w:anchor="sec:concl">
        <w:r>
          <w:rPr>
            <w:rStyle w:val="Hyperlink"/>
          </w:rPr>
          <w:t xml:space="preserve">10</w:t>
        </w:r>
      </w:hyperlink>
      <w:r>
        <w:t xml:space="preserve">), and building the analysis on assigned dates we have not verified</w:t>
      </w:r>
      <w:r>
        <w:t xml:space="preserve"> </w:t>
      </w:r>
      <w:r>
        <w:t xml:space="preserve">would be exactly the error the design is meant to avoid.</w:t>
      </w:r>
    </w:p>
    <w:bookmarkEnd w:id="12"/>
    <w:bookmarkStart w:id="13" w:name="why-furnishing-might-flood-the-bureaus."/>
    <w:p>
      <w:pPr>
        <w:pStyle w:val="Heading4"/>
      </w:pPr>
      <w:r>
        <w:t xml:space="preserve">Why furnishing might flood the bureaus.</w:t>
      </w:r>
    </w:p>
    <w:p>
      <w:pPr>
        <w:pStyle w:val="FirstParagraph"/>
      </w:pPr>
      <w:r>
        <w:t xml:space="preserve">Furnishing a new, high-volume, short-tenor</w:t>
      </w:r>
      <w:r>
        <w:t xml:space="preserve"> </w:t>
      </w:r>
      <w:r>
        <w:t xml:space="preserve">product creates many opportunities for reporting error. Pay-in-four loans turn over in weeks,</w:t>
      </w:r>
      <w:r>
        <w:t xml:space="preserve"> </w:t>
      </w:r>
      <w:r>
        <w:t xml:space="preserve">generate multiple tradelines per borrower, and are prone to duplicate-account and</w:t>
      </w:r>
      <w:r>
        <w:t xml:space="preserve"> </w:t>
      </w:r>
      <w:r>
        <w:t xml:space="preserve">mis-dated-payment errors when first mapped into bureau formats. Under the Fair Credit Reporting</w:t>
      </w:r>
      <w:r>
        <w:t xml:space="preserve"> </w:t>
      </w:r>
      <w:r>
        <w:t xml:space="preserve">Act a consumer who sees an inaccurate BNPL tradeline can dispute it, and disputes about</w:t>
      </w:r>
      <w:r>
        <w:t xml:space="preserve"> </w:t>
      </w:r>
      <w:r>
        <w:t xml:space="preserve">furnisher accuracy route to the CFPB as</w:t>
      </w:r>
      <w:r>
        <w:t xml:space="preserve"> </w:t>
      </w:r>
      <w:r>
        <w:rPr>
          <w:i/>
          <w:iCs/>
        </w:rPr>
        <w:t xml:space="preserve">credit-reporting</w:t>
      </w:r>
      <w:r>
        <w:t xml:space="preserve"> </w:t>
      </w:r>
      <w:r>
        <w:t xml:space="preserve">complaints. If furnishing</w:t>
      </w:r>
      <w:r>
        <w:t xml:space="preserve"> </w:t>
      </w:r>
      <w:r>
        <w:t xml:space="preserve">mechanically generates inaccurate tradelines, the natural prediction is:</w:t>
      </w:r>
    </w:p>
    <w:p>
      <w:pPr>
        <w:pStyle w:val="BlockText"/>
      </w:pPr>
      <w:r>
        <w:rPr>
          <w:b/>
          <w:bCs/>
        </w:rPr>
        <w:t xml:space="preserve">H1 (Furnishing-dispute hypothesis).</w:t>
      </w:r>
      <w:r>
        <w:t xml:space="preserve"> </w:t>
      </w:r>
      <w:r>
        <w:t xml:space="preserve">After a BNPL lender begins furnishing to the</w:t>
      </w:r>
      <w:r>
        <w:t xml:space="preserve"> </w:t>
      </w:r>
      <w:r>
        <w:t xml:space="preserve">bureaus, credit-reporting complaints against that lender rise, both absolutely and relative to</w:t>
      </w:r>
      <w:r>
        <w:t xml:space="preserve"> </w:t>
      </w:r>
      <w:r>
        <w:t xml:space="preserve">(i) its own non-furnishing complaint categories and (ii) non-furnishing peers.</w:t>
      </w:r>
    </w:p>
    <w:bookmarkEnd w:id="13"/>
    <w:bookmarkStart w:id="14" w:name="why-furnishing-might-do-nothing-visible."/>
    <w:p>
      <w:pPr>
        <w:pStyle w:val="Heading4"/>
      </w:pPr>
      <w:r>
        <w:t xml:space="preserve">Why furnishing might do nothing visible.</w:t>
      </w:r>
    </w:p>
    <w:p>
      <w:pPr>
        <w:pStyle w:val="FirstParagraph"/>
      </w:pPr>
      <w:r>
        <w:t xml:space="preserve">Three forces push toward a null. (i) In</w:t>
      </w:r>
      <w:r>
        <w:t xml:space="preserve"> </w:t>
      </w:r>
      <w:r>
        <w:t xml:space="preserve">its first year furnishing may cover only a subset of loans or bureaus, and clean pipelines</w:t>
      </w:r>
      <w:r>
        <w:t xml:space="preserve"> </w:t>
      </w:r>
      <w:r>
        <w:t xml:space="preserve">generate few disputes. (ii) The counterfactual is not flat: BNPL complaints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kinds were rising rapidly in 2025–26 as the sector grew and as the CFPB’s interpretive rule</w:t>
      </w:r>
      <w:r>
        <w:t xml:space="preserve"> </w:t>
      </w:r>
      <w:r>
        <w:t xml:space="preserve">reclassified BNPL as credit</w:t>
      </w:r>
      <w:r>
        <w:t xml:space="preserve"> </w:t>
      </w:r>
      <w:r>
        <w:t xml:space="preserve">, so a credit-reporting rise need not be a</w:t>
      </w:r>
      <w:r>
        <w:t xml:space="preserve"> </w:t>
      </w:r>
      <w:r>
        <w:t xml:space="preserve">furnishing artifact—it may simply track the sector. (iii) Genuine furnishing errors may be a</w:t>
      </w:r>
      <w:r>
        <w:t xml:space="preserve"> </w:t>
      </w:r>
      <w:r>
        <w:t xml:space="preserve">small share of complaints the CFPB</w:t>
      </w:r>
      <w:r>
        <w:t xml:space="preserve"> </w:t>
      </w:r>
      <w:r>
        <w:rPr>
          <w:i/>
          <w:iCs/>
        </w:rPr>
        <w:t xml:space="preserve">labels</w:t>
      </w:r>
      <w:r>
        <w:t xml:space="preserve"> </w:t>
      </w:r>
      <w:r>
        <w:t xml:space="preserve">“credit reporting,”</w:t>
      </w:r>
      <w:r>
        <w:t xml:space="preserve"> </w:t>
      </w:r>
      <w:r>
        <w:t xml:space="preserve">many of which are</w:t>
      </w:r>
      <w:r>
        <w:t xml:space="preserve"> </w:t>
      </w:r>
      <w:r>
        <w:t xml:space="preserve">billing, refund, or fraud disputes that consumers file under a credit-reporting product code.</w:t>
      </w:r>
      <w:r>
        <w:t xml:space="preserve"> </w:t>
      </w:r>
      <w:r>
        <w:t xml:space="preserve">These motivate the competing prediction:</w:t>
      </w:r>
    </w:p>
    <w:p>
      <w:pPr>
        <w:pStyle w:val="BlockText"/>
      </w:pPr>
      <w:r>
        <w:rPr>
          <w:b/>
          <w:bCs/>
        </w:rPr>
        <w:t xml:space="preserve">H2 (Sector-wide surge).</w:t>
      </w:r>
      <w:r>
        <w:t xml:space="preserve"> </w:t>
      </w:r>
      <w:r>
        <w:t xml:space="preserve">Any rise in credit-reporting complaints reflects BNPL’s</w:t>
      </w:r>
      <w:r>
        <w:t xml:space="preserve"> </w:t>
      </w:r>
      <w:r>
        <w:t xml:space="preserve">overall growth and regulatory salience; it appears sector-wide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concentrated</w:t>
      </w:r>
      <w:r>
        <w:t xml:space="preserve"> </w:t>
      </w:r>
      <w:r>
        <w:t xml:space="preserve">in the furnisher, so the furnisher-specific (differenced) effect is indistinguishable from</w:t>
      </w:r>
      <w:r>
        <w:t xml:space="preserve"> </w:t>
      </w:r>
      <w:r>
        <w:t xml:space="preserve">zero.</w:t>
      </w:r>
    </w:p>
    <w:p>
      <w:pPr>
        <w:pStyle w:val="FirstParagraph"/>
      </w:pPr>
      <w:r>
        <w:t xml:space="preserve">Our evidence favors H2: the well-powered designs reject H1’s positive differential, and the</w:t>
      </w:r>
      <w:r>
        <w:t xml:space="preserve"> </w:t>
      </w:r>
      <w:r>
        <w:t xml:space="preserve">five-firm designs cannot distinguish any effect from zero.</w:t>
      </w:r>
    </w:p>
    <w:bookmarkEnd w:id="14"/>
    <w:bookmarkStart w:id="15" w:name="X6e4aa22704e9c8b6314d9bb9a3a9c3a49a853fb"/>
    <w:p>
      <w:pPr>
        <w:pStyle w:val="Heading4"/>
      </w:pPr>
      <w:r>
        <w:t xml:space="preserve">Why the ground truth is the student’s task.</w:t>
      </w:r>
    </w:p>
    <w:p>
      <w:pPr>
        <w:pStyle w:val="FirstParagraph"/>
      </w:pPr>
      <w:r>
        <w:t xml:space="preserve">Two things this design cannot observe</w:t>
      </w:r>
      <w:r>
        <w:t xml:space="preserve"> </w:t>
      </w:r>
      <w:r>
        <w:t xml:space="preserve">are exactly the two the hypothesis turns on. The first is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each lender began</w:t>
      </w:r>
      <w:r>
        <w:t xml:space="preserve"> </w:t>
      </w:r>
      <w:r>
        <w:t xml:space="preserve">furnishing to each bureau; without it we cannot build a staggered treatment and must lean on a</w:t>
      </w:r>
      <w:r>
        <w:t xml:space="preserve"> </w:t>
      </w:r>
      <w:r>
        <w:t xml:space="preserve">single reference date and cross-sectional comparisons. The second is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a complaint</w:t>
      </w:r>
      <w:r>
        <w:t xml:space="preserve"> </w:t>
      </w:r>
      <w:r>
        <w:t xml:space="preserve">the CFPB codes</w:t>
      </w:r>
      <w:r>
        <w:t xml:space="preserve"> </w:t>
      </w:r>
      <w:r>
        <w:t xml:space="preserve">“credit reporting”</w:t>
      </w:r>
      <w:r>
        <w:t xml:space="preserve"> </w:t>
      </w:r>
      <w:r>
        <w:t xml:space="preserve">is a genuine furnishing error (a wrong or duplicate BNPL</w:t>
      </w:r>
      <w:r>
        <w:t xml:space="preserve"> </w:t>
      </w:r>
      <w:r>
        <w:t xml:space="preserve">tradeline being reported) as opposed to a billing or fraud dispute mislabeled by product code.</w:t>
      </w:r>
      <w:r>
        <w:t xml:space="preserve"> </w:t>
      </w:r>
      <w:r>
        <w:t xml:space="preserve">The public complaint pull carries no consumer narratives, so no automated classifier can</w:t>
      </w:r>
      <w:r>
        <w:t xml:space="preserve"> </w:t>
      </w:r>
      <w:r>
        <w:t xml:space="preserve">self-certify that distinction. Hand-collecting the furnishing dates and hand-labeling a</w:t>
      </w:r>
      <w:r>
        <w:t xml:space="preserve"> </w:t>
      </w:r>
      <w:r>
        <w:t xml:space="preserve">genuine-furnishing-error gold set (Section </w:t>
      </w:r>
      <w:hyperlink w:anchor="sec:concl">
        <w:r>
          <w:rPr>
            <w:rStyle w:val="Hyperlink"/>
          </w:rPr>
          <w:t xml:space="preserve">10</w:t>
        </w:r>
      </w:hyperlink>
      <w:r>
        <w:t xml:space="preserve">) is the direct route to a</w:t>
      </w:r>
      <w:r>
        <w:t xml:space="preserve"> </w:t>
      </w:r>
      <w:r>
        <w:t xml:space="preserve">dose-response, correctly-timed test, and we deliberately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attempt either with the</w:t>
      </w:r>
      <w:r>
        <w:t xml:space="preserve"> </w:t>
      </w:r>
      <w:r>
        <w:t xml:space="preserve">observable data used below.</w:t>
      </w:r>
    </w:p>
    <w:bookmarkEnd w:id="15"/>
    <w:bookmarkEnd w:id="16"/>
    <w:bookmarkStart w:id="17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connects three strands. The first is the young economics of BNPL. Existing work</w:t>
      </w:r>
      <w:r>
        <w:t xml:space="preserve"> </w:t>
      </w:r>
      <w:r>
        <w:t xml:space="preserve">studies BNPL’s effect on household spending, leverage, and financial fragility</w:t>
      </w:r>
      <w:r>
        <w:t xml:space="preserve"> </w:t>
      </w:r>
      <w:r>
        <w:t xml:space="preserve"> </w:t>
      </w:r>
      <w:r>
        <w:t xml:space="preserve">and, more broadly, the use of alternative and digital data in</w:t>
      </w:r>
      <w:r>
        <w:t xml:space="preserve"> </w:t>
      </w:r>
      <w:r>
        <w:t xml:space="preserve">consumer credit</w:t>
      </w:r>
      <w:r>
        <w:t xml:space="preserve"> </w:t>
      </w:r>
      <w:r>
        <w:t xml:space="preserve">. That literature has largely treated BNPL as an</w:t>
      </w:r>
      <w:r>
        <w:t xml:space="preserve"> </w:t>
      </w:r>
      <w:r>
        <w:rPr>
          <w:i/>
          <w:iCs/>
        </w:rPr>
        <w:t xml:space="preserve">origination</w:t>
      </w:r>
      <w:r>
        <w:t xml:space="preserve"> </w:t>
      </w:r>
      <w:r>
        <w:t xml:space="preserve">phenomenon; we turn to its</w:t>
      </w:r>
      <w:r>
        <w:t xml:space="preserve"> </w:t>
      </w:r>
      <w:r>
        <w:rPr>
          <w:i/>
          <w:iCs/>
        </w:rPr>
        <w:t xml:space="preserve">credit-reporting</w:t>
      </w:r>
      <w:r>
        <w:t xml:space="preserve"> </w:t>
      </w:r>
      <w:r>
        <w:t xml:space="preserve">consequences—what</w:t>
      </w:r>
      <w:r>
        <w:t xml:space="preserve"> </w:t>
      </w:r>
      <w:r>
        <w:t xml:space="preserve">happens on the file, and in the complaint record, once BNPL becomes visible to the bureaus.</w:t>
      </w:r>
      <w:r>
        <w:t xml:space="preserve"> </w:t>
      </w:r>
      <w:r>
        <w:t xml:space="preserve">The furnishing transition is the moment BNPL stops being off-file, and it is precisely the</w:t>
      </w:r>
      <w:r>
        <w:t xml:space="preserve"> </w:t>
      </w:r>
      <w:r>
        <w:t xml:space="preserve">event the fragility literature implies should matter for how BNPL debt is observed and</w:t>
      </w:r>
      <w:r>
        <w:t xml:space="preserve"> </w:t>
      </w:r>
      <w:r>
        <w:t xml:space="preserve">underwritten.</w:t>
      </w:r>
    </w:p>
    <w:p>
      <w:pPr>
        <w:pStyle w:val="BodyText"/>
      </w:pPr>
      <w:r>
        <w:t xml:space="preserve">The second strand uses consumer complaints as a market-conduct and service-quality signal.</w:t>
      </w:r>
      <w:r>
        <w:t xml:space="preserve"> </w:t>
      </w:r>
      <w:r>
        <w:t xml:space="preserve"> </w:t>
      </w:r>
      <w:r>
        <w:t xml:space="preserve">show that CFPB complaints track meaningful differences in the quality of</w:t>
      </w:r>
      <w:r>
        <w:t xml:space="preserve"> </w:t>
      </w:r>
      <w:r>
        <w:t xml:space="preserve">financial services across markets and populations. Complaints are attractive for our question</w:t>
      </w:r>
      <w:r>
        <w:t xml:space="preserve"> </w:t>
      </w:r>
      <w:r>
        <w:t xml:space="preserve">because they are firm-tagged, product-tagged, high-frequency, and directly measure the realized</w:t>
      </w:r>
      <w:r>
        <w:t xml:space="preserve"> </w:t>
      </w:r>
      <w:r>
        <w:t xml:space="preserve">consumer harm—credit-report disputes—that the furnishing-dispute hypothesis predicts. We</w:t>
      </w:r>
      <w:r>
        <w:t xml:space="preserve"> </w:t>
      </w:r>
      <w:r>
        <w:t xml:space="preserve">add to this literature a design point: because the outcome is a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that is surging</w:t>
      </w:r>
      <w:r>
        <w:t xml:space="preserve"> </w:t>
      </w:r>
      <w:r>
        <w:t xml:space="preserve">sector-wide, the level of complaints is uninformative and only differenced designs (within-firm,</w:t>
      </w:r>
      <w:r>
        <w:t xml:space="preserve"> </w:t>
      </w:r>
      <w:r>
        <w:t xml:space="preserve">cross-firm, triple-difference) isolate a furnisher-specific effect.</w:t>
      </w:r>
    </w:p>
    <w:p>
      <w:pPr>
        <w:pStyle w:val="BodyText"/>
      </w:pPr>
      <w:r>
        <w:t xml:space="preserve">The third strand is the econometrics of difference-in-differences with few clusters,</w:t>
      </w:r>
      <w:r>
        <w:t xml:space="preserve"> </w:t>
      </w:r>
      <w:r>
        <w:t xml:space="preserve">near-simultaneous adoption, and the interpretation of nulls—the methodological core of our</w:t>
      </w:r>
      <w:r>
        <w:t xml:space="preserve"> </w:t>
      </w:r>
      <w:r>
        <w:t xml:space="preserve">setting. Classic work shows that DiD standard errors are badly biased under serial correlation</w:t>
      </w:r>
      <w:r>
        <w:t xml:space="preserve"> </w:t>
      </w:r>
      <w:r>
        <w:t xml:space="preserve"> </w:t>
      </w:r>
      <w:r>
        <w:t xml:space="preserve">and that cluster-robust inference fails with few clusters, so that</w:t>
      </w:r>
      <w:r>
        <w:t xml:space="preserve"> </w:t>
      </w:r>
      <w:r>
        <w:t xml:space="preserve">bootstrap and permutation methods are required</w:t>
      </w:r>
      <w:r>
        <w:t xml:space="preserve"> </w:t>
      </w:r>
      <w:r>
        <w:t xml:space="preserve">. With a small</w:t>
      </w:r>
      <w:r>
        <w:t xml:space="preserve"> </w:t>
      </w:r>
      <w:r>
        <w:t xml:space="preserve">number of policy changes,</w:t>
      </w:r>
      <w:r>
        <w:t xml:space="preserve"> </w:t>
      </w:r>
      <w:r>
        <w:t xml:space="preserve"> </w:t>
      </w:r>
      <w:r>
        <w:t xml:space="preserve">advocate exactly the design-based approach we take,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shows how randomization tests discipline seemingly significant results.</w:t>
      </w:r>
      <w:r>
        <w:t xml:space="preserve"> </w:t>
      </w:r>
      <w:r>
        <w:t xml:space="preserve">The staggered-adoption literature</w:t>
      </w:r>
      <w:r>
        <w:t xml:space="preserve"> </w:t>
      </w:r>
      <w:r>
        <w:t xml:space="preserve"> </w:t>
      </w:r>
      <w:r>
        <w:t xml:space="preserve">explains why a single</w:t>
      </w:r>
      <w:r>
        <w:t xml:space="preserve"> </w:t>
      </w:r>
      <w:r>
        <w:t xml:space="preserve">common event date is fragile when units adopt at different, unknown times—which is precisely</w:t>
      </w:r>
      <w:r>
        <w:t xml:space="preserve"> </w:t>
      </w:r>
      <w:r>
        <w:t xml:space="preserve">why the student’s hand-collected furnishing dates, enabling a proper staggered design, are the</w:t>
      </w:r>
      <w:r>
        <w:t xml:space="preserve"> </w:t>
      </w:r>
      <w:r>
        <w:t xml:space="preserve">natural next step. Finally, on interpreting insignificance,</w:t>
      </w:r>
      <w:r>
        <w:t xml:space="preserve"> </w:t>
      </w:r>
      <w:r>
        <w:t xml:space="preserve"> </w:t>
      </w:r>
      <w:r>
        <w:t xml:space="preserve">warns that</w:t>
      </w:r>
      <w:r>
        <w:t xml:space="preserve"> </w:t>
      </w:r>
      <w:r>
        <w:t xml:space="preserve">pre-trend tests have low power and can license false confidence—a warning our placebo-in-time</w:t>
      </w:r>
      <w:r>
        <w:t xml:space="preserve"> </w:t>
      </w:r>
      <w:r>
        <w:t xml:space="preserve">analysis takes seriously by</w:t>
      </w:r>
      <w:r>
        <w:t xml:space="preserve"> </w:t>
      </w:r>
      <w:r>
        <w:rPr>
          <w:i/>
          <w:iCs/>
        </w:rPr>
        <w:t xml:space="preserve">finding</w:t>
      </w:r>
      <w:r>
        <w:t xml:space="preserve"> </w:t>
      </w:r>
      <w:r>
        <w:t xml:space="preserve">a pre-trend—and</w:t>
      </w:r>
      <w:r>
        <w:t xml:space="preserve"> </w:t>
      </w:r>
      <w:r>
        <w:t xml:space="preserve"> </w:t>
      </w:r>
      <w:r>
        <w:t xml:space="preserve">urges that a</w:t>
      </w:r>
      <w:r>
        <w:t xml:space="preserve"> </w:t>
      </w:r>
      <w:r>
        <w:t xml:space="preserve">null be read through its power and confidence interval rather than treated as proof of no</w:t>
      </w:r>
      <w:r>
        <w:t xml:space="preserve"> </w:t>
      </w:r>
      <w:r>
        <w:t xml:space="preserve">effect. We follow that guidance literally in 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.</w:t>
      </w:r>
    </w:p>
    <w:bookmarkEnd w:id="17"/>
    <w:bookmarkStart w:id="22" w:name="sec:data"/>
    <w:p>
      <w:pPr>
        <w:pStyle w:val="Heading1"/>
      </w:pPr>
      <w:r>
        <w:t xml:space="preserve">Data and Research Design</w:t>
      </w:r>
    </w:p>
    <w:bookmarkStart w:id="18" w:name="sample."/>
    <w:p>
      <w:pPr>
        <w:pStyle w:val="Heading4"/>
      </w:pPr>
      <w:r>
        <w:t xml:space="preserve">Sample.</w:t>
      </w:r>
    </w:p>
    <w:p>
      <w:pPr>
        <w:pStyle w:val="FirstParagraph"/>
      </w:pPr>
      <w:r>
        <w:t xml:space="preserve">We draw from the CFPB Consumer Complaint Database via its public API,</w:t>
      </w:r>
      <w:r>
        <w:t xml:space="preserve"> </w:t>
      </w:r>
      <w:r>
        <w:t xml:space="preserve">pulling every complaint for the five pure-play BNPL lenders from January 2022 through June</w:t>
      </w:r>
      <w:r>
        <w:t xml:space="preserve"> </w:t>
      </w:r>
      <w:r>
        <w:t xml:space="preserve">2026. After resolving exact company names and dropping two false positives (a similarly named</w:t>
      </w:r>
      <w:r>
        <w:t xml:space="preserve"> </w:t>
      </w:r>
      <w:r>
        <w:t xml:space="preserve">law firm, and Afterpay, whose complaints route through its parent), the sample is 19</w:t>
      </w:r>
      <w:r>
        <w:t xml:space="preserve">,</w:t>
      </w:r>
      <w:r>
        <w:t xml:space="preserve">354</w:t>
      </w:r>
      <w:r>
        <w:t xml:space="preserve"> </w:t>
      </w:r>
      <w:r>
        <w:t xml:space="preserve">complaints. Affirm dominates the sector’s complaint volume (15</w:t>
      </w:r>
      <w:r>
        <w:t xml:space="preserve">,</w:t>
      </w:r>
      <w:r>
        <w:t xml:space="preserve">259 complaints), with Klarna</w:t>
      </w:r>
      <w:r>
        <w:t xml:space="preserve"> </w:t>
      </w:r>
      <w:r>
        <w:t xml:space="preserve">(2</w:t>
      </w:r>
      <w:r>
        <w:t xml:space="preserve">,</w:t>
      </w:r>
      <w:r>
        <w:t xml:space="preserve">289), Sezzle (1</w:t>
      </w:r>
      <w:r>
        <w:t xml:space="preserve">,</w:t>
      </w:r>
      <w:r>
        <w:t xml:space="preserve">267), Zip (313), and Perpay (226) making up the peer group.</w:t>
      </w:r>
      <w:r>
        <w:t xml:space="preserve"> </w:t>
      </w:r>
      <w:r>
        <w:t xml:space="preserve">Table </w:t>
      </w:r>
      <w:hyperlink w:anchor="tab:sumsta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composition: overall complaints roughly quadrupled from a</w:t>
      </w:r>
      <w:r>
        <w:t xml:space="preserve"> </w:t>
      </w:r>
      <w:r>
        <w:t xml:space="preserve">pre-event average of 199 per month to 772 per month, and the credit-reporting share is 40% of</w:t>
      </w:r>
      <w:r>
        <w:t xml:space="preserve"> </w:t>
      </w:r>
      <w:r>
        <w:t xml:space="preserve">all complaints. Each complaint carries a date received, product, sub-product, issue, sub-issue,</w:t>
      </w:r>
      <w:r>
        <w:t xml:space="preserve"> </w:t>
      </w:r>
      <w:r>
        <w:t xml:space="preserve">firm, and state; the public pull contains no consumer narratives, which is why the</w:t>
      </w:r>
      <w:r>
        <w:t xml:space="preserve"> </w:t>
      </w:r>
      <w:r>
        <w:t xml:space="preserve">genuine-furnishing-error labeling is reserved for hand-collection.</w:t>
      </w:r>
    </w:p>
    <w:bookmarkEnd w:id="18"/>
    <w:bookmarkStart w:id="19" w:name="variables."/>
    <w:p>
      <w:pPr>
        <w:pStyle w:val="Heading4"/>
      </w:pPr>
      <w:r>
        <w:t xml:space="preserve">Variables.</w:t>
      </w:r>
    </w:p>
    <w:p>
      <w:pPr>
        <w:pStyle w:val="FirstParagraph"/>
      </w:pPr>
      <w:r>
        <w:t xml:space="preserve">A complaint is flagged</w:t>
      </w:r>
      <w:r>
        <w:t xml:space="preserve"> </w:t>
      </w:r>
      <w:r>
        <w:rPr>
          <w:i/>
          <w:iCs/>
        </w:rPr>
        <w:t xml:space="preserve">credit-reporting</w:t>
      </w:r>
      <w:r>
        <w:t xml:space="preserve"> </w:t>
      </w:r>
      <w:r>
        <w:t xml:space="preserve">if its CFPB product</w:t>
      </w:r>
      <w:r>
        <w:t xml:space="preserve"> </w:t>
      </w:r>
      <w:r>
        <w:t xml:space="preserve">category is a credit-reporting product (39.8% of complaints). For a robustness split we further</w:t>
      </w:r>
      <w:r>
        <w:t xml:space="preserve"> </w:t>
      </w:r>
      <w:r>
        <w:t xml:space="preserve">identify complaints whose CFPB</w:t>
      </w:r>
      <w:r>
        <w:t xml:space="preserve"> </w:t>
      </w:r>
      <w:r>
        <w:rPr>
          <w:i/>
          <w:iCs/>
        </w:rPr>
        <w:t xml:space="preserve">issue</w:t>
      </w:r>
      <w:r>
        <w:t xml:space="preserve"> </w:t>
      </w:r>
      <w:r>
        <w:t xml:space="preserve">label is furnishing-plausible—</w:t>
      </w:r>
      <w:r>
        <w:t xml:space="preserve">“incorrect</w:t>
      </w:r>
      <w:r>
        <w:t xml:space="preserve"> </w:t>
      </w:r>
      <w:r>
        <w:t xml:space="preserve">information on your report,”</w:t>
      </w:r>
      <w:r>
        <w:t xml:space="preserve"> </w:t>
      </w:r>
      <w:r>
        <w:t xml:space="preserve">“problem with the company’s investigation,”</w:t>
      </w:r>
      <w:r>
        <w:t xml:space="preserve"> </w:t>
      </w:r>
      <w:r>
        <w:t xml:space="preserve">or</w:t>
      </w:r>
      <w:r>
        <w:t xml:space="preserve"> </w:t>
      </w:r>
      <w:r>
        <w:t xml:space="preserve">“improper use of</w:t>
      </w:r>
      <w:r>
        <w:t xml:space="preserve"> </w:t>
      </w:r>
      <w:r>
        <w:t xml:space="preserve">your report”</w:t>
      </w:r>
      <w:r>
        <w:t xml:space="preserve">—which together cover 95% of credit-reporting complaints. We emphasize that this</w:t>
      </w:r>
      <w:r>
        <w:t xml:space="preserve"> </w:t>
      </w:r>
      <w:r>
        <w:t xml:space="preserve">is a coarse, machine-provided proxy: the CFPB issue field is assigned from the product code, not</w:t>
      </w:r>
      <w:r>
        <w:t xml:space="preserve"> </w:t>
      </w:r>
      <w:r>
        <w:t xml:space="preserve">from a reading of the complaint, and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student’s hand-labeled</w:t>
      </w:r>
      <w:r>
        <w:t xml:space="preserve"> </w:t>
      </w:r>
      <w:r>
        <w:t xml:space="preserve">genuine-furnishing-error gold set. The treatment date is the single public Affirm–Experian</w:t>
      </w:r>
      <w:r>
        <w:t xml:space="preserve"> </w:t>
      </w:r>
      <w:r>
        <w:t xml:space="preserve">furnishing reference, April 2025, with February 2025 (TransUnion) used only as an alternative</w:t>
      </w:r>
      <w:r>
        <w:t xml:space="preserve"> </w:t>
      </w:r>
      <w:r>
        <w:t xml:space="preserve">reference in robustness.</w:t>
      </w:r>
    </w:p>
    <w:bookmarkEnd w:id="19"/>
    <w:bookmarkStart w:id="20" w:name="three-complementary-designs."/>
    <w:p>
      <w:pPr>
        <w:pStyle w:val="Heading4"/>
      </w:pPr>
      <w:r>
        <w:t xml:space="preserve">Three complementary designs.</w:t>
      </w:r>
    </w:p>
    <w:p>
      <w:pPr>
        <w:pStyle w:val="FirstParagraph"/>
      </w:pPr>
      <w:r>
        <w:t xml:space="preserve">No single design identifies a furnisher-specific</w:t>
      </w:r>
      <w:r>
        <w:t xml:space="preserve"> </w:t>
      </w:r>
      <w:r>
        <w:t xml:space="preserve">effect when complaints are surging sector-wide, so we triangulate.</w:t>
      </w:r>
      <w:r>
        <w:t xml:space="preserve"> </w:t>
      </w:r>
      <w:r>
        <w:rPr>
          <w:i/>
          <w:iCs/>
        </w:rPr>
        <w:t xml:space="preserve">(A) Within-firm.</w:t>
      </w:r>
      <w:r>
        <w:t xml:space="preserve"> </w:t>
      </w:r>
      <w:r>
        <w:t xml:space="preserve">For Affirm we build a monthly panel of credit-reporting vs. other-product complaint counts and estimate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CR</m:t>
        </m:r>
        <m:r>
          <m:rPr>
            <m:sty m:val="p"/>
          </m:rPr>
          <m:t>,</m:t>
        </m:r>
        <m:r>
          <m:rPr>
            <m:nor/>
            <m:sty m:val="p"/>
          </m:rPr>
          <m:t>other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month</m:t>
        </m:r>
        <m:r>
          <m:rPr>
            <m:sty m:val="p"/>
          </m:rPr>
          <m:t>≥</m:t>
        </m:r>
        <m:r>
          <m:t>2025</m:t>
        </m:r>
        <m:r>
          <m:rPr>
            <m:nor/>
            <m:sty m:val="p"/>
          </m:rPr>
          <m:t>-</m:t>
        </m:r>
        <m:r>
          <m:t>04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month fixed effects,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within-firm DiD.</w:t>
      </w:r>
      <w:r>
        <w:t xml:space="preserve"> </w:t>
      </w:r>
      <w:r>
        <w:rPr>
          <w:i/>
          <w:iCs/>
        </w:rPr>
        <w:t xml:space="preserve">(B) Cross-firm.</w:t>
      </w:r>
      <w:r>
        <w:t xml:space="preserve"> </w:t>
      </w:r>
      <w:r>
        <w:t xml:space="preserve">Pooling all five firms, we compare Affirm (treated) to peers (control) on the monthly</w:t>
      </w:r>
      <w:r>
        <w:t xml:space="preserve"> </w:t>
      </w:r>
      <w:r>
        <w:t xml:space="preserve">credit-reporting count and share, with firm and month fixed effects and standard errors</w:t>
      </w:r>
      <w:r>
        <w:t xml:space="preserve"> </w:t>
      </w:r>
      <w:r>
        <w:t xml:space="preserve">clustered by firm.</w:t>
      </w:r>
      <w:r>
        <w:t xml:space="preserve"> </w:t>
      </w:r>
      <w:r>
        <w:rPr>
          <w:i/>
          <w:iCs/>
        </w:rPr>
        <w:t xml:space="preserve">(C) Triple-difference.</w:t>
      </w:r>
      <w:r>
        <w:t xml:space="preserve"> </w:t>
      </w:r>
      <w:r>
        <w:t xml:space="preserve">Combining the two, we estimate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f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D</m:t>
              </m:r>
              <m:r>
                <m:t>D</m:t>
              </m:r>
              <m:r>
                <m:t>D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Treat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Treat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μ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f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f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 the firm</w:t>
      </w:r>
      <m:oMath>
        <m:r>
          <m:rPr>
            <m:sty m:val="p"/>
          </m:rPr>
          <m:t>×</m:t>
        </m:r>
      </m:oMath>
      <w:r>
        <w:t xml:space="preserve">category</w:t>
      </w:r>
      <m:oMath>
        <m:r>
          <m:rPr>
            <m:sty m:val="p"/>
          </m:rPr>
          <m:t>×</m:t>
        </m:r>
      </m:oMath>
      <w:r>
        <w:t xml:space="preserve">month panel, where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  <m:r>
              <m:t>c</m:t>
            </m:r>
          </m:sub>
        </m:sSub>
      </m:oMath>
      <w:r>
        <w:t xml:space="preserve"> </w:t>
      </w:r>
      <w:r>
        <w:t xml:space="preserve">are firm</w:t>
      </w:r>
      <m:oMath>
        <m:r>
          <m:rPr>
            <m:sty m:val="p"/>
          </m:rPr>
          <m:t>×</m:t>
        </m:r>
      </m:oMath>
      <w:r>
        <w:t xml:space="preserve">category fixed</w:t>
      </w:r>
      <w:r>
        <w:t xml:space="preserve"> </w:t>
      </w:r>
      <w:r>
        <w:t xml:space="preserve">effects,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month effects, 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Treat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Affirm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t xml:space="preserve">is the furnisher-specific, product-specific, post-furnishing effect: the object H1</w:t>
      </w:r>
      <w:r>
        <w:t xml:space="preserve"> </w:t>
      </w:r>
      <w:r>
        <w:t xml:space="preserve">predicts to be positive, purged of both the sector-wide surge and any Affirm-wide shock.</w:t>
      </w:r>
    </w:p>
    <w:bookmarkEnd w:id="20"/>
    <w:bookmarkStart w:id="21" w:name="design-based-checks."/>
    <w:p>
      <w:pPr>
        <w:pStyle w:val="Heading4"/>
      </w:pPr>
      <w:r>
        <w:t xml:space="preserve">Design-based checks.</w:t>
      </w:r>
    </w:p>
    <w:p>
      <w:pPr>
        <w:pStyle w:val="FirstParagraph"/>
      </w:pPr>
      <w:r>
        <w:t xml:space="preserve">Because the setting has five firms, we do not rely on</w:t>
      </w:r>
      <w:r>
        <w:t xml:space="preserve"> </w:t>
      </w:r>
      <w:r>
        <w:t xml:space="preserve">cluster-robust asymptotics. (1)</w:t>
      </w:r>
      <w:r>
        <w:t xml:space="preserve"> </w:t>
      </w:r>
      <w:r>
        <w:rPr>
          <w:i/>
          <w:iCs/>
        </w:rPr>
        <w:t xml:space="preserve">Firm-label permutation</w:t>
      </w:r>
      <w:r>
        <w:t xml:space="preserve">: we re-assign the</w:t>
      </w:r>
      <w:r>
        <w:t xml:space="preserve"> </w:t>
      </w:r>
      <w:r>
        <w:t xml:space="preserve">“furnisher”</w:t>
      </w:r>
      <w:r>
        <w:t xml:space="preserve"> </w:t>
      </w:r>
      <w:r>
        <w:t xml:space="preserve">label to each of the five firms in turn and recompute the cross-firm DiD, comparing Affirm’s</w:t>
      </w:r>
      <w:r>
        <w:t xml:space="preserve"> </w:t>
      </w:r>
      <w:r>
        <w:t xml:space="preserve">coefficient to the exact five-value permutation distribution. (2)</w:t>
      </w:r>
      <w:r>
        <w:t xml:space="preserve"> </w:t>
      </w:r>
      <w:r>
        <w:rPr>
          <w:i/>
          <w:iCs/>
        </w:rPr>
        <w:t xml:space="preserve">Placebo-in-time</w:t>
      </w:r>
      <w:r>
        <w:t xml:space="preserve">: on</w:t>
      </w:r>
      <w:r>
        <w:t xml:space="preserve"> </w:t>
      </w:r>
      <w:r>
        <w:t xml:space="preserve">pre-event data only (through March 2025, so no placebo window contains the real furnishing</w:t>
      </w:r>
      <w:r>
        <w:t xml:space="preserve"> </w:t>
      </w:r>
      <w:r>
        <w:t xml:space="preserve">shift) we draw 22 interior fake event months and re-estimate</w:t>
      </w:r>
      <w:r>
        <w:t xml:space="preserve"> </w:t>
      </w:r>
      <w:hyperlink w:anchor="eq:within">
        <w:r>
          <w:rPr>
            <w:rStyle w:val="Hyperlink"/>
          </w:rPr>
          <w:t xml:space="preserve">[eq:within]</w:t>
        </w:r>
      </w:hyperlink>
      <w:r>
        <w:t xml:space="preserve">, mapping out the</w:t>
      </w:r>
      <w:r>
        <w:t xml:space="preserve"> </w:t>
      </w:r>
      <w:r>
        <w:t xml:space="preserve">distribution of the within-firm DiD absent any true event. (3)</w:t>
      </w:r>
      <w:r>
        <w:t xml:space="preserve"> </w:t>
      </w:r>
      <w:r>
        <w:rPr>
          <w:i/>
          <w:iCs/>
        </w:rPr>
        <w:t xml:space="preserve">Power</w:t>
      </w:r>
      <w:r>
        <w:t xml:space="preserve">: for each design we</w:t>
      </w:r>
      <w:r>
        <w:t xml:space="preserve"> </w:t>
      </w:r>
      <w:r>
        <w:t xml:space="preserve">compute the minimum detectable effect at 80% power. Together these convert</w:t>
      </w:r>
      <w:r>
        <w:t xml:space="preserve"> </w:t>
      </w:r>
      <w:r>
        <w:t xml:space="preserve">“insignificant”</w:t>
      </w:r>
      <w:r>
        <w:t xml:space="preserve"> </w:t>
      </w:r>
      <w:r>
        <w:t xml:space="preserve">into a set of falsifiable, design-based statements.</w:t>
      </w:r>
    </w:p>
    <w:bookmarkEnd w:id="21"/>
    <w:bookmarkEnd w:id="22"/>
    <w:bookmarkStart w:id="26" w:name="sec:res"/>
    <w:p>
      <w:pPr>
        <w:pStyle w:val="Heading1"/>
      </w:pPr>
      <w:r>
        <w:t xml:space="preserve">Main Results</w:t>
      </w:r>
    </w:p>
    <w:bookmarkStart w:id="23" w:name="the-surge-is-broad."/>
    <w:p>
      <w:pPr>
        <w:pStyle w:val="Heading4"/>
      </w:pPr>
      <w:r>
        <w:t xml:space="preserve">The surge is broad.</w:t>
      </w:r>
    </w:p>
    <w:p>
      <w:pPr>
        <w:pStyle w:val="FirstParagraph"/>
      </w:pPr>
      <w:r>
        <w:t xml:space="preserve">Table </w:t>
      </w:r>
      <w:hyperlink w:anchor="tab:com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that every Affirm complaint category</w:t>
      </w:r>
      <w:r>
        <w:t xml:space="preserve"> </w:t>
      </w:r>
      <w:r>
        <w:t xml:space="preserve">grew after early 2025, with credit reporting growing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in proportional terms</w:t>
      </w:r>
      <w:r>
        <w:t xml:space="preserve"> </w:t>
      </w:r>
      <w:r>
        <w:t xml:space="preserve">(</w:t>
      </w:r>
      <m:oMath>
        <m:r>
          <m:rPr>
            <m:sty m:val="p"/>
          </m:rPr>
          <m:t>×</m:t>
        </m:r>
        <m:r>
          <m:t>3.7</m:t>
        </m:r>
      </m:oMath>
      <w:r>
        <w:t xml:space="preserve"> </w:t>
      </w:r>
      <w:r>
        <w:t xml:space="preserve">for the credit-reporting product line, versus</w:t>
      </w:r>
      <w:r>
        <w:t xml:space="preserve"> </w:t>
      </w:r>
      <m:oMath>
        <m:r>
          <m:rPr>
            <m:sty m:val="p"/>
          </m:rPr>
          <m:t>×</m:t>
        </m:r>
        <m:r>
          <m:t>5.1</m:t>
        </m:r>
      </m:oMath>
      <w:r>
        <w:t xml:space="preserve"> </w:t>
      </w:r>
      <w:r>
        <w:t xml:space="preserve">for debt collection and</w:t>
      </w:r>
      <w:r>
        <w:t xml:space="preserve"> </w:t>
      </w:r>
      <m:oMath>
        <m:r>
          <m:rPr>
            <m:sty m:val="p"/>
          </m:rPr>
          <m:t>×</m:t>
        </m:r>
        <m:r>
          <m:t>5.8</m:t>
        </m:r>
      </m:oMath>
      <w:r>
        <w:t xml:space="preserve"> </w:t>
      </w:r>
      <w:r>
        <w:t xml:space="preserve">for personal loans). Figure </w:t>
      </w:r>
      <w:hyperlink w:anchor="fig:com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makes the point visually: the furnishing</w:t>
      </w:r>
      <w:r>
        <w:t xml:space="preserve"> </w:t>
      </w:r>
      <w:r>
        <w:t xml:space="preserve">category is not the one that exploded. If furnishing had flooded the bureaus, credit reporting</w:t>
      </w:r>
      <w:r>
        <w:t xml:space="preserve"> </w:t>
      </w:r>
      <w:r>
        <w:t xml:space="preserve">should have outgrown Affirm’s furnishing-irrelevant complaint lines; it did the reverse.</w:t>
      </w:r>
    </w:p>
    <w:bookmarkEnd w:id="23"/>
    <w:bookmarkStart w:id="24" w:name="Xc83c6b4c85e99f127fbdb15f2097f1cbf842406"/>
    <w:p>
      <w:pPr>
        <w:pStyle w:val="Heading4"/>
      </w:pPr>
      <w:r>
        <w:t xml:space="preserve">The furnisher is not special across firms.</w:t>
      </w:r>
    </w:p>
    <w:p>
      <w:pPr>
        <w:pStyle w:val="FirstParagraph"/>
      </w:pPr>
      <w:r>
        <w:t xml:space="preserve">Table </w:t>
      </w:r>
      <w:hyperlink w:anchor="tab:firm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</w:t>
      </w:r>
      <w:r>
        <w:t xml:space="preserve"> </w:t>
      </w:r>
      <w:r>
        <w:t xml:space="preserve">credit-reporting complaint growth by firm. Affirm’s</w:t>
      </w:r>
      <w:r>
        <w:t xml:space="preserve"> </w:t>
      </w:r>
      <m:oMath>
        <m:r>
          <m:rPr>
            <m:sty m:val="p"/>
          </m:rPr>
          <m:t>×</m:t>
        </m:r>
        <m:r>
          <m:t>2.7</m:t>
        </m:r>
      </m:oMath>
      <w:r>
        <w:t xml:space="preserve"> </w:t>
      </w:r>
      <w:r>
        <w:t xml:space="preserve">is at or below its</w:t>
      </w:r>
      <w:r>
        <w:t xml:space="preserve"> </w:t>
      </w:r>
      <w:r>
        <w:t xml:space="preserve">non-furnishing peers’: Klarna grew</w:t>
      </w:r>
      <w:r>
        <w:t xml:space="preserve"> </w:t>
      </w:r>
      <m:oMath>
        <m:r>
          <m:rPr>
            <m:sty m:val="p"/>
          </m:rPr>
          <m:t>×</m:t>
        </m:r>
        <m:r>
          <m:t>11</m:t>
        </m:r>
      </m:oMath>
      <w:r>
        <w:t xml:space="preserve"> </w:t>
      </w:r>
      <w:r>
        <w:t xml:space="preserve">(from a tiny base), Sezzle</w:t>
      </w:r>
      <w:r>
        <w:t xml:space="preserve"> </w:t>
      </w:r>
      <m:oMath>
        <m:r>
          <m:rPr>
            <m:sty m:val="p"/>
          </m:rPr>
          <m:t>×</m:t>
        </m:r>
        <m:r>
          <m:t>3.5</m:t>
        </m:r>
      </m:oMath>
      <w:r>
        <w:t xml:space="preserve">, and Zip</w:t>
      </w:r>
      <w:r>
        <w:t xml:space="preserve"> </w:t>
      </w:r>
      <w:r>
        <w:t xml:space="preserve">and Perpay from bases too small to interpret. If furnishing drove disputes, the furnisher should</w:t>
      </w:r>
      <w:r>
        <w:t xml:space="preserve"> </w:t>
      </w:r>
      <w:r>
        <w:t xml:space="preserve">stand out among BNPL firms. It does not.</w:t>
      </w:r>
    </w:p>
    <w:bookmarkEnd w:id="24"/>
    <w:bookmarkStart w:id="25" w:name="difference-in-differences."/>
    <w:p>
      <w:pPr>
        <w:pStyle w:val="Heading4"/>
      </w:pPr>
      <w:r>
        <w:t xml:space="preserve">Difference-in-differences.</w:t>
      </w:r>
    </w:p>
    <w:p>
      <w:pPr>
        <w:pStyle w:val="FirstParagraph"/>
      </w:pPr>
      <w:r>
        <w:t xml:space="preserve">Table </w:t>
      </w:r>
      <w:hyperlink w:anchor="tab:di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formalizes the comparison. The</w:t>
      </w:r>
      <w:r>
        <w:t xml:space="preserve"> </w:t>
      </w:r>
      <w:r>
        <w:t xml:space="preserve">within-Affirm DiD (credit-reporting vs. other complaints) is</w:t>
      </w:r>
      <w:r>
        <w:t xml:space="preserve"> </w:t>
      </w:r>
      <w:r>
        <w:rPr>
          <w:i/>
          <w:iCs/>
        </w:rPr>
        <w:t xml:space="preserve">negative</w:t>
      </w:r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3.6</m:t>
        </m:r>
      </m:oMath>
      <w:r>
        <w:t xml:space="preserve">) in logs and</w:t>
      </w:r>
      <w:r>
        <w:t xml:space="preserve"> </w:t>
      </w:r>
      <m:oMath>
        <m:r>
          <m:rPr>
            <m:sty m:val="p"/>
          </m:rPr>
          <m:t>−</m:t>
        </m:r>
        <m:r>
          <m:t>0.44</m:t>
        </m:r>
      </m:oMath>
      <w:r>
        <w:t xml:space="preserve"> </w:t>
      </w:r>
      <w:r>
        <w:t xml:space="preserve">(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13.4</m:t>
        </m:r>
      </m:oMath>
      <w:r>
        <w:t xml:space="preserve">) in the Poisson count model. The credit-reporting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fell as Affirm’s other complaint categories grew faster. The cross-firm DiD on</w:t>
      </w:r>
      <w:r>
        <w:t xml:space="preserve"> </w:t>
      </w:r>
      <w:r>
        <w:t xml:space="preserve">credit-reporting counts is insignificant (</w:t>
      </w:r>
      <m:oMath>
        <m:r>
          <m:rPr>
            <m:sty m:val="p"/>
          </m:rPr>
          <m:t>−</m:t>
        </m:r>
        <m:r>
          <m:t>0.33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</m:oMath>
      <w:r>
        <w:t xml:space="preserve">) and shrinks toward zero when</w:t>
      </w:r>
      <w:r>
        <w:t xml:space="preserve"> </w:t>
      </w:r>
      <w:r>
        <w:t xml:space="preserve">Klarna’s small-base outlier is dropped (</w:t>
      </w:r>
      <m:oMath>
        <m:r>
          <m:rPr>
            <m:sty m:val="p"/>
          </m:rPr>
          <m:t>−</m:t>
        </m:r>
        <m:r>
          <m:t>0.08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0.16</m:t>
        </m:r>
      </m:oMath>
      <w:r>
        <w:t xml:space="preserve">). Neither design supports H1;</w:t>
      </w:r>
      <w:r>
        <w:t xml:space="preserve"> </w:t>
      </w:r>
      <w:r>
        <w:t xml:space="preserve">Figure </w:t>
      </w:r>
      <w:hyperlink w:anchor="fig:serie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Affirm and the peer average rising in tandem through the furnishing</w:t>
      </w:r>
      <w:r>
        <w:t xml:space="preserve"> </w:t>
      </w:r>
      <w:r>
        <w:t xml:space="preserve">date, with no discontinuity there.</w:t>
      </w:r>
    </w:p>
    <w:bookmarkEnd w:id="25"/>
    <w:bookmarkEnd w:id="26"/>
    <w:bookmarkStart w:id="29" w:name="sec:special"/>
    <w:p>
      <w:pPr>
        <w:pStyle w:val="Heading1"/>
      </w:pPr>
      <w:r>
        <w:t xml:space="preserve">The Furnisher Is Not Special: Generalization and Triple-Difference</w:t>
      </w:r>
    </w:p>
    <w:bookmarkStart w:id="27" w:name="per-firm-generalization."/>
    <w:p>
      <w:pPr>
        <w:pStyle w:val="Heading4"/>
      </w:pPr>
      <w:r>
        <w:t xml:space="preserve">Per-firm generalization.</w:t>
      </w:r>
    </w:p>
    <w:p>
      <w:pPr>
        <w:pStyle w:val="FirstParagraph"/>
      </w:pPr>
      <w:r>
        <w:t xml:space="preserve">If furnishing generated credit-reporting disputes, the</w:t>
      </w:r>
      <w:r>
        <w:t xml:space="preserve"> </w:t>
      </w:r>
      <w:r>
        <w:t xml:space="preserve">within-firm credit-reporting DiD should be positive for the furnisher and roughly zero for</w:t>
      </w:r>
      <w:r>
        <w:t xml:space="preserve"> </w:t>
      </w:r>
      <w:r>
        <w:t xml:space="preserve">everyone else. Table </w:t>
      </w:r>
      <w:hyperlink w:anchor="tab:heter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re-estimates</w:t>
      </w:r>
      <w:r>
        <w:t xml:space="preserve"> </w:t>
      </w:r>
      <w:hyperlink w:anchor="eq:within">
        <w:r>
          <w:rPr>
            <w:rStyle w:val="Hyperlink"/>
          </w:rPr>
          <w:t xml:space="preserve">[eq:within]</w:t>
        </w:r>
      </w:hyperlink>
      <w:r>
        <w:t xml:space="preserve"> </w:t>
      </w:r>
      <w:r>
        <w:t xml:space="preserve">separately for each of the</w:t>
      </w:r>
      <w:r>
        <w:t xml:space="preserve"> </w:t>
      </w:r>
      <w:r>
        <w:t xml:space="preserve">five firms, using the common April-2025 reference date as a placebo/generalization split (the</w:t>
      </w:r>
      <w:r>
        <w:t xml:space="preserve"> </w:t>
      </w:r>
      <w:r>
        <w:t xml:space="preserve">true per-firm dates are the student’s task, so we do not claim these are correctly timed for the</w:t>
      </w:r>
      <w:r>
        <w:t xml:space="preserve"> </w:t>
      </w:r>
      <w:r>
        <w:t xml:space="preserve">peers). The result is a clean generalization of the null: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firm has a positive,</w:t>
      </w:r>
      <w:r>
        <w:t xml:space="preserve"> </w:t>
      </w:r>
      <w:r>
        <w:t xml:space="preserve">significant credit-reporting DiD. Affirm, the actual furnisher, is significantly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0.30</m:t>
        </m:r>
      </m:oMath>
      <w:r>
        <w:t xml:space="preserve">); Klarna (</w:t>
      </w:r>
      <m:oMath>
        <m:r>
          <m:rPr>
            <m:sty m:val="p"/>
          </m:rPr>
          <m:t>+</m:t>
        </m:r>
        <m:r>
          <m:t>0.15</m:t>
        </m:r>
      </m:oMath>
      <w:r>
        <w:t xml:space="preserve">) and Perpay (</w:t>
      </w:r>
      <m:oMath>
        <m:r>
          <m:rPr>
            <m:sty m:val="p"/>
          </m:rPr>
          <m:t>+</m:t>
        </m:r>
        <m:r>
          <m:t>0.02</m:t>
        </m:r>
      </m:oMath>
      <w:r>
        <w:t xml:space="preserve">) are small and insignificant; Sezzle is</w:t>
      </w:r>
      <w:r>
        <w:t xml:space="preserve"> </w:t>
      </w:r>
      <w:r>
        <w:t xml:space="preserve">negative and insignificant (</w:t>
      </w:r>
      <m:oMath>
        <m:r>
          <m:rPr>
            <m:sty m:val="p"/>
          </m:rPr>
          <m:t>−</m:t>
        </m:r>
        <m:r>
          <m:t>0.17</m:t>
        </m:r>
      </m:oMath>
      <w:r>
        <w:t xml:space="preserve">); and Zip’s large negative coefficient rests on only 13</w:t>
      </w:r>
      <w:r>
        <w:t xml:space="preserve"> </w:t>
      </w:r>
      <w:r>
        <w:t xml:space="preserve">credit-reporting complaints and is not interpretable. The furnisher looks like—if anything,</w:t>
      </w:r>
      <w:r>
        <w:t xml:space="preserve"> </w:t>
      </w:r>
      <w:r>
        <w:t xml:space="preserve">less credit-reporting-tilted than—its peers.</w:t>
      </w:r>
    </w:p>
    <w:bookmarkEnd w:id="27"/>
    <w:bookmarkStart w:id="28" w:name="triple-difference."/>
    <w:p>
      <w:pPr>
        <w:pStyle w:val="Heading4"/>
      </w:pPr>
      <w:r>
        <w:t xml:space="preserve">Triple-difference.</w:t>
      </w:r>
    </w:p>
    <w:p>
      <w:pPr>
        <w:pStyle w:val="FirstParagraph"/>
      </w:pPr>
      <w:r>
        <w:t xml:space="preserve">The sharpest single test is the triple-difference in</w:t>
      </w:r>
      <w:r>
        <w:t xml:space="preserve"> </w:t>
      </w:r>
      <w:hyperlink w:anchor="eq:ddd">
        <w:r>
          <w:rPr>
            <w:rStyle w:val="Hyperlink"/>
          </w:rPr>
          <w:t xml:space="preserve">[eq:ddd]</w:t>
        </w:r>
      </w:hyperlink>
      <w:r>
        <w:t xml:space="preserve">, which asks whether Affirm’s credit-reporting line rose more, post-furnishing,</w:t>
      </w:r>
      <w:r>
        <w:t xml:space="preserve"> </w:t>
      </w:r>
      <w:r>
        <w:t xml:space="preserve">than the sector-wide surge and Affirm’s own other lines would predict. Table </w:t>
      </w:r>
      <w:hyperlink w:anchor="tab:triple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0.04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0.11</m:t>
        </m:r>
      </m:oMath>
      <w:r>
        <w:t xml:space="preserve">) in the baseline;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0.46</m:t>
        </m:r>
      </m:oMath>
      <w:r>
        <w:t xml:space="preserve">) dropping Klarna; and</w:t>
      </w:r>
      <w:r>
        <w:t xml:space="preserve"> </w:t>
      </w:r>
      <m:oMath>
        <m:r>
          <m:rPr>
            <m:sty m:val="p"/>
          </m:rPr>
          <m:t>+</m:t>
        </m:r>
        <m:r>
          <m:t>0.11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0.27</m:t>
        </m:r>
      </m:oMath>
      <w:r>
        <w:t xml:space="preserve">) using the February-2025 reference. The point estimates are small and</w:t>
      </w:r>
      <w:r>
        <w:t xml:space="preserve"> </w:t>
      </w:r>
      <w:r>
        <w:t xml:space="preserve">positive but statistically indistinguishable from zero in every specification. Read alone, the</w:t>
      </w:r>
      <w:r>
        <w:t xml:space="preserve"> </w:t>
      </w:r>
      <w:r>
        <w:t xml:space="preserve">triple-difference neither supports H1 nor decisively rejects it—and 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shows why: with five firms it is underpowered, and its wide confidence interval is exactly the</w:t>
      </w:r>
      <w:r>
        <w:t xml:space="preserve"> </w:t>
      </w:r>
      <w:r>
        <w:t xml:space="preserve">gap the student’s staggered design is meant to close. What it does establish is that the one</w:t>
      </w:r>
      <w:r>
        <w:t xml:space="preserve"> </w:t>
      </w:r>
      <w:r>
        <w:t xml:space="preserve">design capable in principle of isolating a furnisher-specific dispute wave shows no sign of one.</w:t>
      </w:r>
    </w:p>
    <w:bookmarkEnd w:id="28"/>
    <w:bookmarkEnd w:id="29"/>
    <w:bookmarkStart w:id="30" w:name="sec:robust"/>
    <w:p>
      <w:pPr>
        <w:pStyle w:val="Heading1"/>
      </w:pPr>
      <w:r>
        <w:t xml:space="preserve">Robustness</w:t>
      </w:r>
    </w:p>
    <w:p>
      <w:pPr>
        <w:pStyle w:val="FirstParagraph"/>
      </w:pPr>
      <w:r>
        <w:t xml:space="preserve">Table </w:t>
      </w:r>
      <w:hyperlink w:anchor="tab:robus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confirms that the within-Affirm negative coefficient—the paper’s one</w:t>
      </w:r>
      <w:r>
        <w:t xml:space="preserve"> </w:t>
      </w:r>
      <w:r>
        <w:t xml:space="preserve">statistically significant estimate, and one that cuts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H1—is not an artifact of a</w:t>
      </w:r>
      <w:r>
        <w:t xml:space="preserve"> </w:t>
      </w:r>
      <w:r>
        <w:t xml:space="preserve">single choice. It is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at the April-2025 baseline and stays negative and mostly</w:t>
      </w:r>
      <w:r>
        <w:t xml:space="preserve"> </w:t>
      </w:r>
      <w:r>
        <w:t xml:space="preserve">significant across estimators (Poisson</w:t>
      </w:r>
      <w:r>
        <w:t xml:space="preserve"> </w:t>
      </w:r>
      <m:oMath>
        <m:r>
          <m:rPr>
            <m:sty m:val="p"/>
          </m:rPr>
          <m:t>−</m:t>
        </m:r>
        <m:r>
          <m:t>0.44</m:t>
        </m:r>
      </m:oMath>
      <w:r>
        <w:t xml:space="preserve">), alternative event dates (February-2025</w:t>
      </w:r>
      <w:r>
        <w:t xml:space="preserve"> </w:t>
      </w:r>
      <m:oMath>
        <m:r>
          <m:rPr>
            <m:sty m:val="p"/>
          </m:rPr>
          <m:t>−</m:t>
        </m:r>
        <m:r>
          <m:t>0.19</m:t>
        </m:r>
      </m:oMath>
      <w:r>
        <w:t xml:space="preserve">;</w:t>
      </w:r>
      <w:r>
        <w:t xml:space="preserve"> </w:t>
      </w:r>
      <w:r>
        <w:t xml:space="preserve">June-2025</w:t>
      </w:r>
      <w:r>
        <w:t xml:space="preserve"> </w:t>
      </w:r>
      <m:oMath>
        <m:r>
          <m:rPr>
            <m:sty m:val="p"/>
          </m:rPr>
          <m:t>−</m:t>
        </m:r>
        <m:r>
          <m:t>0.38</m:t>
        </m:r>
      </m:oMath>
      <w:r>
        <w:t xml:space="preserve">), symmetric event windows (</w:t>
      </w:r>
      <m:oMath>
        <m:r>
          <m:rPr>
            <m:sty m:val="p"/>
          </m:rPr>
          <m:t>±</m:t>
        </m:r>
        <m:r>
          <m:t>12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0.46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±</m:t>
        </m:r>
        <m:r>
          <m:t>9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0.42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0.31</m:t>
        </m:r>
      </m:oMath>
      <w:r>
        <w:t xml:space="preserve">), dropping the 2022 start (</w:t>
      </w:r>
      <m:oMath>
        <m:r>
          <m:rPr>
            <m:sty m:val="p"/>
          </m:rPr>
          <m:t>−</m:t>
        </m:r>
        <m:r>
          <m:t>0.41</m:t>
        </m:r>
      </m:oMath>
      <w:r>
        <w:t xml:space="preserve">), and—critically—restricting to the</w:t>
      </w:r>
      <w:r>
        <w:t xml:space="preserve"> </w:t>
      </w:r>
      <w:r>
        <w:t xml:space="preserve">furnishing-plausible CFPB issue subset (</w:t>
      </w:r>
      <m:oMath>
        <m:r>
          <m:rPr>
            <m:sty m:val="p"/>
          </m:rPr>
          <m:t>−</m:t>
        </m:r>
        <m:r>
          <m:t>0.27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</m:t>
        </m:r>
      </m:oMath>
      <w:r>
        <w:t xml:space="preserve">). That last row matters: even among</w:t>
      </w:r>
      <w:r>
        <w:t xml:space="preserve"> </w:t>
      </w:r>
      <w:r>
        <w:t xml:space="preserve">the complaints whose machine label is most consistent with a furnishing error, the</w:t>
      </w:r>
      <w:r>
        <w:t xml:space="preserve"> </w:t>
      </w:r>
      <w:r>
        <w:t xml:space="preserve">credit-reporting share</w:t>
      </w:r>
      <w:r>
        <w:t xml:space="preserve"> </w:t>
      </w:r>
      <w:r>
        <w:rPr>
          <w:i/>
          <w:iCs/>
        </w:rPr>
        <w:t xml:space="preserve">fell</w:t>
      </w:r>
      <w:r>
        <w:t xml:space="preserve"> </w:t>
      </w:r>
      <w:r>
        <w:t xml:space="preserve">at Affirm relative to its other complaint lines. The negative</w:t>
      </w:r>
      <w:r>
        <w:t xml:space="preserve"> </w:t>
      </w:r>
      <w:r>
        <w:t xml:space="preserve">sign is pervasive; nowhere does the within-firm design produce the positive spike H1 predicts.</w:t>
      </w:r>
    </w:p>
    <w:bookmarkEnd w:id="30"/>
    <w:bookmarkStart w:id="33" w:name="sec:inf"/>
    <w:p>
      <w:pPr>
        <w:pStyle w:val="Heading1"/>
      </w:pPr>
      <w:r>
        <w:t xml:space="preserve">Design-Based Inference</w:t>
      </w:r>
    </w:p>
    <w:p>
      <w:pPr>
        <w:pStyle w:val="FirstParagraph"/>
      </w:pPr>
      <w:r>
        <w:t xml:space="preserve">The setting has two features that make conventional inference untrustworthy: only five firms</w:t>
      </w:r>
      <w:r>
        <w:t xml:space="preserve"> </w:t>
      </w:r>
      <w:r>
        <w:t xml:space="preserve">(so cluster-robust standard errors are unreliable,</w:t>
      </w:r>
      <w:r>
        <w:t xml:space="preserve"> </w:t>
      </w:r>
      <w:r>
        <w:t xml:space="preserve">) and a</w:t>
      </w:r>
      <w:r>
        <w:t xml:space="preserve"> </w:t>
      </w:r>
      <w:r>
        <w:t xml:space="preserve">single time series in the within-firm design (so serial correlation and the arbitrary choice of</w:t>
      </w:r>
      <w:r>
        <w:t xml:space="preserve"> </w:t>
      </w:r>
      <w:r>
        <w:t xml:space="preserve">break date matter,</w:t>
      </w:r>
      <w:r>
        <w:t xml:space="preserve"> </w:t>
      </w:r>
      <w:r>
        <w:t xml:space="preserve">). We therefore lean on design-based tests.</w:t>
      </w:r>
    </w:p>
    <w:bookmarkStart w:id="31" w:name="firm-label-permutation."/>
    <w:p>
      <w:pPr>
        <w:pStyle w:val="Heading4"/>
      </w:pPr>
      <w:r>
        <w:t xml:space="preserve">Firm-label permutation.</w:t>
      </w:r>
    </w:p>
    <w:p>
      <w:pPr>
        <w:pStyle w:val="FirstParagraph"/>
      </w:pPr>
      <w:r>
        <w:t xml:space="preserve">We re-assign the furnisher label to each of the five firms</w:t>
      </w:r>
      <w:r>
        <w:t xml:space="preserve"> </w:t>
      </w:r>
      <w:r>
        <w:t xml:space="preserve">in turn and recompute the cross-firm credit-reporting-count DiD (Table </w:t>
      </w:r>
      <w:hyperlink w:anchor="tab:ri">
        <w:r>
          <w:rPr>
            <w:rStyle w:val="Hyperlink"/>
          </w:rPr>
          <w:t xml:space="preserve">8</w:t>
        </w:r>
      </w:hyperlink>
      <w:r>
        <w:t xml:space="preserve">, upper row).</w:t>
      </w:r>
      <w:r>
        <w:t xml:space="preserve"> </w:t>
      </w:r>
      <w:r>
        <w:t xml:space="preserve">Affirm’s coefficient (</w:t>
      </w:r>
      <m:oMath>
        <m:r>
          <m:rPr>
            <m:sty m:val="p"/>
          </m:rPr>
          <m:t>−</m:t>
        </m:r>
        <m:r>
          <m:t>0.33</m:t>
        </m:r>
      </m:oMath>
      <w:r>
        <w:t xml:space="preserve">) is the second-</w:t>
      </w:r>
      <w:r>
        <w:rPr>
          <w:i/>
          <w:iCs/>
        </w:rPr>
        <w:t xml:space="preserve">most negative</w:t>
      </w:r>
      <w:r>
        <w:t xml:space="preserve"> </w:t>
      </w:r>
      <w:r>
        <w:t xml:space="preserve">of the five and sits in the</w:t>
      </w:r>
      <w:r>
        <w:t xml:space="preserve"> </w:t>
      </w:r>
      <w:r>
        <w:t xml:space="preserve">middle of the permutation distribution once magnitude is considered (Klarna</w:t>
      </w:r>
      <w:r>
        <w:t xml:space="preserve"> </w:t>
      </w:r>
      <m:oMath>
        <m:r>
          <m:rPr>
            <m:sty m:val="p"/>
          </m:rPr>
          <m:t>+</m:t>
        </m:r>
        <m:r>
          <m:t>1.03</m:t>
        </m:r>
      </m:oMath>
      <w:r>
        <w:t xml:space="preserve">, Sezzle</w:t>
      </w:r>
      <w:r>
        <w:t xml:space="preserve"> </w:t>
      </w:r>
      <m:oMath>
        <m:r>
          <m:rPr>
            <m:sty m:val="p"/>
          </m:rPr>
          <m:t>+</m:t>
        </m:r>
        <m:r>
          <m:t>0.36</m:t>
        </m:r>
      </m:oMath>
      <w:r>
        <w:t xml:space="preserve">, Zip</w:t>
      </w:r>
      <w:r>
        <w:t xml:space="preserve"> </w:t>
      </w:r>
      <m:oMath>
        <m:r>
          <m:rPr>
            <m:sty m:val="p"/>
          </m:rPr>
          <m:t>−</m:t>
        </m:r>
        <m:r>
          <m:t>1.32</m:t>
        </m:r>
      </m:oMath>
      <w:r>
        <w:t xml:space="preserve">, Perpay</w:t>
      </w:r>
      <w:r>
        <w:t xml:space="preserve"> </w:t>
      </w:r>
      <m:oMath>
        <m:r>
          <m:rPr>
            <m:sty m:val="p"/>
          </m:rPr>
          <m:t>+</m:t>
        </m:r>
        <m:r>
          <m:t>0.26</m:t>
        </m:r>
      </m:oMath>
      <w:r>
        <w:t xml:space="preserve">), giving an exact 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. A furnisher that</w:t>
      </w:r>
      <w:r>
        <w:t xml:space="preserve"> </w:t>
      </w:r>
      <w:r>
        <w:t xml:space="preserve">truly flooded the bureaus should produce an extreme positive coefficient; Affirm produces an</w:t>
      </w:r>
      <w:r>
        <w:t xml:space="preserve"> </w:t>
      </w:r>
      <w:r>
        <w:t xml:space="preserve">unremarkable one. The permutation is coarse—with five firms the finest attainable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0.20</m:t>
        </m:r>
      </m:oMath>
      <w:r>
        <w:t xml:space="preserve">—but it points the same way as every other design: the furnisher is not special.</w:t>
      </w:r>
    </w:p>
    <w:bookmarkEnd w:id="31"/>
    <w:bookmarkStart w:id="32" w:name="placebo-in-time."/>
    <w:p>
      <w:pPr>
        <w:pStyle w:val="Heading4"/>
      </w:pPr>
      <w:r>
        <w:t xml:space="preserve">Placebo-in-time.</w:t>
      </w:r>
    </w:p>
    <w:p>
      <w:pPr>
        <w:pStyle w:val="FirstParagraph"/>
      </w:pPr>
      <w:r>
        <w:t xml:space="preserve">On pre-event data only (through March 2025) we draw 22 interior</w:t>
      </w:r>
      <w:r>
        <w:t xml:space="preserve"> </w:t>
      </w:r>
      <w:r>
        <w:t xml:space="preserve">placebo furnishing months and re-estimate the within-Affirm DiD</w:t>
      </w:r>
      <w:r>
        <w:t xml:space="preserve"> </w:t>
      </w:r>
      <w:hyperlink w:anchor="eq:within">
        <w:r>
          <w:rPr>
            <w:rStyle w:val="Hyperlink"/>
          </w:rPr>
          <w:t xml:space="preserve">[eq:within]</w:t>
        </w:r>
      </w:hyperlink>
      <w:r>
        <w:t xml:space="preserve">. The exercise</w:t>
      </w:r>
      <w:r>
        <w:t xml:space="preserve"> </w:t>
      </w:r>
      <w:r>
        <w:t xml:space="preserve">uncovers a fact the naive DiD conceals (Table </w:t>
      </w:r>
      <w:hyperlink w:anchor="tab:ri">
        <w:r>
          <w:rPr>
            <w:rStyle w:val="Hyperlink"/>
          </w:rPr>
          <w:t xml:space="preserve">8</w:t>
        </w:r>
      </w:hyperlink>
      <w:r>
        <w:t xml:space="preserve">, lower row;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):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placebo split yields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coefficient, averaging</w:t>
      </w:r>
      <w:r>
        <w:t xml:space="preserve"> </w:t>
      </w:r>
      <m:oMath>
        <m:r>
          <m:rPr>
            <m:sty m:val="p"/>
          </m:rPr>
          <m:t>+</m:t>
        </m:r>
        <m:r>
          <m:t>0.30</m:t>
        </m:r>
      </m:oMath>
      <w:r>
        <w:t xml:space="preserve"> </w:t>
      </w:r>
      <w:r>
        <w:t xml:space="preserve">with a range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0.36</m:t>
        </m:r>
        <m:r>
          <m:rPr>
            <m:sty m:val="p"/>
          </m:rPr>
          <m:t>]</m:t>
        </m:r>
      </m:oMath>
      <w:r>
        <w:t xml:space="preserve">. Affirm’s credit-reporting complaints were rising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its</w:t>
      </w:r>
      <w:r>
        <w:t xml:space="preserve"> </w:t>
      </w:r>
      <w:r>
        <w:t xml:space="preserve">other complaints throughout the pre-period. The true furnishing date is the one split at which</w:t>
      </w:r>
      <w:r>
        <w:t xml:space="preserve"> </w:t>
      </w:r>
      <w:r>
        <w:t xml:space="preserve">that ratio reverses, to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—a value below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22 pre-event placebos. Two things</w:t>
      </w:r>
      <w:r>
        <w:t xml:space="preserve"> </w:t>
      </w:r>
      <w:r>
        <w:t xml:space="preserve">follow. First, the within-firm design is confounded by a rising pre-trend, so its significant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is not a clean causal estimate—a caution in the spirit of</w:t>
      </w:r>
      <w:r>
        <w:t xml:space="preserve"> </w:t>
      </w:r>
      <w:r>
        <w:t xml:space="preserve">, and a</w:t>
      </w:r>
      <w:r>
        <w:t xml:space="preserve"> </w:t>
      </w:r>
      <w:r>
        <w:t xml:space="preserve">reason we do not rest the paper on it. Second, and decisively for H1, the pre-trend ran</w:t>
      </w:r>
      <w:r>
        <w:t xml:space="preserve"> </w:t>
      </w:r>
      <w:r>
        <w:rPr>
          <w:i/>
          <w:iCs/>
        </w:rPr>
        <w:t xml:space="preserve">upward</w:t>
      </w:r>
      <w:r>
        <w:t xml:space="preserve">: credit-reporting complaints were already accelerating before furnishing, yet at</w:t>
      </w:r>
      <w:r>
        <w:t xml:space="preserve"> </w:t>
      </w:r>
      <w:r>
        <w:t xml:space="preserve">the furnishing date they</w:t>
      </w:r>
      <w:r>
        <w:t xml:space="preserve"> </w:t>
      </w:r>
      <w:r>
        <w:rPr>
          <w:i/>
          <w:iCs/>
        </w:rPr>
        <w:t xml:space="preserve">decelerated</w:t>
      </w:r>
      <w:r>
        <w:t xml:space="preserve"> </w:t>
      </w:r>
      <w:r>
        <w:t xml:space="preserve">relative to other categories. Furnishing did not add</w:t>
      </w:r>
      <w:r>
        <w:t xml:space="preserve"> </w:t>
      </w:r>
      <w:r>
        <w:t xml:space="preserve">a positive spike to a flat series; it coincided with a downturn in an already-rising series. The</w:t>
      </w:r>
      <w:r>
        <w:t xml:space="preserve"> </w:t>
      </w:r>
      <w:r>
        <w:t xml:space="preserve">direction is the opposite of the furnishing-dispute hypothesis under any reading of the trend.</w:t>
      </w:r>
    </w:p>
    <w:bookmarkEnd w:id="32"/>
    <w:bookmarkEnd w:id="33"/>
    <w:bookmarkStart w:id="34" w:name="sec:power"/>
    <w:p>
      <w:pPr>
        <w:pStyle w:val="Heading1"/>
      </w:pPr>
      <w:r>
        <w:t xml:space="preserve">Are the Nulls Informative? Power and Minimum Detectable Effects</w:t>
      </w:r>
    </w:p>
    <w:p>
      <w:pPr>
        <w:pStyle w:val="FirstParagraph"/>
      </w:pPr>
      <w:r>
        <w:t xml:space="preserve">A null is only interesting if the design could have detected a real effect, and with five firms</w:t>
      </w:r>
      <w:r>
        <w:t xml:space="preserve"> </w:t>
      </w:r>
      <w:r>
        <w:t xml:space="preserve">it is essential to separate informative nulls from underpowered ones. Table </w:t>
      </w:r>
      <w:hyperlink w:anchor="tab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reports, for each design, the minimum detectable effect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; for the</w:t>
      </w:r>
      <w:r>
        <w:t xml:space="preserve"> </w:t>
      </w:r>
      <w:r>
        <w:t xml:space="preserve">log-count designs we express it as a detectable</w:t>
      </w:r>
      <w:r>
        <w:t xml:space="preserve"> </w:t>
      </w:r>
      <w:r>
        <w:rPr>
          <w:i/>
          <w:iCs/>
        </w:rPr>
        <w:t xml:space="preserve">differential growth</w:t>
      </w:r>
      <w:r>
        <w:t xml:space="preserve"> </w:t>
      </w:r>
      <w:r>
        <w:t xml:space="preserve">multiple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nor/>
            <m:sty m:val="p"/>
          </m:rPr>
          <m:t>MDE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, and for the share design as a share of the mean credit-reporting share.</w:t>
      </w:r>
    </w:p>
    <w:p>
      <w:pPr>
        <w:pStyle w:val="BodyText"/>
      </w:pPr>
      <w:r>
        <w:t xml:space="preserve">The informative null rests on the</w:t>
      </w:r>
      <w:r>
        <w:t xml:space="preserve"> </w:t>
      </w:r>
      <w:r>
        <w:rPr>
          <w:i/>
          <w:iCs/>
        </w:rPr>
        <w:t xml:space="preserve">within-Affirm</w:t>
      </w:r>
      <w:r>
        <w:t xml:space="preserve"> </w:t>
      </w:r>
      <w:r>
        <w:t xml:space="preserve">design, and deliberately not on any</w:t>
      </w:r>
      <w:r>
        <w:t xml:space="preserve"> </w:t>
      </w:r>
      <w:r>
        <w:t xml:space="preserve">five-cluster standard error. That design has 108 month</w:t>
      </w:r>
      <m:oMath>
        <m:r>
          <m:rPr>
            <m:sty m:val="p"/>
          </m:rPr>
          <m:t>×</m:t>
        </m:r>
      </m:oMath>
      <w:r>
        <w:t xml:space="preserve">category cells and HC1 inference;</w:t>
      </w:r>
      <w:r>
        <w:t xml:space="preserve"> </w:t>
      </w:r>
      <w:r>
        <w:t xml:space="preserve">it is not a few-cluster object, so the caution of Sections </w:t>
      </w:r>
      <w:hyperlink w:anchor="sec:r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</w:t>
      </w:r>
      <w:r>
        <w:t xml:space="preserve"> </w:t>
      </w:r>
      <w:hyperlink w:anchor="sec:in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does</w:t>
      </w:r>
      <w:r>
        <w:t xml:space="preserve"> </w:t>
      </w:r>
      <w:r>
        <w:t xml:space="preserve">not apply to it. Its MDE is 0.23 log points, a detectable differential credit-reporting increase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26%—a fraction of the 165% raw rise in Affirm’s credit-reporting complaints—and</w:t>
      </w:r>
      <w:r>
        <w:t xml:space="preserve"> </w:t>
      </w:r>
      <w:r>
        <w:t xml:space="preserve">the estimate instead comes in at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. Two features make this a genuinely informative</w:t>
      </w:r>
      <w:r>
        <w:t xml:space="preserve"> </w:t>
      </w:r>
      <w:r>
        <w:t xml:space="preserve">rejection of H1 rather than an SE assertion. First, the robustness battery</w:t>
      </w:r>
      <w:r>
        <w:t xml:space="preserve"> </w:t>
      </w:r>
      <w:r>
        <w:t xml:space="preserve">(Table </w:t>
      </w:r>
      <w:hyperlink w:anchor="tab:robust">
        <w:r>
          <w:rPr>
            <w:rStyle w:val="Hyperlink"/>
          </w:rPr>
          <w:t xml:space="preserve">7</w:t>
        </w:r>
      </w:hyperlink>
      <w:r>
        <w:t xml:space="preserve">) shows the coefficient is negative across every event date, window,</w:t>
      </w:r>
      <w:r>
        <w:t xml:space="preserve"> </w:t>
      </w:r>
      <w:r>
        <w:t xml:space="preserve">estimator, sample start, and the furnishing-plausible issue subset, so a positive spike is not</w:t>
      </w:r>
      <w:r>
        <w:t xml:space="preserve"> </w:t>
      </w:r>
      <w:r>
        <w:t xml:space="preserve">hiding in a specification choice. Second—reconciling with the pre-trend uncovered in</w:t>
      </w:r>
      <w:r>
        <w:t xml:space="preserve"> </w:t>
      </w:r>
      <w:r>
        <w:t xml:space="preserve">Section </w:t>
      </w:r>
      <w:hyperlink w:anchor="sec:inf">
        <w:r>
          <w:rPr>
            <w:rStyle w:val="Hyperlink"/>
          </w:rPr>
          <w:t xml:space="preserve">8</w:t>
        </w:r>
      </w:hyperlink>
      <w:r>
        <w:t xml:space="preserve">—the within-Affirm credit-reporting series was on an</w:t>
      </w:r>
      <w:r>
        <w:t xml:space="preserve"> </w:t>
      </w:r>
      <w:r>
        <w:rPr>
          <w:i/>
          <w:iCs/>
        </w:rPr>
        <w:t xml:space="preserve">upward</w:t>
      </w:r>
      <w:r>
        <w:t xml:space="preserve"> </w:t>
      </w:r>
      <w:r>
        <w:t xml:space="preserve">pre-trend (the placebo splits average</w:t>
      </w:r>
      <w:r>
        <w:t xml:space="preserve"> </w:t>
      </w:r>
      <m:oMath>
        <m:r>
          <m:rPr>
            <m:sty m:val="p"/>
          </m:rPr>
          <m:t>+</m:t>
        </m:r>
        <m:r>
          <m:t>0.30</m:t>
        </m:r>
      </m:oMath>
      <w:r>
        <w:t xml:space="preserve">), which biases the design</w:t>
      </w:r>
      <w:r>
        <w:t xml:space="preserve"> </w:t>
      </w:r>
      <w:r>
        <w:rPr>
          <w:i/>
          <w:iCs/>
        </w:rPr>
        <w:t xml:space="preserve">toward</w:t>
      </w:r>
      <w:r>
        <w:t xml:space="preserve"> </w:t>
      </w:r>
      <w:r>
        <w:t xml:space="preserve">finding</w:t>
      </w:r>
      <w:r>
        <w:t xml:space="preserve"> </w:t>
      </w:r>
      <w:r>
        <w:t xml:space="preserve">H1’s positive spike; that a negative estimate survives an upward pre-trend makes the rejection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. The design confounded by a pre-trend in Section </w:t>
      </w:r>
      <w:hyperlink w:anchor="sec:in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is thus, read</w:t>
      </w:r>
      <w:r>
        <w:t xml:space="preserve"> </w:t>
      </w:r>
      <w:r>
        <w:t xml:space="preserve">correctly, the single strongest piece of anti-H1 evidence.</w:t>
      </w:r>
    </w:p>
    <w:p>
      <w:pPr>
        <w:pStyle w:val="BodyText"/>
      </w:pPr>
      <w:r>
        <w:t xml:space="preserve">The remaining designs inherit the few-cluster caveat and their MDEs are indicative only. The</w:t>
      </w:r>
      <w:r>
        <w:t xml:space="preserve"> </w:t>
      </w:r>
      <w:r>
        <w:t xml:space="preserve">cross-firm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design (</w:t>
      </w:r>
      <m:oMath>
        <m:r>
          <m:rPr>
            <m:nor/>
            <m:sty m:val="p"/>
          </m:rPr>
          <m:t>SE</m:t>
        </m:r>
        <m:r>
          <m:rPr>
            <m:sty m:val="p"/>
          </m:rPr>
          <m:t>=</m:t>
        </m:r>
        <m:r>
          <m:t>0.030</m:t>
        </m:r>
      </m:oMath>
      <w:r>
        <w:t xml:space="preserve">) has an MDE of 26% of the mean</w:t>
      </w:r>
      <w:r>
        <w:t xml:space="preserve"> </w:t>
      </w:r>
      <w:r>
        <w:t xml:space="preserve">credit-reporting share and its point estimate is likewise negative, but its clustered SE with</w:t>
      </w:r>
      <w:r>
        <w:t xml:space="preserve"> </w:t>
      </w:r>
      <w:r>
        <w:t xml:space="preserve">five firms is exactly the object Section </w:t>
      </w:r>
      <w:hyperlink w:anchor="sec:in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treats with suspicion, so we lean on the</w:t>
      </w:r>
      <w:r>
        <w:t xml:space="preserve"> </w:t>
      </w:r>
      <w:r>
        <w:t xml:space="preserve">firm-permutation (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) rather than its</w:t>
      </w:r>
      <w:r>
        <w:t xml:space="preserve"> </w:t>
      </w:r>
      <m:oMath>
        <m:r>
          <m:t>t</m:t>
        </m:r>
      </m:oMath>
      <w:r>
        <w:t xml:space="preserve">-statistic. The cross-firm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design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SE</m:t>
        </m:r>
        <m:r>
          <m:rPr>
            <m:sty m:val="p"/>
          </m:rPr>
          <m:t>=</m:t>
        </m:r>
        <m:r>
          <m:t>0.435</m:t>
        </m:r>
      </m:oMath>
      <w:r>
        <w:t xml:space="preserve">) and the triple-difference (</w:t>
      </w:r>
      <m:oMath>
        <m:r>
          <m:rPr>
            <m:nor/>
            <m:sty m:val="p"/>
          </m:rPr>
          <m:t>SE</m:t>
        </m:r>
        <m:r>
          <m:rPr>
            <m:sty m:val="p"/>
          </m:rPr>
          <m:t>=</m:t>
        </m:r>
        <m:r>
          <m:t>0.360</m:t>
        </m:r>
      </m:oMath>
      <w:r>
        <w:t xml:space="preserve">) have MDEs of 238% and 174%</w:t>
      </w:r>
      <w:r>
        <w:t xml:space="preserve"> </w:t>
      </w:r>
      <w:r>
        <w:t xml:space="preserve">differential growth: they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rule out a large furnisher-specific effect and are</w:t>
      </w:r>
      <w:r>
        <w:t xml:space="preserve"> </w:t>
      </w:r>
      <w:r>
        <w:t xml:space="preserve">honestly uninformative—it would be wrong to read them as evidence for H2. That is the crux of</w:t>
      </w:r>
      <w:r>
        <w:t xml:space="preserve"> </w:t>
      </w:r>
      <w:r>
        <w:t xml:space="preserve">the paper’s honest position: the within-firm design, which does not depend on few-cluster</w:t>
      </w:r>
      <w:r>
        <w:t xml:space="preserve"> </w:t>
      </w:r>
      <w:r>
        <w:t xml:space="preserve">asymptotics, already rejects the furnishing spike (conservatively, against an upward pre-trend),</w:t>
      </w:r>
      <w:r>
        <w:t xml:space="preserve"> </w:t>
      </w:r>
      <w:r>
        <w:t xml:space="preserve">while the cleanest design conceptually—the triple-difference—is starved of clusters. Closing</w:t>
      </w:r>
      <w:r>
        <w:t xml:space="preserve"> </w:t>
      </w:r>
      <w:r>
        <w:t xml:space="preserve">that gap requires more identifying variation in treatment timing—the staggered furnishing dates</w:t>
      </w:r>
      <w:r>
        <w:t xml:space="preserve"> </w:t>
      </w:r>
      <w:r>
        <w:t xml:space="preserve">the student will hand-collect—not another robustness check on the single-date proxy.</w:t>
      </w:r>
    </w:p>
    <w:bookmarkEnd w:id="34"/>
    <w:bookmarkStart w:id="56" w:name="sec:concl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Contrary to the widespread expectation that BNPL entering the credit file would flood the</w:t>
      </w:r>
      <w:r>
        <w:t xml:space="preserve"> </w:t>
      </w:r>
      <w:r>
        <w:t xml:space="preserve">bureaus with disputes, we find no furnishing-specific credit-reporting complaint spike. Across a</w:t>
      </w:r>
      <w:r>
        <w:t xml:space="preserve"> </w:t>
      </w:r>
      <w:r>
        <w:t xml:space="preserve">within-firm difference-in-differences, a per-firm generalization, a cross-firm comparison, a</w:t>
      </w:r>
      <w:r>
        <w:t xml:space="preserve"> </w:t>
      </w:r>
      <w:r>
        <w:t xml:space="preserve">triple-difference, an event-window and estimator battery, a firm-label permutation, and a</w:t>
      </w:r>
      <w:r>
        <w:t xml:space="preserve"> </w:t>
      </w:r>
      <w:r>
        <w:t xml:space="preserve">placebo-in-time analysis, the furnisher’s credit-reporting line never outgrows the sector-wide</w:t>
      </w:r>
      <w:r>
        <w:t xml:space="preserve"> </w:t>
      </w:r>
      <w:r>
        <w:t xml:space="preserve">BNPL complaint surge—and in the well-powered designs it grows measurably</w:t>
      </w:r>
      <w:r>
        <w:t xml:space="preserve"> </w:t>
      </w:r>
      <w:r>
        <w:rPr>
          <w:i/>
          <w:iCs/>
        </w:rPr>
        <w:t xml:space="preserve">less</w:t>
      </w:r>
      <w:r>
        <w:t xml:space="preserve">. The</w:t>
      </w:r>
      <w:r>
        <w:t xml:space="preserve"> </w:t>
      </w:r>
      <w:r>
        <w:t xml:space="preserve">2025–26 BNPL complaint wave looks like a consequence of the sector’s growth and its regulatory</w:t>
      </w:r>
      <w:r>
        <w:t xml:space="preserve"> </w:t>
      </w:r>
      <w:r>
        <w:t xml:space="preserve">reclassification as credit, not of furnishing per se. A power analysis makes the null precise:</w:t>
      </w:r>
      <w:r>
        <w:t xml:space="preserve"> </w:t>
      </w:r>
      <w:r>
        <w:t xml:space="preserve">the within-firm and share-based designs could have detected a differential credit-reporting</w:t>
      </w:r>
      <w:r>
        <w:t xml:space="preserve"> </w:t>
      </w:r>
      <w:r>
        <w:t xml:space="preserve">increase of about a quarter and did not, while the five-firm count and triple-difference designs</w:t>
      </w:r>
      <w:r>
        <w:t xml:space="preserve"> </w:t>
      </w:r>
      <w:r>
        <w:t xml:space="preserve">are underpowered and honestly uninformative.</w:t>
      </w:r>
    </w:p>
    <w:p>
      <w:pPr>
        <w:pStyle w:val="BodyText"/>
      </w:pPr>
      <w:r>
        <w:t xml:space="preserve">We are explicit about the binding limitations, and they define the student’s pivotal</w:t>
      </w:r>
      <w:r>
        <w:t xml:space="preserve"> </w:t>
      </w:r>
      <w:r>
        <w:t xml:space="preserve">contribution. First, our treatment date is a single public reference (Affirm–Experian,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April 2025); the true experiment is</w:t>
      </w:r>
      <w:r>
        <w:t xml:space="preserve"> </w:t>
      </w:r>
      <w:r>
        <w:rPr>
          <w:i/>
          <w:iCs/>
        </w:rPr>
        <w:t xml:space="preserve">staggered</w:t>
      </w:r>
      <w:r>
        <w:t xml:space="preserve">, because each lender began furnishing</w:t>
      </w:r>
      <w:r>
        <w:t xml:space="preserve"> </w:t>
      </w:r>
      <w:r>
        <w:t xml:space="preserve">to each bureau at its own, currently undocumented, date. Hand-collecting those dates from press</w:t>
      </w:r>
      <w:r>
        <w:t xml:space="preserve"> </w:t>
      </w:r>
      <w:r>
        <w:t xml:space="preserve">releases, bureau announcements, and 10-K/10-Q risk factors converts the fragile single-date</w:t>
      </w:r>
      <w:r>
        <w:t xml:space="preserve"> </w:t>
      </w:r>
      <w:r>
        <w:t xml:space="preserve">proxy into a proper staggered difference-in-differences</w:t>
      </w:r>
      <w:r>
        <w:t xml:space="preserve"> </w:t>
      </w:r>
      <w:r>
        <w:t xml:space="preserve">,</w:t>
      </w:r>
      <w:r>
        <w:t xml:space="preserve"> </w:t>
      </w:r>
      <w:r>
        <w:t xml:space="preserve">which is what the underpowered five-firm designs need. Second, our outcome is the CFPB’s</w:t>
      </w:r>
      <w:r>
        <w:t xml:space="preserve"> </w:t>
      </w:r>
      <w:r>
        <w:rPr>
          <w:i/>
          <w:iCs/>
        </w:rPr>
        <w:t xml:space="preserve">product-code</w:t>
      </w:r>
      <w:r>
        <w:t xml:space="preserve"> </w:t>
      </w:r>
      <w:r>
        <w:t xml:space="preserve">definition of a credit-reporting complaint, which bundles genuine furnishing</w:t>
      </w:r>
      <w:r>
        <w:t xml:space="preserve"> </w:t>
      </w:r>
      <w:r>
        <w:t xml:space="preserve">errors with billing, refund, and fraud disputes mislabeled by product; because the public pull</w:t>
      </w:r>
      <w:r>
        <w:t xml:space="preserve"> </w:t>
      </w:r>
      <w:r>
        <w:t xml:space="preserve">carries no narratives, no classifier can separate them. Hand-labeling a gold set of complaint</w:t>
      </w:r>
      <w:r>
        <w:t xml:space="preserve"> </w:t>
      </w:r>
      <w:r>
        <w:t xml:space="preserve">narratives—coding whether each is truly about a wrong, duplicate, or inaccurate BNPL tradeline</w:t>
      </w:r>
      <w:r>
        <w:t xml:space="preserve"> </w:t>
      </w:r>
      <w:r>
        <w:t xml:space="preserve">being</w:t>
      </w:r>
      <w:r>
        <w:t xml:space="preserve"> </w:t>
      </w:r>
      <w:r>
        <w:rPr>
          <w:i/>
          <w:iCs/>
        </w:rPr>
        <w:t xml:space="preserve">reported</w:t>
      </w:r>
      <w:r>
        <w:t xml:space="preserve">—produces the ground truth to re-run the test on</w:t>
      </w:r>
      <w:r>
        <w:t xml:space="preserve"> </w:t>
      </w:r>
      <w:r>
        <w:rPr>
          <w:i/>
          <w:iCs/>
        </w:rPr>
        <w:t xml:space="preserve">genuine</w:t>
      </w:r>
      <w:r>
        <w:t xml:space="preserve"> </w:t>
      </w:r>
      <w:r>
        <w:t xml:space="preserve">furnishing-error complaints and to validate any machine classifier. That human-coded timing and</w:t>
      </w:r>
      <w:r>
        <w:t xml:space="preserve"> </w:t>
      </w:r>
      <w:r>
        <w:t xml:space="preserve">ground truth—which an automated pipeline cannot self-certify—is what would turn this honest,</w:t>
      </w:r>
      <w:r>
        <w:t xml:space="preserve"> </w:t>
      </w:r>
      <w:r>
        <w:t xml:space="preserve">observable-data null into a sharp, correctly-timed, correctly-measured test of whether BNPL</w:t>
      </w:r>
      <w:r>
        <w:t xml:space="preserve"> </w:t>
      </w:r>
      <w:r>
        <w:t xml:space="preserve">furnishing changed what lands on consumers’ credit files.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2, 193–208.</w:t>
      </w:r>
      <w:r>
        <w:t xml:space="preserve"> </w:t>
      </w:r>
      <w:r>
        <w:t xml:space="preserve">Begley, T.A., Purnanandam, A., 2021. Color</w:t>
      </w:r>
      <w:r>
        <w:t xml:space="preserve"> </w:t>
      </w:r>
      <w:r>
        <w:t xml:space="preserve">and credit: race, regulation, and the quality of financial services. Journal of Financial</w:t>
      </w:r>
      <w:r>
        <w:t xml:space="preserve"> </w:t>
      </w:r>
      <w:r>
        <w:t xml:space="preserve">Economics 141, 48–65.</w:t>
      </w:r>
      <w:r>
        <w:t xml:space="preserve"> </w:t>
      </w:r>
      <w:r>
        <w:t xml:space="preserve">Berg, T., Burg, V., Gombović, A., Puri, M., 2020. On the</w:t>
      </w:r>
      <w:r>
        <w:t xml:space="preserve"> </w:t>
      </w:r>
      <w:r>
        <w:t xml:space="preserve">rise of fintechs: credit scoring using digital footprints. Review of Financial Studies 33,</w:t>
      </w:r>
      <w:r>
        <w:t xml:space="preserve"> </w:t>
      </w:r>
      <w:r>
        <w:t xml:space="preserve">2845–2897.</w:t>
      </w:r>
      <w:r>
        <w:t xml:space="preserve"> </w:t>
      </w:r>
      <w:r>
        <w:t xml:space="preserve">Bertrand, M., Duflo, E., Mullainathan, S., 2004.</w:t>
      </w:r>
      <w:r>
        <w:t xml:space="preserve"> </w:t>
      </w:r>
      <w:r>
        <w:t xml:space="preserve">How much should we trust differences-in-differences estimates? Quarterly Journal of Economics</w:t>
      </w:r>
      <w:r>
        <w:t xml:space="preserve"> </w:t>
      </w:r>
      <w:r>
        <w:t xml:space="preserve">119, 249–275.</w:t>
      </w:r>
      <w:r>
        <w:t xml:space="preserve"> </w:t>
      </w:r>
      <w:r>
        <w:t xml:space="preserve">Callaway, B., Sant’Anna, P.H.C., 2021.</w:t>
      </w:r>
      <w:r>
        <w:t xml:space="preserve"> </w:t>
      </w:r>
      <w:r>
        <w:t xml:space="preserve">Difference-in-differences with multiple time periods. Journal of Econometrics 225, 200–230.</w:t>
      </w:r>
      <w:r>
        <w:t xml:space="preserve"> </w:t>
      </w:r>
      <w:r>
        <w:t xml:space="preserve">Cameron, A.C., Gelbach, J.B., Miller, D.L., 2008.</w:t>
      </w:r>
      <w:r>
        <w:t xml:space="preserve"> </w:t>
      </w:r>
      <w:r>
        <w:t xml:space="preserve">Bootstrap-based improvements for inference with clustered errors. Review of Economics and</w:t>
      </w:r>
      <w:r>
        <w:t xml:space="preserve"> </w:t>
      </w:r>
      <w:r>
        <w:t xml:space="preserve">Statistics 90, 414–427.</w:t>
      </w:r>
      <w:r>
        <w:t xml:space="preserve"> </w:t>
      </w:r>
      <w:r>
        <w:t xml:space="preserve">Consumer Financial Protection Bureau, 2022. Buy Now, Pay Later:</w:t>
      </w:r>
      <w:r>
        <w:t xml:space="preserve"> </w:t>
      </w:r>
      <w:r>
        <w:t xml:space="preserve">market trends and consumer impacts. CFPB Research Report (September).</w:t>
      </w:r>
      <w:r>
        <w:t xml:space="preserve"> </w:t>
      </w:r>
      <w:r>
        <w:t xml:space="preserve">Consumer Financial Protection Bureau, 2024. Use of digital user</w:t>
      </w:r>
      <w:r>
        <w:t xml:space="preserve"> </w:t>
      </w:r>
      <w:r>
        <w:t xml:space="preserve">accounts to access buy now, pay later loans (interpretive rule). 89 FR 47068.</w:t>
      </w:r>
      <w:r>
        <w:t xml:space="preserve"> </w:t>
      </w:r>
      <w:r>
        <w:t xml:space="preserve">Conley, T.G., Taber, C.R., 2011. Inference with</w:t>
      </w:r>
      <w:r>
        <w:t xml:space="preserve"> </w:t>
      </w:r>
      <w:r>
        <w:t xml:space="preserve">“difference in differences”</w:t>
      </w:r>
      <w:r>
        <w:t xml:space="preserve"> </w:t>
      </w:r>
      <w:r>
        <w:t xml:space="preserve">with a small number of policy changes. Review of Economics and</w:t>
      </w:r>
      <w:r>
        <w:t xml:space="preserve"> </w:t>
      </w:r>
      <w:r>
        <w:t xml:space="preserve">Statistics 93, 113–125.</w:t>
      </w:r>
      <w:r>
        <w:t xml:space="preserve"> </w:t>
      </w:r>
      <w:r>
        <w:t xml:space="preserve">di Maggio, M., Williams, E., Katz, J., 2022. Buy</w:t>
      </w:r>
      <w:r>
        <w:t xml:space="preserve"> </w:t>
      </w:r>
      <w:r>
        <w:t xml:space="preserve">now, pay later and financial fragility. NBER Working Paper 30508.</w:t>
      </w:r>
      <w:r>
        <w:t xml:space="preserve"> </w:t>
      </w:r>
      <w:r>
        <w:t xml:space="preserve">Goodman-Bacon, A., 2021.</w:t>
      </w:r>
      <w:r>
        <w:t xml:space="preserve"> </w:t>
      </w:r>
      <w:r>
        <w:t xml:space="preserve">Difference-in-differences with variation in treatment timing. Journal of Econometrics 225,</w:t>
      </w:r>
      <w:r>
        <w:t xml:space="preserve"> </w:t>
      </w:r>
      <w:r>
        <w:t xml:space="preserve">254–277.</w:t>
      </w:r>
      <w:r>
        <w:t xml:space="preserve"> </w:t>
      </w:r>
      <w:r>
        <w:t xml:space="preserve">Guttman-Kenney, B., Firth, C., Gathergood, J.,</w:t>
      </w:r>
      <w:r>
        <w:t xml:space="preserve"> </w:t>
      </w:r>
      <w:r>
        <w:t xml:space="preserve">2023. Buy now, pay later (BNPL) on your credit card. Journal of Behavioral and Experimental</w:t>
      </w:r>
      <w:r>
        <w:t xml:space="preserve"> </w:t>
      </w:r>
      <w:r>
        <w:t xml:space="preserve">Finance 37, 100788.</w:t>
      </w:r>
      <w:r>
        <w:t xml:space="preserve"> </w:t>
      </w:r>
      <w:r>
        <w:t xml:space="preserve">MacKinnon, J.G., Webb, M.D., 2017. Wild</w:t>
      </w:r>
      <w:r>
        <w:t xml:space="preserve"> </w:t>
      </w:r>
      <w:r>
        <w:t xml:space="preserve">bootstrap inference for wildly different cluster sizes. Journal of Applied Econometrics 32,</w:t>
      </w:r>
      <w:r>
        <w:t xml:space="preserve"> </w:t>
      </w:r>
      <w:r>
        <w:t xml:space="preserve">233–254.</w:t>
      </w:r>
      <w:r>
        <w:t xml:space="preserve"> </w:t>
      </w:r>
      <w:r>
        <w:t xml:space="preserve">Roth, J., 2022. Pretest with caution: event-study estimates after</w:t>
      </w:r>
      <w:r>
        <w:t xml:space="preserve"> </w:t>
      </w:r>
      <w:r>
        <w:t xml:space="preserve">testing for parallel trends. American Economic Review: Insights 4, 305–322.</w:t>
      </w:r>
      <w:r>
        <w:t xml:space="preserve"> </w:t>
      </w:r>
      <w:r>
        <w:t xml:space="preserve">Young, A., 2019. Channeling Fisher: randomization tests and the</w:t>
      </w:r>
      <w:r>
        <w:t xml:space="preserve"> </w:t>
      </w:r>
      <w:r>
        <w:t xml:space="preserve">statistical insignificance of seemingly significant experimental results. Quarterly Journal of</w:t>
      </w:r>
      <w:r>
        <w:t xml:space="preserve"> </w:t>
      </w:r>
      <w:r>
        <w:t xml:space="preserve">Economics 134, 557–598.</w:t>
      </w:r>
    </w:p>
    <w:bookmarkStart w:id="35" w:name="tab:sumstats"/>
    <w:p>
      <w:pPr>
        <w:pStyle w:val="TableCaption"/>
      </w:pPr>
      <w:r>
        <w:t xml:space="preserve">Sample composition: BNPL complaints by firm, 2022–2026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mposition: BNPL complaints by firm, 2022–2026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/mo. pre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/mo. 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 Apr 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2022-01–2026-06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2022-01–2026-06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2022-01–2026-06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2022-01–2026-06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2024-02–2026-06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BNPL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19,354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2022-01–2026-06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CFPB Consumer Complaint Database, five pure-play</w:t>
      </w:r>
      <w:r>
        <w:t xml:space="preserve"> </w:t>
      </w:r>
      <w:r>
        <w:t xml:space="preserve">BNPL lenders.</w:t>
      </w:r>
      <w:r>
        <w:t xml:space="preserve"> </w:t>
      </w:r>
      <w:r>
        <w:t xml:space="preserve">“CR share”</w:t>
      </w:r>
      <w:r>
        <w:t xml:space="preserve"> </w:t>
      </w:r>
      <w:r>
        <w:t xml:space="preserve">is the fraction of a firm’s complaints coded to a credit-reporting</w:t>
      </w:r>
      <w:r>
        <w:t xml:space="preserve"> </w:t>
      </w:r>
      <w:r>
        <w:t xml:space="preserve">product.</w:t>
      </w:r>
      <w:r>
        <w:t xml:space="preserve"> </w:t>
      </w:r>
      <w:r>
        <w:t xml:space="preserve">“/mo. pre”</w:t>
      </w:r>
      <w:r>
        <w:t xml:space="preserve"> </w:t>
      </w:r>
      <w:r>
        <w:t xml:space="preserve">and</w:t>
      </w:r>
      <w:r>
        <w:t xml:space="preserve"> </w:t>
      </w:r>
      <w:r>
        <w:t xml:space="preserve">“/mo. post”</w:t>
      </w:r>
      <w:r>
        <w:t xml:space="preserve"> </w:t>
      </w:r>
      <w:r>
        <w:t xml:space="preserve">are average complaints per month before and after the</w:t>
      </w:r>
      <w:r>
        <w:t xml:space="preserve"> </w:t>
      </w:r>
      <w:r>
        <w:t xml:space="preserve">April-2025 Affirm–Experian furnishing reference date. Only Affirm has a confirmed 2025</w:t>
      </w:r>
      <w:r>
        <w:t xml:space="preserve"> </w:t>
      </w:r>
      <w:r>
        <w:t xml:space="preserve">furnishing start; peer furnishing dates are the student’s hand-collection task.</w:t>
      </w:r>
    </w:p>
    <w:bookmarkStart w:id="36" w:name="tab:comp"/>
    <w:p>
      <w:pPr>
        <w:pStyle w:val="TableCaption"/>
      </w:pPr>
      <w:r>
        <w:t xml:space="preserve">Affirm complaint composition surged across all products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ffirm complaint composition surged across all produc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Affirm complaint product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 (/mo)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 (/mo)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reporting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collection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loan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 account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transfer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Monthly-average Affirm complaints, pre vs. post</w:t>
      </w:r>
      <w:r>
        <w:t xml:space="preserve"> </w:t>
      </w:r>
      <w:r>
        <w:t xml:space="preserve">April 2025, by CFPB product. Credit reporting grew the least in proportional terms.</w:t>
      </w:r>
    </w:p>
    <w:bookmarkStart w:id="37" w:name="tab:firm"/>
    <w:p>
      <w:pPr>
        <w:pStyle w:val="TableCaption"/>
      </w:pPr>
      <w:r>
        <w:t xml:space="preserve">Credit-reporting complaint growth by firm: the furnisher is not special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dit-reporting complaint growth by firm: the furnisher is not special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BNPL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Furnishing?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 pre (/mo)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 post (/mo)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(Apr 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Monthly-average credit-reporting complaints, pre</w:t>
      </w:r>
      <w:r>
        <w:t xml:space="preserve"> </w:t>
      </w:r>
      <w:r>
        <w:t xml:space="preserve">vs. post April 2025, by firm. Only Affirm has a confirmed 2025 furnishing start; peer</w:t>
      </w:r>
      <w:r>
        <w:t xml:space="preserve"> </w:t>
      </w:r>
      <w:r>
        <w:t xml:space="preserve">furnishing dates are a hand-collection task.</w:t>
      </w:r>
    </w:p>
    <w:bookmarkStart w:id="38" w:name="tab:did"/>
    <w:p>
      <w:pPr>
        <w:pStyle w:val="TableCaption"/>
      </w:pPr>
      <w:r>
        <w:t xml:space="preserve">Difference-in-differences: no furnishing-specific effect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fference-in-differences: no furnishing-specific effec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 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within-Affirm: CR vs other, log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-0.3027***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(-3.63)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cross-firm: Affirm vs peers, log CR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(-0.76)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(B) excl. Klarna (tiny base)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</w:t>
            </w:r>
          </w:p>
        </w:tc>
      </w:tr>
    </w:tbl>
    <w:bookmarkEnd w:id="3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(A) within-Affirm, DV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nor/>
            <m:sty m:val="p"/>
          </m:rPr>
          <m:t>count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treated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credit-reporting complaints, month FE, HC1 SE. (B),(C) cross-firm, DV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nor/>
            <m:sty m:val="p"/>
          </m:rPr>
          <m:t>credit-reporting count</m:t>
        </m:r>
        <m:r>
          <m:rPr>
            <m:sty m:val="p"/>
          </m:rPr>
          <m:t>)</m:t>
        </m:r>
      </m:oMath>
      <w:r>
        <w:t xml:space="preserve">, treated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Affirm, firm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month FE, SE clustered by firm.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9" w:name="tab:hetero"/>
    <w:p>
      <w:pPr>
        <w:pStyle w:val="TableCaption"/>
      </w:pPr>
      <w:r>
        <w:t xml:space="preserve">Per-firm within-firm furnishing DiD: no lender shows a positive credit-reporting effect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firm within-firm furnishing DiD: no lender shows a positive credit-reporting effec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Furnished?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 complaints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-0.3027***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(-3.63)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-0.1679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-1.3683***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(-7.17)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</w:tbl>
    <w:bookmarkEnd w:id="3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Equation </w:t>
      </w:r>
      <w:hyperlink w:anchor="eq:within">
        <w:r>
          <w:rPr>
            <w:rStyle w:val="Hyperlink"/>
          </w:rPr>
          <w:t xml:space="preserve">[eq:within]</w:t>
        </w:r>
      </w:hyperlink>
      <w:r>
        <w:t xml:space="preserve"> </w:t>
      </w:r>
      <w:r>
        <w:t xml:space="preserve">estimated separately</w:t>
      </w:r>
      <w:r>
        <w:t xml:space="preserve"> </w:t>
      </w:r>
      <w:r>
        <w:t xml:space="preserve">for each firm using the common April-2025 reference date as a generalization/placebo split</w:t>
      </w:r>
      <w:r>
        <w:t xml:space="preserve"> </w:t>
      </w:r>
      <w:r>
        <w:t xml:space="preserve">(true per-firm furnishing dates are the student’s task). DV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nor/>
            <m:sty m:val="p"/>
          </m:rPr>
          <m:t>count</m:t>
        </m:r>
        <m:r>
          <m:rPr>
            <m:sty m:val="p"/>
          </m:rPr>
          <m:t>)</m:t>
        </m:r>
      </m:oMath>
      <w:r>
        <w:t xml:space="preserve">; CR</w:t>
      </w:r>
      <m:oMath>
        <m:r>
          <m:rPr>
            <m:sty m:val="p"/>
          </m:rPr>
          <m:t>×</m:t>
        </m:r>
      </m:oMath>
      <w:r>
        <w:t xml:space="preserve">post</w:t>
      </w:r>
      <w:r>
        <w:t xml:space="preserve"> </w:t>
      </w:r>
      <w:r>
        <w:t xml:space="preserve">is the within-firm credit-reporting DiD; month FE, HC1 SE. Only Affirm actually furnished; no</w:t>
      </w:r>
      <w:r>
        <w:t xml:space="preserve"> </w:t>
      </w:r>
      <w:r>
        <w:t xml:space="preserve">firm has a positive, significant coefficient. Zip’s estimate rests on 13 credit-reporting</w:t>
      </w:r>
      <w:r>
        <w:t xml:space="preserve"> </w:t>
      </w:r>
      <w:r>
        <w:t xml:space="preserve">complaints and is not interpretable.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0" w:name="tab:tripleD"/>
    <w:p>
      <w:pPr>
        <w:pStyle w:val="TableCaption"/>
      </w:pPr>
      <w:r>
        <w:t xml:space="preserve">Triple-difference: (Affirm vs. peers)</w:t>
      </w:r>
      <m:oMath>
        <m:r>
          <m:rPr>
            <m:sty m:val="p"/>
          </m:rPr>
          <m:t>×</m:t>
        </m:r>
      </m:oMath>
      <w:r>
        <w:t xml:space="preserve">(CR vs. other)</w:t>
      </w:r>
      <m:oMath>
        <m:r>
          <m:rPr>
            <m:sty m:val="p"/>
          </m:rPr>
          <m:t>×</m:t>
        </m:r>
      </m:oMath>
      <w:r>
        <w:t xml:space="preserve">post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ple-difference: (Affirm vs. peers)\times(CR vs. other)\timespos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Triple diff. 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5 firms, event Apr-2025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Excl. Klarna (tiny CR base)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(+0.46)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Alt. event Feb-2025 (TransUnion)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540</w:t>
            </w:r>
          </w:p>
        </w:tc>
      </w:tr>
    </w:tbl>
    <w:bookmarkEnd w:id="4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Equation </w:t>
      </w:r>
      <w:hyperlink w:anchor="eq:ddd">
        <w:r>
          <w:rPr>
            <w:rStyle w:val="Hyperlink"/>
          </w:rPr>
          <w:t xml:space="preserve">[eq:ddd]</w:t>
        </w:r>
      </w:hyperlink>
      <w:r>
        <w:t xml:space="preserve"> </w:t>
      </w:r>
      <w:r>
        <w:t xml:space="preserve">on the</w:t>
      </w:r>
      <w:r>
        <w:t xml:space="preserve"> </w:t>
      </w:r>
      <w:r>
        <w:t xml:space="preserve">firm</w:t>
      </w:r>
      <m:oMath>
        <m:r>
          <m:rPr>
            <m:sty m:val="p"/>
          </m:rPr>
          <m:t>×</m:t>
        </m:r>
      </m:oMath>
      <w:r>
        <w:t xml:space="preserve">category</w:t>
      </w:r>
      <m:oMath>
        <m:r>
          <m:rPr>
            <m:sty m:val="p"/>
          </m:rPr>
          <m:t>×</m:t>
        </m:r>
      </m:oMath>
      <w:r>
        <w:t xml:space="preserve">month panel of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nor/>
            <m:sty m:val="p"/>
          </m:rPr>
          <m:t>count</m:t>
        </m:r>
        <m:r>
          <m:rPr>
            <m:sty m:val="p"/>
          </m:rPr>
          <m:t>)</m:t>
        </m:r>
      </m:oMath>
      <w:r>
        <w:t xml:space="preserve">; firm</w:t>
      </w:r>
      <m:oMath>
        <m:r>
          <m:rPr>
            <m:sty m:val="p"/>
          </m:rPr>
          <m:t>×</m:t>
        </m:r>
      </m:oMath>
      <w:r>
        <w:t xml:space="preserve">category and month</w:t>
      </w:r>
      <w:r>
        <w:t xml:space="preserve"> </w:t>
      </w:r>
      <w:r>
        <w:t xml:space="preserve">FE; SE clustered by firm (five clusters).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t xml:space="preserve">is the furnisher-specific,</w:t>
      </w:r>
      <w:r>
        <w:t xml:space="preserve"> </w:t>
      </w:r>
      <w:r>
        <w:t xml:space="preserve">credit-reporting-specific, post-furnishing effect that H1 predicts to be positive. All</w:t>
      </w:r>
      <w:r>
        <w:t xml:space="preserve"> </w:t>
      </w:r>
      <w:r>
        <w:t xml:space="preserve">specifications are insignificant; 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shows the design is underpowered.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1" w:name="tab:robust"/>
    <w:p>
      <w:pPr>
        <w:pStyle w:val="TableCaption"/>
      </w:pPr>
      <w:r>
        <w:t xml:space="preserve">Robustness of the within-Affirm credit-reporting DiD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 of the within-Affirm credit-reporting Di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Within-Affirm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Baseline: event Apr-2025, OLS log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-0.3027***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(-3.63)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Poisson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-0.4439***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(-13.44)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Feb-2025 (TransUnion)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-0.1861*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Jun-2025 (2-mo. lag)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-0.3777***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12-mo. 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-0.4643***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9-mo. 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-0.4200***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(-3.94)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6-mo. 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-0.3091***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2022 (start 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-0.4062***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Furnishing-plausible CFPB issues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-0.2715***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</w:tr>
    </w:tbl>
    <w:bookmarkEnd w:id="4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nor/>
            <m:sty m:val="p"/>
          </m:rPr>
          <m:t>count</m:t>
        </m:r>
        <m:r>
          <m:rPr>
            <m:sty m:val="p"/>
          </m:rPr>
          <m:t>)</m:t>
        </m:r>
      </m:oMath>
      <w:r>
        <w:t xml:space="preserve"> </w:t>
      </w:r>
      <w:r>
        <w:t xml:space="preserve">(Poisson row uses the</w:t>
      </w:r>
      <w:r>
        <w:t xml:space="preserve"> </w:t>
      </w:r>
      <w:r>
        <w:t xml:space="preserve">count level); treated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credit-reporting complaints; month FE; HC1 SE. Event dates, symmetric</w:t>
      </w:r>
      <w:r>
        <w:t xml:space="preserve"> </w:t>
      </w:r>
      <w:r>
        <w:t xml:space="preserve">windows, estimator, sample start, and the furnishing-plausible CFPB-issue subset are varied. The</w:t>
      </w:r>
      <w:r>
        <w:t xml:space="preserve"> </w:t>
      </w:r>
      <w:r>
        <w:t xml:space="preserve">coefficient is negative throughout—the opposite of H1. The furnishing-plausible subset uses</w:t>
      </w:r>
      <w:r>
        <w:t xml:space="preserve"> </w:t>
      </w:r>
      <w:r>
        <w:t xml:space="preserve">observable CFPB issue labels,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student’s hand-coded genuine-error gold set.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2" w:name="tab:ri"/>
    <w:p>
      <w:pPr>
        <w:pStyle w:val="TableCaption"/>
      </w:pPr>
      <w:r>
        <w:t xml:space="preserve">Design-based inference: firm permutation and placebo-in-time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ign-based inference: firm permutation and placebo-in-tim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 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Null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Null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draws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Design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Within-Affirm CR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 (placebo-in-time)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[+0.2415, +0.3568]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Cross-firm treat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 (firm permutation)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[-1.3178, +1.0258]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0.800</w:t>
            </w:r>
          </w:p>
        </w:tc>
      </w:tr>
    </w:tbl>
    <w:bookmarkEnd w:id="4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“Null mean”</w:t>
      </w:r>
      <w:r>
        <w:t xml:space="preserve"> </w:t>
      </w:r>
      <w:r>
        <w:t xml:space="preserve">and</w:t>
      </w:r>
      <w:r>
        <w:t xml:space="preserve"> </w:t>
      </w:r>
      <w:r>
        <w:t xml:space="preserve">“Null range”</w:t>
      </w:r>
      <w:r>
        <w:t xml:space="preserve"> </w:t>
      </w:r>
      <w:r>
        <w:t xml:space="preserve">summarize the</w:t>
      </w:r>
      <w:r>
        <w:t xml:space="preserve"> </w:t>
      </w:r>
      <w:r>
        <w:t xml:space="preserve">reference distribution.</w:t>
      </w:r>
      <w:r>
        <w:t xml:space="preserve"> </w:t>
      </w:r>
      <w:r>
        <w:rPr>
          <w:i/>
          <w:iCs/>
        </w:rPr>
        <w:t xml:space="preserve">Firm permutation</w:t>
      </w:r>
      <w:r>
        <w:t xml:space="preserve"> </w:t>
      </w:r>
      <w:r>
        <w:t xml:space="preserve">(upper row): the</w:t>
      </w:r>
      <w:r>
        <w:t xml:space="preserve"> </w:t>
      </w:r>
      <w:r>
        <w:t xml:space="preserve">“furnisher”</w:t>
      </w:r>
      <w:r>
        <w:t xml:space="preserve"> </w:t>
      </w:r>
      <w:r>
        <w:t xml:space="preserve">label is</w:t>
      </w:r>
      <w:r>
        <w:t xml:space="preserve"> </w:t>
      </w:r>
      <w:r>
        <w:t xml:space="preserve">re-assigned to each of the five firms; the design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share of the five coefficients with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coef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nor/>
            <m:sty m:val="p"/>
          </m:rPr>
          <m:t>Affirm</m:t>
        </m:r>
        <m:r>
          <m:rPr>
            <m:sty m:val="p"/>
          </m:rPr>
          <m:t>|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=</m:t>
        </m:r>
        <m:r>
          <m:t>0.80</m:t>
        </m:r>
      </m:oMath>
      <w:r>
        <w:t xml:space="preserve">: Affirm is unremarkable).</w:t>
      </w:r>
      <w:r>
        <w:t xml:space="preserve"> </w:t>
      </w:r>
      <w:r>
        <w:rPr>
          <w:i/>
          <w:iCs/>
        </w:rPr>
        <w:t xml:space="preserve">Placebo-in-time</w:t>
      </w:r>
      <w:r>
        <w:t xml:space="preserve"> </w:t>
      </w:r>
      <w:r>
        <w:t xml:space="preserve">(lower row): 22 interior fake furnishing months are drawn from pre-event data only (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2025-03); the null mean is</w:t>
      </w:r>
      <w:r>
        <w:t xml:space="preserve"> </w:t>
      </w:r>
      <m:oMath>
        <m:r>
          <m:rPr>
            <m:sty m:val="p"/>
          </m:rPr>
          <m:t>+</m:t>
        </m:r>
        <m:r>
          <m:t>0.30</m:t>
        </m:r>
      </m:oMath>
      <w:r>
        <w:t xml:space="preserve"> </w:t>
      </w:r>
      <w:r>
        <w:t xml:space="preserve">and every placebo is positive—Affirm’s credit-reporting</w:t>
      </w:r>
      <w:r>
        <w:t xml:space="preserve"> </w:t>
      </w:r>
      <w:r>
        <w:t xml:space="preserve">series was</w:t>
      </w:r>
      <w:r>
        <w:t xml:space="preserve"> </w:t>
      </w:r>
      <w:r>
        <w:rPr>
          <w:i/>
          <w:iCs/>
        </w:rPr>
        <w:t xml:space="preserve">rising</w:t>
      </w:r>
      <w:r>
        <w:t xml:space="preserve"> </w:t>
      </w:r>
      <w:r>
        <w:t xml:space="preserve">relative to other complaints before furnishing. The design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share of placebos at least as low as the true estimate; it is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because the true estimate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0.30</m:t>
        </m:r>
      </m:oMath>
      <w:r>
        <w:t xml:space="preserve">) lies below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22 placebos—a reversal of a rising series, the opposite of a</w:t>
      </w:r>
      <w:r>
        <w:t xml:space="preserve"> </w:t>
      </w:r>
      <w:r>
        <w:t xml:space="preserve">positive furnishing spike, not evidence for one (Figure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43" w:name="tab:power"/>
    <w:p>
      <w:pPr>
        <w:pStyle w:val="TableCaption"/>
      </w:pPr>
      <w:r>
        <w:t xml:space="preserve">Minimum detectable effects at 80% power: informative vs. underpowered nulls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at 80% power: informative vs. underpowered null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 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MDE 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Within-Affirm, log CR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 differential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Cross-firm, CR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-0.0813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 of mean CR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Cross-firm, log CR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238% differential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Triple-difference (DDD)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174% differential growth</w:t>
            </w:r>
          </w:p>
        </w:tc>
      </w:tr>
    </w:tbl>
    <w:bookmarkEnd w:id="4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SE. For log-count designs the MDE magnitude is the detectable differential</w:t>
      </w:r>
      <w:r>
        <w:t xml:space="preserve"> </w:t>
      </w:r>
      <w:r>
        <w:t xml:space="preserve">growth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nor/>
            <m:sty m:val="p"/>
          </m:rPr>
          <m:t>MDE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; for the share design it is a share of the mean credit-reporting</w:t>
      </w:r>
      <w:r>
        <w:t xml:space="preserve"> </w:t>
      </w:r>
      <w:r>
        <w:t xml:space="preserve">share (</w:t>
      </w:r>
      <m:oMath>
        <m:r>
          <m:t>0.32</m:t>
        </m:r>
      </m:oMath>
      <w:r>
        <w:t xml:space="preserve">). The within-Affirm and cross-firm-share designs are well powered (</w:t>
      </w:r>
      <m:oMath>
        <m:r>
          <m:rPr>
            <m:sty m:val="p"/>
          </m:rPr>
          <m:t>≈</m:t>
        </m:r>
      </m:oMath>
      <w:r>
        <w:t xml:space="preserve">26%)</w:t>
      </w:r>
      <w:r>
        <w:t xml:space="preserve"> </w:t>
      </w:r>
      <w:r>
        <w:t xml:space="preserve">and reject H1’s positive spike; the five-firm cross-firm-count and triple-difference designs</w:t>
      </w:r>
      <w:r>
        <w:t xml:space="preserve"> </w:t>
      </w:r>
      <w:r>
        <w:t xml:space="preserve">have MDEs above 170% and are underpowered.</w:t>
      </w:r>
    </w:p>
    <w:bookmarkStart w:id="47" w:name="fig:series"/>
    <w:p>
      <w:pPr>
        <w:pStyle w:val="CaptionedFigure"/>
      </w:pPr>
      <w:r>
        <w:drawing>
          <wp:inline>
            <wp:extent cx="4533900" cy="270458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1_affirm_vs_peers.pd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0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credit-reporting complaints: Affirm (furnisher) vs. the peer BNPL average.</w:t>
      </w:r>
      <w:r>
        <w:t xml:space="preserve"> </w:t>
      </w:r>
      <w:r>
        <w:t xml:space="preserve">They rise together; there is no discontinuity at the April-2025 furnishing date.</w:t>
      </w:r>
    </w:p>
    <w:bookmarkEnd w:id="47"/>
    <w:bookmarkStart w:id="51" w:name="fig:comp"/>
    <w:p>
      <w:pPr>
        <w:pStyle w:val="CaptionedFigure"/>
      </w:pPr>
      <w:r>
        <w:drawing>
          <wp:inline>
            <wp:extent cx="4267200" cy="267163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2_composition.pdf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7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Affirm complaints per month, pre vs. post April 2025, by product. Every category</w:t>
      </w:r>
      <w:r>
        <w:t xml:space="preserve"> </w:t>
      </w:r>
      <w:r>
        <w:t xml:space="preserve">surged; credit reporting is not the one that exploded.</w:t>
      </w:r>
    </w:p>
    <w:bookmarkEnd w:id="51"/>
    <w:bookmarkStart w:id="55" w:name="fig:ri"/>
    <w:p>
      <w:pPr>
        <w:pStyle w:val="CaptionedFigure"/>
      </w:pPr>
      <w:r>
        <w:drawing>
          <wp:inline>
            <wp:extent cx="3840480" cy="230124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3_randinf.pdf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Placebo-in-time inference for the within-Affirm credit-reporting DiD. Histogram: the</w:t>
      </w:r>
      <w:r>
        <w:t xml:space="preserve"> </w:t>
      </w:r>
      <w:r>
        <w:t xml:space="preserve">distribution of the DiD coefficient under 22 fake furnishing dates drawn from the pre-event</w:t>
      </w:r>
      <w:r>
        <w:t xml:space="preserve"> </w:t>
      </w:r>
      <w:r>
        <w:t xml:space="preserve">period. Every placebo is positive (a rising credit-reporting pre-trend); the true furnishing-date</w:t>
      </w:r>
      <w:r>
        <w:t xml:space="preserve"> </w:t>
      </w:r>
      <w:r>
        <w:t xml:space="preserve">estimate (red line,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) lies below all of them—the furnishing date marks a reversal of an</w:t>
      </w:r>
      <w:r>
        <w:t xml:space="preserve"> </w:t>
      </w:r>
      <w:r>
        <w:t xml:space="preserve">already-rising series, not a positive dispute spike.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Damodaran: ASSIP 2026, George Mason</w:t>
      </w:r>
      <w:r>
        <w:t xml:space="preserve"> </w:t>
      </w:r>
      <w:r>
        <w:t xml:space="preserve">University. Gao (corresponding author): Costello College of Business, George Mason</w:t>
      </w:r>
      <w:r>
        <w:t xml:space="preserve"> </w:t>
      </w:r>
      <w:r>
        <w:t xml:space="preserve">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</w:t>
      </w:r>
      <w:r>
        <w:t xml:space="preserve"> </w:t>
      </w:r>
      <w:r>
        <w:t xml:space="preserve">ASSIP 2026 Empirical Finance research group. All data are from the public CFPB Consumer</w:t>
      </w:r>
      <w:r>
        <w:t xml:space="preserve"> </w:t>
      </w:r>
      <w:r>
        <w:t xml:space="preserve">Complaint Database; every number in the paper traces to a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</w:t>
      </w:r>
      <w:r>
        <w:t xml:space="preserve"> </w:t>
      </w:r>
      <w:r>
        <w:t xml:space="preserve">is reproduced 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(</w:t>
      </w:r>
      <w:r>
        <w:rPr>
          <w:rStyle w:val="VerbatimChar"/>
        </w:rPr>
        <w:t xml:space="preserve">10_did.py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15_analysis.py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20_extensions.py</w:t>
      </w:r>
      <w:r>
        <w:t xml:space="preserve">). We thank the ASSIP 2026 cohort for comments. Any errors are our</w:t>
      </w:r>
      <w:r>
        <w:t xml:space="preserve"> </w:t>
      </w:r>
      <w:r>
        <w:t xml:space="preserve">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df" /><Relationship Type="http://schemas.openxmlformats.org/officeDocument/2006/relationships/image" Id="rId48" Target="media/rId48.pdf" /><Relationship Type="http://schemas.openxmlformats.org/officeDocument/2006/relationships/image" Id="rId52" Target="media/rId52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 Buy-Now-Pay-Later Entering the Credit File Flood the Bureaus? Difference-in-Differences Evidence Against the Furnishing-Dispute Hypothesis</dc:title>
  <dc:creator>Rakshana Damodaran; Lei Gao</dc:creator>
  <cp:keywords/>
  <dcterms:created xsi:type="dcterms:W3CDTF">2026-07-25T07:11:24Z</dcterms:created>
  <dcterms:modified xsi:type="dcterms:W3CDTF">2026-07-25T07:11:24Z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For most of their history, buy-now-pay-later (BNPL) loans were invisible to the credit bureaus . In 2025 major BNPL lenders began furnishing loan histories to the bureaus, and consumer advocates warned that a wave of credit-report disputes would follow . We test this using 19,354 complaints filed against five pure-play BNPL lenders in the CFPB Consumer Complaint Database (2022–2026). Affirm, the first confirmed major furnisher (to Experian, \simApril 2025), is our treated firm. We find no evidence of a furnishing-specific complaint spike. Credit-reporting complaints against Affirm did rise (\times 2.7), but they rose less than its other complaints (debt collection \times 5.1, personal loan \times 5.8), so the credit-reporting share fell (within-firm DiD =-0.30, t=-3.6). The null is not a single specification. A per-firm generalization shows no BNPL lender—furnisher or not—has a positive credit-reporting DiD, and a triple-difference (Affirm vs. peers)\times(credit reporting vs. other)\timespost is an insignificant +0.04 (t=0.11). Under a firm-label permutation Affirm’s cross-firm coefficient is unremarkable (design-based p=0.80), and a placebo-in-time analysis shows the within-Affirm credit-reporting series was rising relative to other complaints before furnishing and reversed at the event—the opposite of the predicted spike. Two design-based additions push past a bare “we found nothing.” First, we confront the few-cluster problem (five firms) directly with permutation and placebo-in-time inference rather than lean on cluster-robust asymptotics . Second, a minimum-detectable-effect analysis separates the informative null—the within-Affirm design (108 month\timescategory cells, not a few-cluster object) could have detected a differential credit-reporting increase of \approx26% and instead finds a decrease, robust across every specification and conservative against an upward pre-trend—from the genuinely underpowered five-firm count designs, whose wide bounds are exactly what the student’s hand-collected staggered furnishing dates are built to resolve. JEL: G51, G28, D18, G23. Keywords: buy now pay later, credit reporting, furnishing, consumer complaints, difference-in-differences, randomization inference, statistical power.</vt:lpwstr>
  </property>
  <property fmtid="{D5CDD505-2E9C-101B-9397-08002B2CF9AE}" pid="3" name="date">
    <vt:lpwstr>July 2026</vt:lpwstr>
  </property>
</Properties>
</file>