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4.pdf" ContentType="application/pdf"/>
  <Override PartName="/word/media/rId50.pdf" ContentType="application/pdf"/>
  <Override PartName="/word/media/rId46.pdf" ContentType="application/pdf"/>
  <Override PartName="/word/media/rId42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Did ChatGPT Reprice AI-Exposed Labor?</w:t>
      </w:r>
      <w:r>
        <w:br/>
      </w:r>
      <w:r>
        <w:rPr>
          <w:b/>
          <w:bCs/>
        </w:rPr>
        <w:t xml:space="preserve">Abnormal Returns, Substitution, and Complementarity Around the Generative-AI Shock</w:t>
      </w:r>
    </w:p>
    <w:p>
      <w:pPr>
        <w:pStyle w:val="Author"/>
      </w:pPr>
      <w:r>
        <w:t xml:space="preserve">Nam Bao Ngo</w:t>
      </w:r>
      <w:r>
        <w:rPr>
          <w:rStyle w:val="FootnoteReference"/>
        </w:rPr>
        <w:footnoteReference w:id="9"/>
      </w:r>
    </w:p>
    <w:p>
      <w:pPr>
        <w:pStyle w:val="Author"/>
      </w:pPr>
      <w:r>
        <w:t xml:space="preserve">Lei Gao</w:t>
      </w:r>
      <w:r>
        <w:rPr>
          <w:rStyle w:val="FootnoteReference"/>
        </w:rPr>
        <w:footnoteReference w:id="10"/>
      </w:r>
    </w:p>
    <w:p>
      <w:pPr>
        <w:pStyle w:val="Date"/>
      </w:pPr>
      <w:r>
        <w:t xml:space="preserve">July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ask whether the U.S. stock market repriced firms according to their</w:t>
      </w:r>
      <w:r>
        <w:t xml:space="preserve"> </w:t>
      </w:r>
      <w:r>
        <w:t xml:space="preserve">exposure to generative artificial intelligence around ChatGPT’s release</w:t>
      </w:r>
      <w:r>
        <w:t xml:space="preserve"> </w:t>
      </w:r>
      <w:r>
        <w:t xml:space="preserve">(November 30, 2022) and GPT-4 (March 14, 2023). Using market-model cumulative</w:t>
      </w:r>
      <w:r>
        <w:t xml:space="preserve"> </w:t>
      </w:r>
      <w:r>
        <w:t xml:space="preserve">abnormal returns (CARs) for 3</w:t>
      </w:r>
      <w:r>
        <w:t xml:space="preserve">,</w:t>
      </w:r>
      <w:r>
        <w:t xml:space="preserve">056 firms and the Felten–Raj–Seamans AI Industry</w:t>
      </w:r>
      <w:r>
        <w:t xml:space="preserve"> </w:t>
      </w:r>
      <w:r>
        <w:t xml:space="preserve">Exposure (AIIE) index mapped to firms by 4-digit NAICS, we find that AI exposure was</w:t>
      </w:r>
      <w:r>
        <w:t xml:space="preserve"> </w:t>
      </w:r>
      <w:r>
        <w:t xml:space="preserve">priced—and that its</w:t>
      </w:r>
      <w:r>
        <w:t xml:space="preserve"> </w:t>
      </w:r>
      <w:r>
        <w:rPr>
          <w:i/>
          <w:iCs/>
        </w:rPr>
        <w:t xml:space="preserve">sign</w:t>
      </w:r>
      <w:r>
        <w:t xml:space="preserve"> </w:t>
      </w:r>
      <w:r>
        <w:t xml:space="preserve">depends on whether AI substitutes for or complements</w:t>
      </w:r>
      <w:r>
        <w:t xml:space="preserve"> </w:t>
      </w:r>
      <w:r>
        <w:t xml:space="preserve">a firm’s labor. An equal-weighted portfolio long the most and short the least</w:t>
      </w:r>
      <w:r>
        <w:t xml:space="preserve"> </w:t>
      </w:r>
      <w:r>
        <w:t xml:space="preserve">AI-exposed industries earned</w:t>
      </w:r>
      <w:r>
        <w:t xml:space="preserve"> </w:t>
      </w:r>
      <m:oMath>
        <m:r>
          <m:rPr>
            <m:sty m:val="p"/>
          </m:rPr>
          <m:t>+</m:t>
        </m:r>
        <m:r>
          <m:t>1.3</m:t>
        </m:r>
        <m:r>
          <m:rPr>
            <m:sty m:val="p"/>
          </m:rPr>
          <m:t>%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3.96</m:t>
        </m:r>
      </m:oMath>
      <w:r>
        <w:t xml:space="preserve">) and</w:t>
      </w:r>
      <w:r>
        <w:t xml:space="preserve"> </w:t>
      </w:r>
      <m:oMath>
        <m:r>
          <m:rPr>
            <m:sty m:val="p"/>
          </m:rPr>
          <m:t>+</m:t>
        </m:r>
        <m:r>
          <m:t>2.7</m:t>
        </m:r>
        <m:r>
          <m:rPr>
            <m:sty m:val="p"/>
          </m:rPr>
          <m:t>%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3.46</m:t>
        </m:r>
      </m:oMath>
      <w:r>
        <w:t xml:space="preserve">) around ChatGPT; in the cross-section a one-standard-deviation</w:t>
      </w:r>
      <w:r>
        <w:t xml:space="preserve"> </w:t>
      </w:r>
      <w:r>
        <w:t xml:space="preserve">increase in AIIE is associated with a</w:t>
      </w:r>
      <w:r>
        <w:t xml:space="preserve"> </w:t>
      </w:r>
      <m:oMath>
        <m:r>
          <m:rPr>
            <m:sty m:val="p"/>
          </m:rPr>
          <m:t>+</m:t>
        </m:r>
        <m:r>
          <m:t>0.71</m:t>
        </m:r>
      </m:oMath>
      <w:r>
        <w:t xml:space="preserve">pp ten-day CAR (</w:t>
      </w:r>
      <m:oMath>
        <m:r>
          <m:t>t</m:t>
        </m:r>
        <m:r>
          <m:rPr>
            <m:sty m:val="p"/>
          </m:rPr>
          <m:t>=</m:t>
        </m:r>
        <m:r>
          <m:t>2.49</m:t>
        </m:r>
      </m:oMath>
      <w:r>
        <w:t xml:space="preserve">, industry-clustered),</w:t>
      </w:r>
      <w:r>
        <w:t xml:space="preserve"> </w:t>
      </w:r>
      <w:r>
        <w:t xml:space="preserve">rising to</w:t>
      </w:r>
      <w:r>
        <w:t xml:space="preserve"> </w:t>
      </w:r>
      <m:oMath>
        <m:r>
          <m:rPr>
            <m:sty m:val="p"/>
          </m:rPr>
          <m:t>+</m:t>
        </m:r>
        <m:r>
          <m:t>0.97</m:t>
        </m:r>
      </m:oMath>
      <w:r>
        <w:t xml:space="preserve">pp (</w:t>
      </w:r>
      <m:oMath>
        <m:r>
          <m:t>t</m:t>
        </m:r>
        <m:r>
          <m:rPr>
            <m:sty m:val="p"/>
          </m:rPr>
          <m:t>=</m:t>
        </m:r>
        <m:r>
          <m:t>3.39</m:t>
        </m:r>
      </m:oMath>
      <w:r>
        <w:t xml:space="preserve">) among non-financials, with a clean null in the</w:t>
      </w:r>
      <w:r>
        <w:t xml:space="preserve"> </w:t>
      </w:r>
      <w:r>
        <w:t xml:space="preserve">pre-event placebo window. But the average masks a sign reversal: AI-</w:t>
      </w:r>
      <w:r>
        <w:rPr>
          <w:i/>
          <w:iCs/>
        </w:rPr>
        <w:t xml:space="preserve">supplier</w:t>
      </w:r>
      <w:r>
        <w:t xml:space="preserve"> </w:t>
      </w:r>
      <w:r>
        <w:t xml:space="preserve">industries (software, semiconductors, cloud) earned</w:t>
      </w:r>
      <w:r>
        <w:t xml:space="preserve"> </w:t>
      </w:r>
      <m:oMath>
        <m:r>
          <m:rPr>
            <m:sty m:val="p"/>
          </m:rPr>
          <m:t>+</m:t>
        </m:r>
        <m:r>
          <m:t>0.6</m:t>
        </m:r>
        <m:r>
          <m:rPr>
            <m:sty m:val="p"/>
          </m:rPr>
          <m:t>%</m:t>
        </m:r>
      </m:oMath>
      <w:r>
        <w:t xml:space="preserve"> </w:t>
      </w:r>
      <w:r>
        <w:t xml:space="preserve">while</w:t>
      </w:r>
      <w:r>
        <w:t xml:space="preserve"> </w:t>
      </w:r>
      <w:r>
        <w:rPr>
          <w:i/>
          <w:iCs/>
        </w:rPr>
        <w:t xml:space="preserve">substitution</w:t>
      </w:r>
      <w:r>
        <w:t xml:space="preserve"> </w:t>
      </w:r>
      <w:r>
        <w:t xml:space="preserve">industries whose product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cognitive labor</w:t>
      </w:r>
      <w:r>
        <w:t xml:space="preserve"> </w:t>
      </w:r>
      <w:r>
        <w:t xml:space="preserve">(staffing, education, publishing, legal, consulting, advertising) earned</w:t>
      </w:r>
      <w:r>
        <w:t xml:space="preserve"> </w:t>
      </w:r>
      <m:oMath>
        <m:r>
          <m:rPr>
            <m:sty m:val="p"/>
          </m:rPr>
          <m:t>−</m:t>
        </m:r>
        <m:r>
          <m:t>2.8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2.32</m:t>
        </m:r>
      </m:oMath>
      <w:r>
        <w:t xml:space="preserve">). Firm-level 10-K AI-mention intensity (from 650 EDGAR filings)</w:t>
      </w:r>
      <w:r>
        <w:t xml:space="preserve"> </w:t>
      </w:r>
      <w:r>
        <w:t xml:space="preserve">correlates with AIIE (</w:t>
      </w:r>
      <m:oMath>
        <m:r>
          <m:t>ρ</m:t>
        </m:r>
        <m:r>
          <m:rPr>
            <m:sty m:val="p"/>
          </m:rPr>
          <m:t>=</m:t>
        </m:r>
        <m:r>
          <m:t>0.25</m:t>
        </m:r>
      </m:oMath>
      <w:r>
        <w:t xml:space="preserve">) and independently predicts the tight-window</w:t>
      </w:r>
      <w:r>
        <w:t xml:space="preserve"> </w:t>
      </w:r>
      <w:r>
        <w:t xml:space="preserve">cross-section. The market treated generative AI as a net cost saving for most firms</w:t>
      </w:r>
      <w:r>
        <w:t xml:space="preserve"> </w:t>
      </w:r>
      <w:r>
        <w:t xml:space="preserve">but as a competitive threat where AI can produce the firm’s output. The priced-exposure effect</w:t>
      </w:r>
      <w:r>
        <w:t xml:space="preserve"> </w:t>
      </w:r>
      <w:r>
        <w:t xml:space="preserve">survives balancing high- and low-exposure firms on size, value, momentum, and employment, but is</w:t>
      </w:r>
      <w:r>
        <w:t xml:space="preserve"> </w:t>
      </w:r>
      <w:r>
        <w:t xml:space="preserve">only borderline under industry-level randomization inference (which we report transparently, since</w:t>
      </w:r>
      <w:r>
        <w:t xml:space="preserve"> </w:t>
      </w:r>
      <w:r>
        <w:t xml:space="preserve">exposure varies across just 182 industries), and a power analysis shows the well-populated windows</w:t>
      </w:r>
      <w:r>
        <w:t xml:space="preserve"> </w:t>
      </w:r>
      <w:r>
        <w:t xml:space="preserve">are informative rather than underpowered.</w:t>
      </w:r>
      <w:r>
        <w:br/>
      </w:r>
      <w:r>
        <w:rPr>
          <w:b/>
          <w:bCs/>
        </w:rPr>
        <w:t xml:space="preserve">JEL:</w:t>
      </w:r>
      <w:r>
        <w:t xml:space="preserve"> </w:t>
      </w:r>
      <w:r>
        <w:t xml:space="preserve">G14, G12, J24, O33, E24.</w:t>
      </w:r>
      <w:r>
        <w:t xml:space="preserve"> </w:t>
      </w:r>
      <w:r>
        <w:rPr>
          <w:b/>
          <w:bCs/>
        </w:rPr>
        <w:t xml:space="preserve">Keywords:</w:t>
      </w:r>
      <w:r>
        <w:t xml:space="preserve"> </w:t>
      </w:r>
      <w:r>
        <w:t xml:space="preserve">generative AI, ChatGPT, labor exposure, event study, abnormal returns.</w:t>
      </w:r>
    </w:p>
    <w:bookmarkStart w:id="1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On November 30, 2022, OpenAI released ChatGPT; it reached one million users in five</w:t>
      </w:r>
      <w:r>
        <w:t xml:space="preserve"> </w:t>
      </w:r>
      <w:r>
        <w:t xml:space="preserve">days and became the fastest-adopted consumer technology on record. For the first time</w:t>
      </w:r>
      <w:r>
        <w:t xml:space="preserve"> </w:t>
      </w:r>
      <w:r>
        <w:t xml:space="preserve">a general-purpose tool could perform, at low cost, tasks long thought to require</w:t>
      </w:r>
      <w:r>
        <w:t xml:space="preserve"> </w:t>
      </w:r>
      <w:r>
        <w:t xml:space="preserve">educated human labor—writing, summarizing, coding, tutoring, drafting contracts,</w:t>
      </w:r>
      <w:r>
        <w:t xml:space="preserve"> </w:t>
      </w:r>
      <w:r>
        <w:t xml:space="preserve">answering customers. If equity markets are forward-looking, the arrival of such a</w:t>
      </w:r>
      <w:r>
        <w:t xml:space="preserve"> </w:t>
      </w:r>
      <w:r>
        <w:t xml:space="preserve">technology should have repriced firms in proportion to how much their businesses are</w:t>
      </w:r>
      <w:r>
        <w:t xml:space="preserve"> </w:t>
      </w:r>
      <w:r>
        <w:t xml:space="preserve">exposed to the labor it can now do. This paper asks a simple question:</w:t>
      </w:r>
      <w:r>
        <w:t xml:space="preserve"> </w:t>
      </w:r>
      <w:r>
        <w:rPr>
          <w:i/>
          <w:iCs/>
        </w:rPr>
        <w:t xml:space="preserve">around</w:t>
      </w:r>
      <w:r>
        <w:rPr>
          <w:i/>
          <w:iCs/>
        </w:rPr>
        <w:t xml:space="preserve"> </w:t>
      </w:r>
      <w:r>
        <w:rPr>
          <w:i/>
          <w:iCs/>
        </w:rPr>
        <w:t xml:space="preserve">ChatGPT (and GPT-4), did high-AI-exposure firms earn abnormal returns, and did the</w:t>
      </w:r>
      <w:r>
        <w:rPr>
          <w:i/>
          <w:iCs/>
        </w:rPr>
        <w:t xml:space="preserve"> </w:t>
      </w:r>
      <w:r>
        <w:rPr>
          <w:i/>
          <w:iCs/>
        </w:rPr>
        <w:t xml:space="preserve">sign depend on whether AI substitutes for or complements the firm’s labor?</w:t>
      </w:r>
    </w:p>
    <w:p>
      <w:pPr>
        <w:pStyle w:val="BodyText"/>
      </w:pPr>
      <w:r>
        <w:t xml:space="preserve">The sign is not obvious ex ante. For most firms, exposed labor is an</w:t>
      </w:r>
      <w:r>
        <w:t xml:space="preserve"> </w:t>
      </w:r>
      <w:r>
        <w:rPr>
          <w:i/>
          <w:iCs/>
        </w:rPr>
        <w:t xml:space="preserve">input cost</w:t>
      </w:r>
      <w:r>
        <w:t xml:space="preserve">:</w:t>
      </w:r>
      <w:r>
        <w:t xml:space="preserve"> </w:t>
      </w:r>
      <w:r>
        <w:t xml:space="preserve">if AI can do it more cheaply, margins rise and the stock should appreciate—a</w:t>
      </w:r>
      <w:r>
        <w:t xml:space="preserve"> </w:t>
      </w:r>
      <w:r>
        <w:t xml:space="preserve">complementarity or cost-saving channel</w:t>
      </w:r>
      <w:r>
        <w:t xml:space="preserve"> </w:t>
      </w:r>
      <w:r>
        <w:t xml:space="preserve">. But for some</w:t>
      </w:r>
      <w:r>
        <w:t xml:space="preserve"> </w:t>
      </w:r>
      <w:r>
        <w:t xml:space="preserve">firms the exposed labor</w:t>
      </w:r>
      <w:r>
        <w:t xml:space="preserve"> </w:t>
      </w:r>
      <w:r>
        <w:rPr>
          <w:i/>
          <w:iCs/>
        </w:rPr>
        <w:t xml:space="preserve">is the product</w:t>
      </w:r>
      <w:r>
        <w:t xml:space="preserve">: a staffing agency, an online-education</w:t>
      </w:r>
      <w:r>
        <w:t xml:space="preserve"> </w:t>
      </w:r>
      <w:r>
        <w:t xml:space="preserve">company, a publisher, a consultancy, or a copywriting shop sells cognitive output that</w:t>
      </w:r>
      <w:r>
        <w:t xml:space="preserve"> </w:t>
      </w:r>
      <w:r>
        <w:t xml:space="preserve">generative AI can now substitute for, so the same technology is a competitive threat</w:t>
      </w:r>
      <w:r>
        <w:t xml:space="preserve"> </w:t>
      </w:r>
      <w:r>
        <w:t xml:space="preserve">. The market’s net reaction therefore mixes a positive</w:t>
      </w:r>
      <w:r>
        <w:t xml:space="preserve"> </w:t>
      </w:r>
      <w:r>
        <w:t xml:space="preserve">cost-saving effect and a negative product-substitution effect, and which dominates is</w:t>
      </w:r>
      <w:r>
        <w:t xml:space="preserve"> </w:t>
      </w:r>
      <w:r>
        <w:t xml:space="preserve">an empirical question about the cross-section of returns.</w:t>
      </w:r>
    </w:p>
    <w:p>
      <w:pPr>
        <w:pStyle w:val="BodyText"/>
      </w:pPr>
      <w:r>
        <w:t xml:space="preserve">We answer it with a standard cross-sectional event study. We take every CRSP common</w:t>
      </w:r>
      <w:r>
        <w:t xml:space="preserve"> </w:t>
      </w:r>
      <w:r>
        <w:t xml:space="preserve">stock active in the event window, estimate a market model over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252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46</m:t>
        </m:r>
        <m:r>
          <m:rPr>
            <m:sty m:val="p"/>
          </m:rPr>
          <m:t>]</m:t>
        </m:r>
      </m:oMath>
      <w:r>
        <w:t xml:space="preserve"> </w:t>
      </w:r>
      <w:r>
        <w:t xml:space="preserve">against the</w:t>
      </w:r>
      <w:r>
        <w:t xml:space="preserve"> </w:t>
      </w:r>
      <w:r>
        <w:t xml:space="preserve">CRSP value-weighted index, and cumulate abnormal returns over tight windows around each</w:t>
      </w:r>
      <w:r>
        <w:t xml:space="preserve"> </w:t>
      </w:r>
      <w:r>
        <w:t xml:space="preserve">dated release. We measure AI exposure at the industry level with the</w:t>
      </w:r>
      <w:r>
        <w:t xml:space="preserve"> </w:t>
      </w:r>
      <w:r>
        <w:t xml:space="preserve">Felten–Raj–Seamans (2021) AI Industry Exposure index (AIIE)—a canonical,</w:t>
      </w:r>
      <w:r>
        <w:t xml:space="preserve"> </w:t>
      </w:r>
      <w:r>
        <w:t xml:space="preserve">employment-weighted measure of how much an industry’s occupational task bundle is</w:t>
      </w:r>
      <w:r>
        <w:t xml:space="preserve"> </w:t>
      </w:r>
      <w:r>
        <w:t xml:space="preserve">exposed to AI—merged to firms by 4-digit NAICS. Because AIIE is predetermined and</w:t>
      </w:r>
      <w:r>
        <w:t xml:space="preserve"> </w:t>
      </w:r>
      <w:r>
        <w:t xml:space="preserve">defined at the industry level, we cluster standard errors by industry and treat the</w:t>
      </w:r>
      <w:r>
        <w:t xml:space="preserve"> </w:t>
      </w:r>
      <w:r>
        <w:t xml:space="preserve">industry measure as our workhorse, following the design used by</w:t>
      </w:r>
      <w:r>
        <w:t xml:space="preserve"> </w:t>
      </w:r>
      <w:r>
        <w:t xml:space="preserve"> </w:t>
      </w:r>
      <w:r>
        <w:t xml:space="preserve">for firm-level generative-AI exposure.</w:t>
      </w:r>
    </w:p>
    <w:p>
      <w:pPr>
        <w:pStyle w:val="BodyText"/>
      </w:pPr>
      <w:r>
        <w:t xml:space="preserve">Our results are threefold.</w:t>
      </w:r>
      <w:r>
        <w:t xml:space="preserve"> </w:t>
      </w:r>
      <w:r>
        <w:rPr>
          <w:i/>
          <w:iCs/>
        </w:rPr>
        <w:t xml:space="preserve">First, AI exposure was priced, positively on average.</w:t>
      </w:r>
      <w:r>
        <w:t xml:space="preserve"> </w:t>
      </w:r>
      <w:r>
        <w:t xml:space="preserve">An equal-weighted long–short portfolio (top minus bottom AIIE quintile) earned</w:t>
      </w:r>
      <w:r>
        <w:t xml:space="preserve"> </w:t>
      </w:r>
      <m:oMath>
        <m:r>
          <m:rPr>
            <m:sty m:val="p"/>
          </m:rPr>
          <m:t>+</m:t>
        </m:r>
        <m:r>
          <m:t>1.31</m:t>
        </m:r>
        <m:r>
          <m:rPr>
            <m:sty m:val="p"/>
          </m:rPr>
          <m:t>%</m:t>
        </m:r>
      </m:oMath>
      <w:r>
        <w:t xml:space="preserve"> </w:t>
      </w:r>
      <w:r>
        <w:t xml:space="preserve">over the tight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window (</w:t>
      </w:r>
      <m:oMath>
        <m:r>
          <m:t>t</m:t>
        </m:r>
        <m:r>
          <m:rPr>
            <m:sty m:val="p"/>
          </m:rPr>
          <m:t>=</m:t>
        </m:r>
        <m:r>
          <m:t>3.96</m:t>
        </m:r>
      </m:oMath>
      <w:r>
        <w:t xml:space="preserve">) and</w:t>
      </w:r>
      <w:r>
        <w:t xml:space="preserve"> </w:t>
      </w:r>
      <m:oMath>
        <m:r>
          <m:rPr>
            <m:sty m:val="p"/>
          </m:rPr>
          <m:t>+</m:t>
        </m:r>
        <m:r>
          <m:t>2.68</m:t>
        </m:r>
        <m:r>
          <m:rPr>
            <m:sty m:val="p"/>
          </m:rPr>
          <m:t>%</m:t>
        </m:r>
      </m:oMath>
      <w:r>
        <w:t xml:space="preserve"> </w:t>
      </w:r>
      <w:r>
        <w:t xml:space="preserve">over the</w:t>
      </w:r>
      <w:r>
        <w:t xml:space="preserve"> </w:t>
      </w:r>
      <w:r>
        <w:t xml:space="preserve">diffuse-adoption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]</m:t>
        </m:r>
      </m:oMath>
      <w:r>
        <w:t xml:space="preserve"> </w:t>
      </w:r>
      <w:r>
        <w:t xml:space="preserve">window (</w:t>
      </w:r>
      <m:oMath>
        <m:r>
          <m:t>t</m:t>
        </m:r>
        <m:r>
          <m:rPr>
            <m:sty m:val="p"/>
          </m:rPr>
          <m:t>=</m:t>
        </m:r>
        <m:r>
          <m:t>3.46</m:t>
        </m:r>
      </m:oMath>
      <w:r>
        <w:t xml:space="preserve">; Table </w:t>
      </w:r>
      <w:hyperlink w:anchor="tab:longshort">
        <w:r>
          <w:rPr>
            <w:rStyle w:val="Hyperlink"/>
          </w:rPr>
          <w:t xml:space="preserve">2</w:t>
        </w:r>
      </w:hyperlink>
      <w:r>
        <w:t xml:space="preserve">). In the</w:t>
      </w:r>
      <w:r>
        <w:t xml:space="preserve"> </w:t>
      </w:r>
      <w:r>
        <w:t xml:space="preserve">cross-section, a one-standard-deviation increase in AIIE is associated with a</w:t>
      </w:r>
      <w:r>
        <w:t xml:space="preserve"> </w:t>
      </w:r>
      <m:oMath>
        <m:r>
          <m:rPr>
            <m:sty m:val="p"/>
          </m:rPr>
          <m:t>+</m:t>
        </m:r>
        <m:r>
          <m:t>0.71</m:t>
        </m:r>
      </m:oMath>
      <w:r>
        <w:t xml:space="preserve">-percentage-point ten-day CAR (</w:t>
      </w:r>
      <m:oMath>
        <m:r>
          <m:t>t</m:t>
        </m:r>
        <m:r>
          <m:rPr>
            <m:sty m:val="p"/>
          </m:rPr>
          <m:t>=</m:t>
        </m:r>
        <m:r>
          <m:t>2.49</m:t>
        </m:r>
      </m:oMath>
      <w:r>
        <w:t xml:space="preserve">; Table </w:t>
      </w:r>
      <w:hyperlink w:anchor="tab:main">
        <w:r>
          <w:rPr>
            <w:rStyle w:val="Hyperlink"/>
          </w:rPr>
          <w:t xml:space="preserve">3</w:t>
        </w:r>
      </w:hyperlink>
      <w:r>
        <w:t xml:space="preserve">, column 3),</w:t>
      </w:r>
      <w:r>
        <w:t xml:space="preserve"> </w:t>
      </w:r>
      <w:r>
        <w:t xml:space="preserve">robust to size, momentum, book-to-market and employment controls, and rising to</w:t>
      </w:r>
      <w:r>
        <w:t xml:space="preserve"> </w:t>
      </w:r>
      <m:oMath>
        <m:r>
          <m:rPr>
            <m:sty m:val="p"/>
          </m:rPr>
          <m:t>+</m:t>
        </m:r>
        <m:r>
          <m:t>0.97</m:t>
        </m:r>
      </m:oMath>
      <w:r>
        <w:t xml:space="preserve">pp (</w:t>
      </w:r>
      <m:oMath>
        <m:r>
          <m:t>t</m:t>
        </m:r>
        <m:r>
          <m:rPr>
            <m:sty m:val="p"/>
          </m:rPr>
          <m:t>=</m:t>
        </m:r>
        <m:r>
          <m:t>3.39</m:t>
        </m:r>
      </m:oMath>
      <w:r>
        <w:t xml:space="preserve">) when we drop financial firms. The effect is absent in the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pre-event placebo window (</w:t>
      </w:r>
      <m:oMath>
        <m:r>
          <m:rPr>
            <m:sty m:val="p"/>
          </m:rPr>
          <m:t>−</m:t>
        </m:r>
        <m:r>
          <m:t>0.33</m:t>
        </m:r>
      </m:oMath>
      <w:r>
        <w:t xml:space="preserve">pp,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1.11</m:t>
        </m:r>
      </m:oMath>
      <w:r>
        <w:t xml:space="preserve">), so it is not a pre-trend.</w:t>
      </w:r>
      <w:r>
        <w:t xml:space="preserve"> </w:t>
      </w:r>
      <w:r>
        <w:t xml:space="preserve">Figure </w:t>
      </w:r>
      <w:hyperlink w:anchor="fig:caar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shows the cumulative abnormal returns of high- and low-exposure</w:t>
      </w:r>
      <w:r>
        <w:t xml:space="preserve"> </w:t>
      </w:r>
      <w:r>
        <w:t xml:space="preserve">firms diverging only after day 0.</w:t>
      </w:r>
    </w:p>
    <w:p>
      <w:pPr>
        <w:pStyle w:val="BodyText"/>
      </w:pPr>
      <w:r>
        <w:rPr>
          <w:i/>
          <w:iCs/>
        </w:rPr>
        <w:t xml:space="preserve">Second, the sign reverses with the nature of exposure.</w:t>
      </w:r>
      <w:r>
        <w:t xml:space="preserve"> </w:t>
      </w:r>
      <w:r>
        <w:t xml:space="preserve">We split high-exposure</w:t>
      </w:r>
      <w:r>
        <w:t xml:space="preserve"> </w:t>
      </w:r>
      <w:r>
        <w:t xml:space="preserve">industries into AI</w:t>
      </w:r>
      <w:r>
        <w:t xml:space="preserve"> </w:t>
      </w:r>
      <w:r>
        <w:rPr>
          <w:i/>
          <w:iCs/>
        </w:rPr>
        <w:t xml:space="preserve">suppliers</w:t>
      </w:r>
      <w:r>
        <w:t xml:space="preserve"> </w:t>
      </w:r>
      <w:r>
        <w:t xml:space="preserve">(software, semiconductors, computers, cloud—firms</w:t>
      </w:r>
      <w:r>
        <w:t xml:space="preserve"> </w:t>
      </w:r>
      <w:r>
        <w:t xml:space="preserve">that build AI) and</w:t>
      </w:r>
      <w:r>
        <w:t xml:space="preserve"> </w:t>
      </w:r>
      <w:r>
        <w:rPr>
          <w:i/>
          <w:iCs/>
        </w:rPr>
        <w:t xml:space="preserve">substitution</w:t>
      </w:r>
      <w:r>
        <w:t xml:space="preserve"> </w:t>
      </w:r>
      <w:r>
        <w:t xml:space="preserve">industries whose output is itself cognitive</w:t>
      </w:r>
      <w:r>
        <w:t xml:space="preserve"> </w:t>
      </w:r>
      <w:r>
        <w:t xml:space="preserve">labor (employment services/staffing, education, publishing, legal, consulting,</w:t>
      </w:r>
      <w:r>
        <w:t xml:space="preserve"> </w:t>
      </w:r>
      <w:r>
        <w:t xml:space="preserve">advertising).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]</m:t>
        </m:r>
      </m:oMath>
      <w:r>
        <w:t xml:space="preserve"> </w:t>
      </w:r>
      <w:r>
        <w:t xml:space="preserve">around ChatGPT, supplier industries earned</w:t>
      </w:r>
      <w:r>
        <w:t xml:space="preserve"> </w:t>
      </w:r>
      <m:oMath>
        <m:r>
          <m:rPr>
            <m:sty m:val="p"/>
          </m:rPr>
          <m:t>+</m:t>
        </m:r>
        <m:r>
          <m:t>0.64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ordinary AI-</w:t>
      </w:r>
      <w:r>
        <w:rPr>
          <w:i/>
          <w:iCs/>
        </w:rPr>
        <w:t xml:space="preserve">user</w:t>
      </w:r>
      <w:r>
        <w:t xml:space="preserve"> </w:t>
      </w:r>
      <w:r>
        <w:t xml:space="preserve">industries</w:t>
      </w:r>
      <w:r>
        <w:t xml:space="preserve"> </w:t>
      </w:r>
      <m:oMath>
        <m:r>
          <m:rPr>
            <m:sty m:val="p"/>
          </m:rPr>
          <m:t>−</m:t>
        </m:r>
        <m:r>
          <m:t>1.28</m:t>
        </m:r>
        <m:r>
          <m:rPr>
            <m:sty m:val="p"/>
          </m:rPr>
          <m:t>%</m:t>
        </m:r>
      </m:oMath>
      <w:r>
        <w:t xml:space="preserve">, and substitution industries</w:t>
      </w:r>
      <w:r>
        <w:t xml:space="preserve"> </w:t>
      </w:r>
      <m:oMath>
        <m:r>
          <m:rPr>
            <m:sty m:val="p"/>
          </m:rPr>
          <m:t>−</m:t>
        </m:r>
        <m:r>
          <m:t>2.76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2.32</m:t>
        </m:r>
      </m:oMath>
      <w:r>
        <w:t xml:space="preserve">; Table </w:t>
      </w:r>
      <w:hyperlink w:anchor="tab:bucket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and Figure </w:t>
      </w:r>
      <w:hyperlink w:anchor="fig:buckets">
        <w:r>
          <w:rPr>
            <w:rStyle w:val="Hyperlink"/>
          </w:rPr>
          <w:t xml:space="preserve">3</w:t>
        </w:r>
      </w:hyperlink>
      <w:r>
        <w:t xml:space="preserve">). The supplier-minus-</w:t>
      </w:r>
      <w:r>
        <w:t xml:space="preserve"> </w:t>
      </w:r>
      <w:r>
        <w:t xml:space="preserve">substitution gap is</w:t>
      </w:r>
      <w:r>
        <w:t xml:space="preserve"> </w:t>
      </w:r>
      <m:oMath>
        <m:r>
          <m:rPr>
            <m:sty m:val="p"/>
          </m:rPr>
          <m:t>+</m:t>
        </m:r>
        <m:r>
          <m:t>2.5</m:t>
        </m:r>
      </m:oMath>
      <w:r>
        <w:t xml:space="preserve">pp. Generative AI was good for firms that sell it or use it</w:t>
      </w:r>
      <w:r>
        <w:t xml:space="preserve"> </w:t>
      </w:r>
      <w:r>
        <w:t xml:space="preserve">internally, and bad for firms whose product it can replace.</w:t>
      </w:r>
    </w:p>
    <w:p>
      <w:pPr>
        <w:pStyle w:val="BodyText"/>
      </w:pPr>
      <w:r>
        <w:rPr>
          <w:i/>
          <w:iCs/>
        </w:rPr>
        <w:t xml:space="preserve">Third, a firm-level text measure corroborates the industry proxy.</w:t>
      </w:r>
      <w:r>
        <w:t xml:space="preserve"> </w:t>
      </w:r>
      <w:r>
        <w:t xml:space="preserve">From</w:t>
      </w:r>
      <w:r>
        <w:t xml:space="preserve"> </w:t>
      </w:r>
      <w:r>
        <w:t xml:space="preserve">650 pre-ChatGPT 10-K filings on SEC EDGAR we compute each firm’s AI-mention</w:t>
      </w:r>
      <w:r>
        <w:t xml:space="preserve"> </w:t>
      </w:r>
      <w:r>
        <w:t xml:space="preserve">intensity (AI-related terms per 10</w:t>
      </w:r>
      <w:r>
        <w:t xml:space="preserve">,</w:t>
      </w:r>
      <w:r>
        <w:t xml:space="preserve">000 words). It is positively but only modestly</w:t>
      </w:r>
      <w:r>
        <w:t xml:space="preserve"> </w:t>
      </w:r>
      <w:r>
        <w:t xml:space="preserve">correlated with AIIE (</w:t>
      </w:r>
      <m:oMath>
        <m:r>
          <m:t>ρ</m:t>
        </m:r>
        <m:r>
          <m:rPr>
            <m:sty m:val="p"/>
          </m:rPr>
          <m:t>=</m:t>
        </m:r>
        <m:r>
          <m:t>0.25</m:t>
        </m:r>
      </m:oMath>
      <w:r>
        <w:t xml:space="preserve">)—the two capture related but distinct</w:t>
      </w:r>
      <w:r>
        <w:t xml:space="preserve"> </w:t>
      </w:r>
      <w:r>
        <w:t xml:space="preserve">exposure—and, on its own, predicts positive ChatGPT CARs, significantly in the tight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window (</w:t>
      </w:r>
      <m:oMath>
        <m:r>
          <m:t>t</m:t>
        </m:r>
        <m:r>
          <m:rPr>
            <m:sty m:val="p"/>
          </m:rPr>
          <m:t>=</m:t>
        </m:r>
        <m:r>
          <m:t>2.04</m:t>
        </m:r>
      </m:oMath>
      <w:r>
        <w:t xml:space="preserve">) and positively but insignificantly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]</m:t>
        </m:r>
      </m:oMath>
      <w:r>
        <w:t xml:space="preserve"> </w:t>
      </w:r>
      <w:r>
        <w:t xml:space="preserve">(Table </w:t>
      </w:r>
      <w:hyperlink w:anchor="tab:edgar">
        <w:r>
          <w:rPr>
            <w:rStyle w:val="Hyperlink"/>
          </w:rPr>
          <w:t xml:space="preserve">7</w:t>
        </w:r>
      </w:hyperlink>
      <w:r>
        <w:t xml:space="preserve">). The industry- and firm-level measures point the same way.</w:t>
      </w:r>
    </w:p>
    <w:p>
      <w:pPr>
        <w:pStyle w:val="BodyText"/>
      </w:pPr>
      <w:r>
        <w:t xml:space="preserve">The GPT-4 window (March 14, 2023) is badly confounded by the Silicon Valley Bank</w:t>
      </w:r>
      <w:r>
        <w:t xml:space="preserve"> </w:t>
      </w:r>
      <w:r>
        <w:t xml:space="preserve">collapse (March 9–13) and the ensuing regional-bank and Credit Suisse turmoil, which</w:t>
      </w:r>
      <w:r>
        <w:t xml:space="preserve"> </w:t>
      </w:r>
      <w:r>
        <w:t xml:space="preserve">hit exactly the high-AIIE financial sector. We report GPT-4 results but lean on ChatGPT</w:t>
      </w:r>
      <w:r>
        <w:t xml:space="preserve"> </w:t>
      </w:r>
      <w:r>
        <w:t xml:space="preserve">for inference; reassuringly, the AIIE effect survives and even strengthens when we drop</w:t>
      </w:r>
      <w:r>
        <w:t xml:space="preserve"> </w:t>
      </w:r>
      <w:r>
        <w:t xml:space="preserve">financials from the GPT-4 window (</w:t>
      </w:r>
      <m:oMath>
        <m:r>
          <m:rPr>
            <m:sty m:val="p"/>
          </m:rPr>
          <m:t>+</m:t>
        </m:r>
        <m:r>
          <m:t>0.62</m:t>
        </m:r>
      </m:oMath>
      <w:r>
        <w:t xml:space="preserve">pp,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2.72</m:t>
        </m:r>
      </m:oMath>
      <w:r>
        <w:t xml:space="preserve">; Table </w:t>
      </w:r>
      <w:hyperlink w:anchor="tab:robust">
        <w:r>
          <w:rPr>
            <w:rStyle w:val="Hyperlink"/>
          </w:rPr>
          <w:t xml:space="preserve">6</w:t>
        </w:r>
      </w:hyperlink>
      <w:r>
        <w:t xml:space="preserve">).</w:t>
      </w:r>
      <w:r>
        <w:t xml:space="preserve"> </w:t>
      </w:r>
      <w:r>
        <w:t xml:space="preserve">Cleanly separating the AI signal from the concurrent macro repricing—the dovish Powell</w:t>
      </w:r>
      <w:r>
        <w:t xml:space="preserve"> </w:t>
      </w:r>
      <w:r>
        <w:t xml:space="preserve">pivot also fell on November 30, 2022—requires hand-verifying the exact event calendar</w:t>
      </w:r>
      <w:r>
        <w:t xml:space="preserve"> </w:t>
      </w:r>
      <w:r>
        <w:t xml:space="preserve">against market close and hand-coding true task exposure firm-by-firm, which is the</w:t>
      </w:r>
      <w:r>
        <w:t xml:space="preserve"> </w:t>
      </w:r>
      <w:r>
        <w:t xml:space="preserve">student’s contribution (Appendix;</w:t>
      </w:r>
      <w:r>
        <w:t xml:space="preserve"> </w:t>
      </w:r>
      <w:r>
        <w:rPr>
          <w:rStyle w:val="VerbatimChar"/>
        </w:rPr>
        <w:t xml:space="preserve">STUDENT_TASKS.md</w:t>
      </w:r>
      <w:r>
        <w:t xml:space="preserve">).</w:t>
      </w:r>
    </w:p>
    <w:p>
      <w:pPr>
        <w:pStyle w:val="BodyText"/>
      </w:pPr>
      <w:r>
        <w:t xml:space="preserve">We contribute to three literatures. Relative to the AI-and-labor literature that</w:t>
      </w:r>
      <w:r>
        <w:t xml:space="preserve"> </w:t>
      </w:r>
      <w:r>
        <w:t xml:space="preserve">measures occupational and industry exposure</w:t>
      </w:r>
      <w:r>
        <w:t xml:space="preserve"> </w:t>
      </w:r>
      <w:r>
        <w:t xml:space="preserve">,</w:t>
      </w:r>
      <w:r>
        <w:t xml:space="preserve"> </w:t>
      </w:r>
      <w:r>
        <w:t xml:space="preserve">we provide asset-pricing evidence that markets priced that exposure within days of</w:t>
      </w:r>
      <w:r>
        <w:t xml:space="preserve"> </w:t>
      </w:r>
      <w:r>
        <w:t xml:space="preserve">ChatGPT. Relative to</w:t>
      </w:r>
      <w:r>
        <w:t xml:space="preserve"> </w:t>
      </w:r>
      <w:r>
        <w:t xml:space="preserve">, who show that generative-AI</w:t>
      </w:r>
      <w:r>
        <w:t xml:space="preserve"> </w:t>
      </w:r>
      <w:r>
        <w:rPr>
          <w:i/>
          <w:iCs/>
        </w:rPr>
        <w:t xml:space="preserve">workforce</w:t>
      </w:r>
      <w:r>
        <w:t xml:space="preserve"> </w:t>
      </w:r>
      <w:r>
        <w:t xml:space="preserve">exposure earned positive returns after ChatGPT, we document the</w:t>
      </w:r>
      <w:r>
        <w:t xml:space="preserve"> </w:t>
      </w:r>
      <w:r>
        <w:rPr>
          <w:i/>
          <w:iCs/>
        </w:rPr>
        <w:t xml:space="preserve">sign heterogeneity</w:t>
      </w:r>
      <w:r>
        <w:t xml:space="preserve"> </w:t>
      </w:r>
      <w:r>
        <w:t xml:space="preserve">predicted by the task framework: exposure is priced positively where AI complements and</w:t>
      </w:r>
      <w:r>
        <w:t xml:space="preserve"> </w:t>
      </w:r>
      <w:r>
        <w:t xml:space="preserve">negatively where AI substitutes for the firm’s output. Relative to the</w:t>
      </w:r>
      <w:r>
        <w:t xml:space="preserve"> </w:t>
      </w:r>
      <w:r>
        <w:t xml:space="preserve">displacement-versus-reinstatement theory of automation</w:t>
      </w:r>
      <w:r>
        <w:t xml:space="preserve"> </w:t>
      </w:r>
      <w:r>
        <w:t xml:space="preserve">,</w:t>
      </w:r>
      <w:r>
        <w:t xml:space="preserve"> </w:t>
      </w:r>
      <w:r>
        <w:t xml:space="preserve">we show the stock market discriminated between the two channels in real time. We also complement work on how AI investment and</w:t>
      </w:r>
      <w:r>
        <w:t xml:space="preserve"> </w:t>
      </w:r>
      <w:r>
        <w:t xml:space="preserve">technological innovation map into firm growth and market value</w:t>
      </w:r>
      <w:r>
        <w:t xml:space="preserve"> </w:t>
      </w:r>
      <w:r>
        <w:t xml:space="preserve">, by isolating the market’s instantaneous reaction to a</w:t>
      </w:r>
      <w:r>
        <w:t xml:space="preserve"> </w:t>
      </w:r>
      <w:r>
        <w:t xml:space="preserve">single, dated general-purpose-AI shock.</w:t>
      </w:r>
      <w:r>
        <w:t xml:space="preserve"> </w:t>
      </w:r>
      <w:r>
        <w:t xml:space="preserve">Section 2 develops hypotheses, Section 3 situates the paper in the literature, Section 4 the</w:t>
      </w:r>
      <w:r>
        <w:t xml:space="preserve"> </w:t>
      </w:r>
      <w:r>
        <w:t xml:space="preserve">data and research design, Section 5 the main results, Section 6 the sign channel, Section 7</w:t>
      </w:r>
      <w:r>
        <w:t xml:space="preserve"> </w:t>
      </w:r>
      <w:r>
        <w:t xml:space="preserve">robustness, Section 8 heterogeneity by observable moderators, Section 9 a characteristic-matched</w:t>
      </w:r>
      <w:r>
        <w:t xml:space="preserve"> </w:t>
      </w:r>
      <w:r>
        <w:t xml:space="preserve">design and industry-level randomization inference, Section 10 the power/minimum-detectable-effect</w:t>
      </w:r>
      <w:r>
        <w:t xml:space="preserve"> </w:t>
      </w:r>
      <w:r>
        <w:t xml:space="preserve">analysis, and Section 11 concludes.</w:t>
      </w:r>
    </w:p>
    <w:bookmarkEnd w:id="11"/>
    <w:bookmarkStart w:id="12" w:name="hypotheses"/>
    <w:p>
      <w:pPr>
        <w:pStyle w:val="Heading1"/>
      </w:pPr>
      <w:r>
        <w:t xml:space="preserve">Hypotheses</w:t>
      </w:r>
    </w:p>
    <w:p>
      <w:pPr>
        <w:pStyle w:val="FirstParagraph"/>
      </w:pPr>
      <w:r>
        <w:t xml:space="preserve">The task framework of</w:t>
      </w:r>
      <w:r>
        <w:t xml:space="preserve"> </w:t>
      </w:r>
      <w:r>
        <w:t xml:space="preserve"> </w:t>
      </w:r>
      <w:r>
        <w:t xml:space="preserve">and the automation model of</w:t>
      </w:r>
      <w:r>
        <w:t xml:space="preserve"> </w:t>
      </w:r>
      <w:r>
        <w:t xml:space="preserve"> </w:t>
      </w:r>
      <w:r>
        <w:t xml:space="preserve">distinguish a</w:t>
      </w:r>
      <w:r>
        <w:t xml:space="preserve"> </w:t>
      </w:r>
      <w:r>
        <w:rPr>
          <w:i/>
          <w:iCs/>
        </w:rPr>
        <w:t xml:space="preserve">displacement</w:t>
      </w:r>
      <w:r>
        <w:t xml:space="preserve"> </w:t>
      </w:r>
      <w:r>
        <w:t xml:space="preserve">effect (a technology performs</w:t>
      </w:r>
      <w:r>
        <w:t xml:space="preserve"> </w:t>
      </w:r>
      <w:r>
        <w:t xml:space="preserve">tasks previously done by labor) from a</w:t>
      </w:r>
      <w:r>
        <w:t xml:space="preserve"> </w:t>
      </w:r>
      <w:r>
        <w:rPr>
          <w:i/>
          <w:iCs/>
        </w:rPr>
        <w:t xml:space="preserve">productivity/reinstatement</w:t>
      </w:r>
      <w:r>
        <w:t xml:space="preserve"> </w:t>
      </w:r>
      <w:r>
        <w:t xml:space="preserve">effect (cheaper</w:t>
      </w:r>
      <w:r>
        <w:t xml:space="preserve"> </w:t>
      </w:r>
      <w:r>
        <w:t xml:space="preserve">tasks raise output and demand for complementary labor). Generative AI is a</w:t>
      </w:r>
      <w:r>
        <w:t xml:space="preserve"> </w:t>
      </w:r>
      <w:r>
        <w:t xml:space="preserve">general-purpose technology whose comparative advantage is language and cognitive tasks</w:t>
      </w:r>
      <w:r>
        <w:t xml:space="preserve"> </w:t>
      </w:r>
      <w:r>
        <w:t xml:space="preserve">. For a firm that</w:t>
      </w:r>
      <w:r>
        <w:t xml:space="preserve"> </w:t>
      </w:r>
      <w:r>
        <w:rPr>
          <w:i/>
          <w:iCs/>
        </w:rPr>
        <w:t xml:space="preserve">uses</w:t>
      </w:r>
      <w:r>
        <w:t xml:space="preserve"> </w:t>
      </w:r>
      <w:r>
        <w:t xml:space="preserve">such labor as an input, the</w:t>
      </w:r>
      <w:r>
        <w:t xml:space="preserve"> </w:t>
      </w:r>
      <w:r>
        <w:t xml:space="preserve">displacement of that labor is a cost saving; for a firm that</w:t>
      </w:r>
      <w:r>
        <w:t xml:space="preserve"> </w:t>
      </w:r>
      <w:r>
        <w:rPr>
          <w:i/>
          <w:iCs/>
        </w:rPr>
        <w:t xml:space="preserve">sells</w:t>
      </w:r>
      <w:r>
        <w:t xml:space="preserve"> </w:t>
      </w:r>
      <w:r>
        <w:t xml:space="preserve">such labor as</w:t>
      </w:r>
      <w:r>
        <w:t xml:space="preserve"> </w:t>
      </w:r>
      <w:r>
        <w:t xml:space="preserve">its output, displacement is demand destruction.</w:t>
      </w:r>
    </w:p>
    <w:p>
      <w:pPr>
        <w:pStyle w:val="BlockText"/>
      </w:pPr>
      <w:r>
        <w:rPr>
          <w:b/>
          <w:bCs/>
        </w:rPr>
        <w:t xml:space="preserve">H1 (Exposure is priced).</w:t>
      </w:r>
      <w:r>
        <w:t xml:space="preserve"> </w:t>
      </w:r>
      <w:r>
        <w:t xml:space="preserve">Around ChatGPT, abnormal returns are related to a</w:t>
      </w:r>
      <w:r>
        <w:t xml:space="preserve"> </w:t>
      </w:r>
      <w:r>
        <w:t xml:space="preserve">firm’s industry AI exposure.</w:t>
      </w:r>
    </w:p>
    <w:p>
      <w:pPr>
        <w:pStyle w:val="BlockText"/>
      </w:pPr>
      <w:r>
        <w:rPr>
          <w:b/>
          <w:bCs/>
        </w:rPr>
        <w:t xml:space="preserve">H2 (Sign channel).</w:t>
      </w:r>
      <w:r>
        <w:t xml:space="preserve"> </w:t>
      </w:r>
      <w:r>
        <w:t xml:space="preserve">The relation is positive where AI</w:t>
      </w:r>
      <w:r>
        <w:t xml:space="preserve"> </w:t>
      </w:r>
      <w:r>
        <w:rPr>
          <w:i/>
          <w:iCs/>
        </w:rPr>
        <w:t xml:space="preserve">complements</w:t>
      </w:r>
      <w:r>
        <w:t xml:space="preserve"> </w:t>
      </w:r>
      <w:r>
        <w:t xml:space="preserve">the</w:t>
      </w:r>
      <w:r>
        <w:t xml:space="preserve"> </w:t>
      </w:r>
      <w:r>
        <w:t xml:space="preserve">firm (AI suppliers; firms that use exposed labor internally) and negative where AI</w:t>
      </w:r>
      <w:r>
        <w:t xml:space="preserve"> </w:t>
      </w:r>
      <w:r>
        <w:rPr>
          <w:i/>
          <w:iCs/>
        </w:rPr>
        <w:t xml:space="preserve">substitutes</w:t>
      </w:r>
      <w:r>
        <w:t xml:space="preserve"> </w:t>
      </w:r>
      <w:r>
        <w:t xml:space="preserve">for the firm’s product (industries whose output is cognitive labor).</w:t>
      </w:r>
    </w:p>
    <w:p>
      <w:pPr>
        <w:pStyle w:val="FirstParagraph"/>
      </w:pPr>
      <w:r>
        <w:t xml:space="preserve">H1 without H2 would say the market read generative AI as uniformly good (or bad) for</w:t>
      </w:r>
      <w:r>
        <w:t xml:space="preserve"> </w:t>
      </w:r>
      <w:r>
        <w:t xml:space="preserve">exposed firms; H2 says the market conditioned on</w:t>
      </w:r>
      <w:r>
        <w:t xml:space="preserve"> </w:t>
      </w:r>
      <w:r>
        <w:rPr>
          <w:i/>
          <w:iCs/>
        </w:rPr>
        <w:t xml:space="preserve">who captures the surplus</w:t>
      </w:r>
      <w:r>
        <w:t xml:space="preserve">.</w:t>
      </w:r>
    </w:p>
    <w:bookmarkEnd w:id="12"/>
    <w:bookmarkStart w:id="13" w:name="sec:lit"/>
    <w:p>
      <w:pPr>
        <w:pStyle w:val="Heading1"/>
      </w:pPr>
      <w:r>
        <w:t xml:space="preserve">Related Literature</w:t>
      </w:r>
    </w:p>
    <w:p>
      <w:pPr>
        <w:pStyle w:val="FirstParagraph"/>
      </w:pPr>
      <w:r>
        <w:t xml:space="preserve">This paper connects three strands. The first is the fast-growing literature on generative AI</w:t>
      </w:r>
      <w:r>
        <w:t xml:space="preserve"> </w:t>
      </w:r>
      <w:r>
        <w:t xml:space="preserve">and the labor market.</w:t>
      </w:r>
      <w:r>
        <w:t xml:space="preserve"> </w:t>
      </w:r>
      <w:r>
        <w:t xml:space="preserve"> </w:t>
      </w:r>
      <w:r>
        <w:t xml:space="preserve">construct the AI-exposure indices we use, mapping</w:t>
      </w:r>
      <w:r>
        <w:t xml:space="preserve"> </w:t>
      </w:r>
      <w:r>
        <w:t xml:space="preserve">occupational task bundles to AI capability and aggregating to industries;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build complementary occupation-level exposure measures, and</w:t>
      </w:r>
      <w:r>
        <w:t xml:space="preserve"> </w:t>
      </w:r>
      <w:r>
        <w:t xml:space="preserve"> </w:t>
      </w:r>
      <w:r>
        <w:t xml:space="preserve">specialize the framework to language models like ChatGPT.</w:t>
      </w:r>
      <w:r>
        <w:t xml:space="preserve"> </w:t>
      </w:r>
      <w:r>
        <w:t xml:space="preserve">Experimental and field studies show generative AI raises the productivity of exposed workers</w:t>
      </w:r>
      <w:r>
        <w:t xml:space="preserve"> </w:t>
      </w:r>
      <w:r>
        <w:t xml:space="preserve">. This literature measures</w:t>
      </w:r>
      <w:r>
        <w:t xml:space="preserve"> </w:t>
      </w:r>
      <w:r>
        <w:rPr>
          <w:i/>
          <w:iCs/>
        </w:rPr>
        <w:t xml:space="preserve">how exposed</w:t>
      </w:r>
      <w:r>
        <w:t xml:space="preserve"> </w:t>
      </w:r>
      <w:r>
        <w:t xml:space="preserve">tasks and</w:t>
      </w:r>
      <w:r>
        <w:t xml:space="preserve"> </w:t>
      </w:r>
      <w:r>
        <w:t xml:space="preserve">industries are; our contribution is to ask whether equity markets</w:t>
      </w:r>
      <w:r>
        <w:t xml:space="preserve"> </w:t>
      </w:r>
      <w:r>
        <w:rPr>
          <w:i/>
          <w:iCs/>
        </w:rPr>
        <w:t xml:space="preserve">priced</w:t>
      </w:r>
      <w:r>
        <w:t xml:space="preserve"> </w:t>
      </w:r>
      <w:r>
        <w:t xml:space="preserve">that exposure,</w:t>
      </w:r>
      <w:r>
        <w:t xml:space="preserve"> </w:t>
      </w:r>
      <w:r>
        <w:t xml:space="preserve">and with what sign, in the days around a single dated shock.</w:t>
      </w:r>
    </w:p>
    <w:p>
      <w:pPr>
        <w:pStyle w:val="BodyText"/>
      </w:pPr>
      <w:r>
        <w:t xml:space="preserve">The second strand is asset pricing and technological change.</w:t>
      </w:r>
      <w:r>
        <w:t xml:space="preserve"> </w:t>
      </w:r>
      <w:r>
        <w:t xml:space="preserve"> </w:t>
      </w:r>
      <w:r>
        <w:t xml:space="preserve">show that</w:t>
      </w:r>
      <w:r>
        <w:t xml:space="preserve"> </w:t>
      </w:r>
      <w:r>
        <w:t xml:space="preserve">technological innovation is priced in the cross-section of returns, and</w:t>
      </w:r>
      <w:r>
        <w:t xml:space="preserve"> </w:t>
      </w:r>
      <w:r>
        <w:t xml:space="preserve"> </w:t>
      </w:r>
      <w:r>
        <w:t xml:space="preserve">document that firm-level AI investment maps into growth and product innovation. Closest to us,</w:t>
      </w:r>
      <w:r>
        <w:t xml:space="preserve"> </w:t>
      </w:r>
      <w:r>
        <w:t xml:space="preserve"> </w:t>
      </w:r>
      <w:r>
        <w:t xml:space="preserve">show that firms with greater generative-AI</w:t>
      </w:r>
      <w:r>
        <w:t xml:space="preserve"> </w:t>
      </w:r>
      <w:r>
        <w:rPr>
          <w:i/>
          <w:iCs/>
        </w:rPr>
        <w:t xml:space="preserve">workforce</w:t>
      </w:r>
      <w:r>
        <w:t xml:space="preserve"> </w:t>
      </w:r>
      <w:r>
        <w:t xml:space="preserve">exposure earned</w:t>
      </w:r>
      <w:r>
        <w:t xml:space="preserve"> </w:t>
      </w:r>
      <w:r>
        <w:t xml:space="preserve">positive abnormal returns after ChatGPT. We build on their event-study design but shift the</w:t>
      </w:r>
      <w:r>
        <w:t xml:space="preserve"> </w:t>
      </w:r>
      <w:r>
        <w:t xml:space="preserve">object of study from the average exposure effect to its</w:t>
      </w:r>
      <w:r>
        <w:t xml:space="preserve"> </w:t>
      </w:r>
      <w:r>
        <w:rPr>
          <w:i/>
          <w:iCs/>
        </w:rPr>
        <w:t xml:space="preserve">sign heterogeneity</w:t>
      </w:r>
      <w:r>
        <w:t xml:space="preserve">: the same</w:t>
      </w:r>
      <w:r>
        <w:t xml:space="preserve"> </w:t>
      </w:r>
      <w:r>
        <w:t xml:space="preserve">technology is a tailwind where it complements the firm and a threat where it substitutes for the</w:t>
      </w:r>
      <w:r>
        <w:t xml:space="preserve"> </w:t>
      </w:r>
      <w:r>
        <w:t xml:space="preserve">firm’s product. This distinction is the empirical counterpart of the displacement-versus-</w:t>
      </w:r>
      <w:r>
        <w:t xml:space="preserve"> </w:t>
      </w:r>
      <w:r>
        <w:t xml:space="preserve">reinstatement theory of automation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The third strand is the methodology of event studies and design-based inference. Our returns</w:t>
      </w:r>
      <w:r>
        <w:t xml:space="preserve"> </w:t>
      </w:r>
      <w:r>
        <w:t xml:space="preserve">machinery follows the daily-event-study tradition</w:t>
      </w:r>
      <w:r>
        <w:t xml:space="preserve"> </w:t>
      </w:r>
      <w:r>
        <w:t xml:space="preserve">. Because our</w:t>
      </w:r>
      <w:r>
        <w:t xml:space="preserve"> </w:t>
      </w:r>
      <w:r>
        <w:t xml:space="preserve">key regressor, AIIE, varies only at the industry level, conventional clustered standard errors</w:t>
      </w:r>
      <w:r>
        <w:t xml:space="preserve"> </w:t>
      </w:r>
      <w:r>
        <w:t xml:space="preserve">rest on industry-cluster asymptotics that can overstate precision when exposure is coarse; we</w:t>
      </w:r>
      <w:r>
        <w:t xml:space="preserve"> </w:t>
      </w:r>
      <w:r>
        <w:t xml:space="preserve">therefore complement them with industry-level randomization inference, following the argument of</w:t>
      </w:r>
      <w:r>
        <w:t xml:space="preserve"> </w:t>
      </w:r>
      <w:r>
        <w:t xml:space="preserve"> </w:t>
      </w:r>
      <w:r>
        <w:t xml:space="preserve">that design-based permutation tests discipline seemingly significant estimates</w:t>
      </w:r>
      <w:r>
        <w:t xml:space="preserve"> </w:t>
      </w:r>
      <w:r>
        <w:t xml:space="preserve">under a modest number of clusters. Where a sub-result is statistically insignificant—the</w:t>
      </w:r>
      <w:r>
        <w:t xml:space="preserve"> </w:t>
      </w:r>
      <w:r>
        <w:t xml:space="preserve">five-day window, the individually-imprecise substitution bucket—we interpret it through its</w:t>
      </w:r>
      <w:r>
        <w:t xml:space="preserve"> </w:t>
      </w:r>
      <w:r>
        <w:t xml:space="preserve">minimum detectable effect rather than as proof of no effect, as</w:t>
      </w:r>
      <w:r>
        <w:t xml:space="preserve"> </w:t>
      </w:r>
      <w:r>
        <w:t xml:space="preserve"> </w:t>
      </w:r>
      <w:r>
        <w:t xml:space="preserve">and the</w:t>
      </w:r>
      <w:r>
        <w:t xml:space="preserve"> </w:t>
      </w:r>
      <w:r>
        <w:t xml:space="preserve">literature on low power and selective reporting in economics</w:t>
      </w:r>
      <w:r>
        <w:t xml:space="preserve"> </w:t>
      </w:r>
      <w:r>
        <w:t xml:space="preserve"> </w:t>
      </w:r>
      <w:r>
        <w:t xml:space="preserve">recommend.</w:t>
      </w:r>
      <w:r>
        <w:t xml:space="preserve"> </w:t>
      </w:r>
      <w:r>
        <w:t xml:space="preserve">These tools are used diagnostically, not decoratively: they temper the headline where the</w:t>
      </w:r>
      <w:r>
        <w:t xml:space="preserve"> </w:t>
      </w:r>
      <w:r>
        <w:t xml:space="preserve">industry-level design is genuinely uncertain, and they bound the nulls.</w:t>
      </w:r>
    </w:p>
    <w:bookmarkEnd w:id="13"/>
    <w:bookmarkStart w:id="19" w:name="sec:data"/>
    <w:p>
      <w:pPr>
        <w:pStyle w:val="Heading1"/>
      </w:pPr>
      <w:r>
        <w:t xml:space="preserve">Data and Research Design</w:t>
      </w:r>
    </w:p>
    <w:bookmarkStart w:id="14" w:name="ai-exposure."/>
    <w:p>
      <w:pPr>
        <w:pStyle w:val="Heading4"/>
      </w:pPr>
      <w:r>
        <w:t xml:space="preserve">AI exposure.</w:t>
      </w:r>
    </w:p>
    <w:p>
      <w:pPr>
        <w:pStyle w:val="FirstParagraph"/>
      </w:pPr>
      <w:r>
        <w:t xml:space="preserve">Our exposure measure is the AI Industry Exposure (AIIE) index</w:t>
      </w:r>
      <w:r>
        <w:t xml:space="preserve"> </w:t>
      </w:r>
      <w:r>
        <w:t xml:space="preserve">of</w:t>
      </w:r>
      <w:r>
        <w:t xml:space="preserve"> </w:t>
      </w:r>
      <w:r>
        <w:t xml:space="preserve">, taken from their public data appendix. AIIE scores 246 4-digit</w:t>
      </w:r>
      <w:r>
        <w:t xml:space="preserve"> </w:t>
      </w:r>
      <w:r>
        <w:t xml:space="preserve">NAICS industries by averaging occupation-level AI exposure (AIOE) weighted by each</w:t>
      </w:r>
      <w:r>
        <w:t xml:space="preserve"> </w:t>
      </w:r>
      <w:r>
        <w:t xml:space="preserve">industry’s BLS occupational employment mix; it is standardized (mean 0, SD 1). The most</w:t>
      </w:r>
      <w:r>
        <w:t xml:space="preserve"> </w:t>
      </w:r>
      <w:r>
        <w:t xml:space="preserve">exposed industries are professional and financial services (securities, accounting,</w:t>
      </w:r>
      <w:r>
        <w:t xml:space="preserve"> </w:t>
      </w:r>
      <w:r>
        <w:t xml:space="preserve">legal, insurance); the least exposed are manual industries (crop-support, building</w:t>
      </w:r>
      <w:r>
        <w:t xml:space="preserve"> </w:t>
      </w:r>
      <w:r>
        <w:t xml:space="preserve">trades, warehousing). AIIE is a measure of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of an industry’s task bundle</w:t>
      </w:r>
      <w:r>
        <w:t xml:space="preserve"> </w:t>
      </w:r>
      <w:r>
        <w:t xml:space="preserve">AI can do; it is silent on whether that is good or bad for firm value—which is exactly</w:t>
      </w:r>
      <w:r>
        <w:t xml:space="preserve"> </w:t>
      </w:r>
      <w:r>
        <w:t xml:space="preserve">the object of H2.</w:t>
      </w:r>
    </w:p>
    <w:bookmarkEnd w:id="14"/>
    <w:bookmarkStart w:id="15" w:name="returns-and-sample."/>
    <w:p>
      <w:pPr>
        <w:pStyle w:val="Heading4"/>
      </w:pPr>
      <w:r>
        <w:t xml:space="preserve">Returns and sample.</w:t>
      </w:r>
    </w:p>
    <w:p>
      <w:pPr>
        <w:pStyle w:val="FirstParagraph"/>
      </w:pPr>
      <w:r>
        <w:t xml:space="preserve">From CRSP we take all common shares (share codes 10, 11)</w:t>
      </w:r>
      <w:r>
        <w:t xml:space="preserve"> </w:t>
      </w:r>
      <w:r>
        <w:t xml:space="preserve">on the NYSE/AMEX/Nasdaq with a valid NAICS whose name record spans the ChatGPT window:</w:t>
      </w:r>
      <w:r>
        <w:t xml:space="preserve"> </w:t>
      </w:r>
      <w:r>
        <w:t xml:space="preserve">4</w:t>
      </w:r>
      <w:r>
        <w:t xml:space="preserve">,</w:t>
      </w:r>
      <w:r>
        <w:t xml:space="preserve">438 stocks. Following standard event-study methodology</w:t>
      </w:r>
      <w:r>
        <w:t xml:space="preserve"> </w:t>
      </w:r>
      <w:r>
        <w:t xml:space="preserve">, we</w:t>
      </w:r>
      <w:r>
        <w:t xml:space="preserve"> </w:t>
      </w:r>
      <w:r>
        <w:t xml:space="preserve">estimate the market model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i</m:t>
            </m:r>
          </m:sub>
        </m:sSub>
        <m:sSub>
          <m:e>
            <m:r>
              <m:t>R</m:t>
            </m:r>
          </m:e>
          <m:sub>
            <m:r>
              <m:t>m</m:t>
            </m:r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252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46</m:t>
        </m:r>
        <m:r>
          <m:rPr>
            <m:sty m:val="p"/>
          </m:rPr>
          <m:t>]</m:t>
        </m:r>
      </m:oMath>
      <w:r>
        <w:t xml:space="preserve"> </w:t>
      </w:r>
      <w:r>
        <w:t xml:space="preserve">against the CRSP value-weighted index and cumulate</w:t>
      </w:r>
      <w:r>
        <w:t xml:space="preserve"> </w:t>
      </w:r>
      <w:r>
        <w:t xml:space="preserve">abnormal returns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, and a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placebo,</w:t>
      </w:r>
      <w:r>
        <w:t xml:space="preserve"> </w:t>
      </w:r>
      <w:r>
        <w:t xml:space="preserve">for two events: ChatGPT (day 0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2022-11-30) and GPT-4 (day 0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2023-03-14). Merging</w:t>
      </w:r>
      <w:r>
        <w:t xml:space="preserve"> </w:t>
      </w:r>
      <w:r>
        <w:t xml:space="preserve">to AIIE on 4-digit NAICS and requiring a valid estimation window leaves</w:t>
      </w:r>
      <w:r>
        <w:t xml:space="preserve"> </w:t>
      </w:r>
      <w:r>
        <w:rPr>
          <w:b/>
          <w:bCs/>
        </w:rPr>
        <w:t xml:space="preserve">3</w:t>
      </w:r>
      <w:r>
        <w:rPr>
          <w:b/>
          <w:bCs/>
        </w:rPr>
        <w:t xml:space="preserve">,</w:t>
      </w:r>
      <w:r>
        <w:rPr>
          <w:b/>
          <w:bCs/>
        </w:rPr>
        <w:t xml:space="preserve">056</w:t>
      </w:r>
      <w:r>
        <w:rPr>
          <w:b/>
          <w:bCs/>
        </w:rPr>
        <w:t xml:space="preserve"> </w:t>
      </w:r>
      <w:r>
        <w:rPr>
          <w:b/>
          <w:bCs/>
        </w:rPr>
        <w:t xml:space="preserve">firms across 182 industries</w:t>
      </w:r>
      <w:r>
        <w:t xml:space="preserve">. Predetermined controls, all measured before ChatGPT, are</w:t>
      </w:r>
      <w:r>
        <w:t xml:space="preserve"> </w:t>
      </w:r>
      <m:oMath>
        <m:r>
          <m:rPr>
            <m:sty m:val="p"/>
          </m:rPr>
          <m:t>ln</m:t>
        </m:r>
      </m:oMath>
      <w:r>
        <w:t xml:space="preserve">(market equity) at 2022-10-31, six-month momentum (2022-05 to 2022-10), Compustat</w:t>
      </w:r>
      <w:r>
        <w:t xml:space="preserve"> </w:t>
      </w:r>
      <w:r>
        <w:t xml:space="preserve">book-to-market (FY2021 common equity over market equity), and</w:t>
      </w:r>
      <w:r>
        <w:t xml:space="preserve"> </w:t>
      </w:r>
      <m:oMath>
        <m:r>
          <m:rPr>
            <m:sty m:val="p"/>
          </m:rPr>
          <m:t>ln</m:t>
        </m:r>
      </m:oMath>
      <w:r>
        <w:t xml:space="preserve">(employees). AIIE and</w:t>
      </w:r>
      <w:r>
        <w:t xml:space="preserve"> </w:t>
      </w:r>
      <w:r>
        <w:t xml:space="preserve">controls are winsorized at 1/99 and standardized; CARs are winsorized at 0.5/99.5.</w:t>
      </w:r>
      <w:r>
        <w:t xml:space="preserve"> </w:t>
      </w:r>
      <w:r>
        <w:t xml:space="preserve">Table </w:t>
      </w:r>
      <w:hyperlink w:anchor="tab:sumstat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reports summary statistics.</w:t>
      </w:r>
    </w:p>
    <w:bookmarkEnd w:id="15"/>
    <w:bookmarkStart w:id="16" w:name="sign-buckets."/>
    <w:p>
      <w:pPr>
        <w:pStyle w:val="Heading4"/>
      </w:pPr>
      <w:r>
        <w:t xml:space="preserve">Sign buckets.</w:t>
      </w:r>
    </w:p>
    <w:p>
      <w:pPr>
        <w:pStyle w:val="FirstParagraph"/>
      </w:pPr>
      <w:r>
        <w:t xml:space="preserve">To operationalize H2 we assign 4-digit NAICS industries to</w:t>
      </w:r>
      <w:r>
        <w:t xml:space="preserve"> </w:t>
      </w:r>
      <w:r>
        <w:t xml:space="preserve">three buckets.</w:t>
      </w:r>
      <w:r>
        <w:t xml:space="preserve"> </w:t>
      </w:r>
      <w:r>
        <w:rPr>
          <w:i/>
          <w:iCs/>
        </w:rPr>
        <w:t xml:space="preserve">Supplier</w:t>
      </w:r>
      <w:r>
        <w:t xml:space="preserve"> </w:t>
      </w:r>
      <w:r>
        <w:t xml:space="preserve">(computers, semiconductors, software publishers, data</w:t>
      </w:r>
      <w:r>
        <w:t xml:space="preserve"> </w:t>
      </w:r>
      <w:r>
        <w:t xml:space="preserve">processing/cloud) are firms that build AI.</w:t>
      </w:r>
      <w:r>
        <w:t xml:space="preserve"> </w:t>
      </w:r>
      <w:r>
        <w:rPr>
          <w:i/>
          <w:iCs/>
        </w:rPr>
        <w:t xml:space="preserve">Substitution</w:t>
      </w:r>
      <w:r>
        <w:t xml:space="preserve"> </w:t>
      </w:r>
      <w:r>
        <w:t xml:space="preserve">(publishers, other</w:t>
      </w:r>
      <w:r>
        <w:t xml:space="preserve"> </w:t>
      </w:r>
      <w:r>
        <w:t xml:space="preserve">information services, legal, consulting, advertising, employment/staffing services, and</w:t>
      </w:r>
      <w:r>
        <w:t xml:space="preserve"> </w:t>
      </w:r>
      <w:r>
        <w:t xml:space="preserve">education) are industries whose output is cognitive labor that generative AI can itself</w:t>
      </w:r>
      <w:r>
        <w:t xml:space="preserve"> </w:t>
      </w:r>
      <w:r>
        <w:t xml:space="preserve">produce. All others are</w:t>
      </w:r>
      <w:r>
        <w:t xml:space="preserve"> </w:t>
      </w:r>
      <w:r>
        <w:rPr>
          <w:i/>
          <w:iCs/>
        </w:rPr>
        <w:t xml:space="preserve">users</w:t>
      </w:r>
      <w:r>
        <w:t xml:space="preserve">. This NAICS-based split is deliberately coarse:</w:t>
      </w:r>
      <w:r>
        <w:t xml:space="preserve"> </w:t>
      </w:r>
      <w:r>
        <w:t xml:space="preserve">CRSP’s industry tags are noisy (for example, several payment and financial-data firms</w:t>
      </w:r>
      <w:r>
        <w:t xml:space="preserve"> </w:t>
      </w:r>
      <w:r>
        <w:t xml:space="preserve">are tagged under</w:t>
      </w:r>
      <w:r>
        <w:t xml:space="preserve"> </w:t>
      </w:r>
      <w:r>
        <w:t xml:space="preserve">“business support services”</w:t>
      </w:r>
      <w:r>
        <w:t xml:space="preserve">), and IT-services firms both build and</w:t>
      </w:r>
      <w:r>
        <w:t xml:space="preserve"> </w:t>
      </w:r>
      <w:r>
        <w:t xml:space="preserve">are threatened by code-generating AI. Hand-coding true task exposure for 40–50 firms is</w:t>
      </w:r>
      <w:r>
        <w:t xml:space="preserve"> </w:t>
      </w:r>
      <w:r>
        <w:t xml:space="preserve">the student’s task; the automated split is the machine baseline and is, if anything,</w:t>
      </w:r>
      <w:r>
        <w:t xml:space="preserve"> </w:t>
      </w:r>
      <w:r>
        <w:t xml:space="preserve">conservative because it leaves some large information-platform winners inside the</w:t>
      </w:r>
      <w:r>
        <w:t xml:space="preserve"> </w:t>
      </w:r>
      <w:r>
        <w:t xml:space="preserve">substitution bucket.</w:t>
      </w:r>
    </w:p>
    <w:bookmarkEnd w:id="16"/>
    <w:bookmarkStart w:id="17" w:name="firm-level-10-k-ai-intensity."/>
    <w:p>
      <w:pPr>
        <w:pStyle w:val="Heading4"/>
      </w:pPr>
      <w:r>
        <w:t xml:space="preserve">Firm-level 10-K AI intensity.</w:t>
      </w:r>
    </w:p>
    <w:p>
      <w:pPr>
        <w:pStyle w:val="FirstParagraph"/>
      </w:pPr>
      <w:r>
        <w:t xml:space="preserve">As an independent, text-based exposure measure</w:t>
      </w:r>
      <w:r>
        <w:t xml:space="preserve"> </w:t>
      </w:r>
      <w:r>
        <w:t xml:space="preserve">we download each firm’s most recent 10-K filed before ChatGPT from SEC EDGAR, strip HTML,</w:t>
      </w:r>
      <w:r>
        <w:t xml:space="preserve"> </w:t>
      </w:r>
      <w:r>
        <w:t xml:space="preserve">and count AI-related terms (</w:t>
      </w:r>
      <w:r>
        <w:t xml:space="preserve">“artificial intelligence,”</w:t>
      </w:r>
      <w:r>
        <w:t xml:space="preserve"> </w:t>
      </w:r>
      <w:r>
        <w:t xml:space="preserve">“machine learning,”</w:t>
      </w:r>
      <w:r>
        <w:t xml:space="preserve"> </w:t>
      </w:r>
      <w:r>
        <w:t xml:space="preserve">“large language model,”</w:t>
      </w:r>
      <w:r>
        <w:t xml:space="preserve"> </w:t>
      </w:r>
      <w:r>
        <w:t xml:space="preserve">etc.) per 10</w:t>
      </w:r>
      <w:r>
        <w:t xml:space="preserve">,</w:t>
      </w:r>
      <w:r>
        <w:t xml:space="preserve">000 words. Across 650 filings,</w:t>
      </w:r>
      <w:r>
        <w:t xml:space="preserve"> </w:t>
      </w:r>
      <w:r>
        <w:t xml:space="preserve">35% mention AI at least once. This measure is used to validate AIIE and as an</w:t>
      </w:r>
      <w:r>
        <w:t xml:space="preserve"> </w:t>
      </w:r>
      <w:r>
        <w:t xml:space="preserve">alternative regressor.</w:t>
      </w:r>
    </w:p>
    <w:bookmarkEnd w:id="17"/>
    <w:bookmarkStart w:id="18" w:name="design-based-inference."/>
    <w:p>
      <w:pPr>
        <w:pStyle w:val="Heading4"/>
      </w:pPr>
      <w:r>
        <w:t xml:space="preserve">Design-based inference.</w:t>
      </w:r>
    </w:p>
    <w:p>
      <w:pPr>
        <w:pStyle w:val="FirstParagraph"/>
      </w:pPr>
      <w:r>
        <w:t xml:space="preserve">Two features of the design shape how we read the estimates.</w:t>
      </w:r>
      <w:r>
        <w:t xml:space="preserve"> </w:t>
      </w:r>
      <w:r>
        <w:t xml:space="preserve">First, AIIE is defined at the 4-digit-NAICS level, so treatment is effectively assigned to 182</w:t>
      </w:r>
      <w:r>
        <w:t xml:space="preserve"> </w:t>
      </w:r>
      <w:r>
        <w:t xml:space="preserve">industries, not 3</w:t>
      </w:r>
      <w:r>
        <w:t xml:space="preserve">,</w:t>
      </w:r>
      <w:r>
        <w:t xml:space="preserve">056 firms; industry-clustered standard errors are the right first step, but</w:t>
      </w:r>
      <w:r>
        <w:t xml:space="preserve"> </w:t>
      </w:r>
      <w:r>
        <w:t xml:space="preserve">the effective number of independent units is the industry count. We therefore report, alongside</w:t>
      </w:r>
      <w:r>
        <w:t xml:space="preserve"> </w:t>
      </w:r>
      <w:r>
        <w:t xml:space="preserve">the clustered</w:t>
      </w:r>
      <w:r>
        <w:t xml:space="preserve"> </w:t>
      </w:r>
      <m:oMath>
        <m:r>
          <m:t>t</m:t>
        </m:r>
      </m:oMath>
      <w:r>
        <w:t xml:space="preserve">-statistics, an</w:t>
      </w:r>
      <w:r>
        <w:t xml:space="preserve"> </w:t>
      </w:r>
      <w:r>
        <w:rPr>
          <w:i/>
          <w:iCs/>
        </w:rPr>
        <w:t xml:space="preserve">industry-level randomization-inference</w:t>
      </w:r>
      <w:r>
        <w:t xml:space="preserve"> </w:t>
      </w:r>
      <m:oMath>
        <m:r>
          <m:t>p</m:t>
        </m:r>
      </m:oMath>
      <w:r>
        <w:t xml:space="preserve">-value that</w:t>
      </w:r>
      <w:r>
        <w:t xml:space="preserve"> </w:t>
      </w:r>
      <w:r>
        <w:t xml:space="preserve">permutes the 182 industry AIIE values among the industries (holding firms-per-industry fixed),</w:t>
      </w:r>
      <w:r>
        <w:t xml:space="preserve"> </w:t>
      </w:r>
      <w:r>
        <w:t xml:space="preserve">broadcasts the permuted exposure back to firms, and refits the clustered cross-section</w:t>
      </w:r>
      <w:r>
        <w:t xml:space="preserve"> </w:t>
      </w:r>
      <w:r>
        <w:t xml:space="preserve">1</w:t>
      </w:r>
      <w:r>
        <w:t xml:space="preserve">,</w:t>
      </w:r>
      <w:r>
        <w:t xml:space="preserve">000 times (Section </w:t>
      </w:r>
      <w:hyperlink w:anchor="sec:robust">
        <w:r>
          <w:rPr>
            <w:rStyle w:val="Hyperlink"/>
          </w:rPr>
          <w:t xml:space="preserve">9</w:t>
        </w:r>
      </w:hyperlink>
      <w:r>
        <w:t xml:space="preserve">). Second, because AIIE is correlated with firm size and</w:t>
      </w:r>
      <w:r>
        <w:t xml:space="preserve"> </w:t>
      </w:r>
      <w:r>
        <w:t xml:space="preserve">growth characteristics, the priced-exposure effect could in principle reflect a size or</w:t>
      </w:r>
      <w:r>
        <w:t xml:space="preserve"> </w:t>
      </w:r>
      <w:r>
        <w:t xml:space="preserve">value/growth factor loading that repriced on the same days; we address this with a</w:t>
      </w:r>
      <w:r>
        <w:t xml:space="preserve"> </w:t>
      </w:r>
      <w:r>
        <w:t xml:space="preserve">characteristic-matched design that balances high- and low-AIIE firms on size, book-to-market,</w:t>
      </w:r>
      <w:r>
        <w:t xml:space="preserve"> </w:t>
      </w:r>
      <w:r>
        <w:t xml:space="preserve">momentum, and employment before comparing their CARs (Section </w:t>
      </w:r>
      <w:hyperlink w:anchor="sec:robust">
        <w:r>
          <w:rPr>
            <w:rStyle w:val="Hyperlink"/>
          </w:rPr>
          <w:t xml:space="preserve">9</w:t>
        </w:r>
      </w:hyperlink>
      <w:r>
        <w:t xml:space="preserve">), and with a</w:t>
      </w:r>
      <w:r>
        <w:t xml:space="preserve"> </w:t>
      </w:r>
      <w:r>
        <w:t xml:space="preserve">power/minimum-detectable-effect analysis (Section </w:t>
      </w:r>
      <w:hyperlink w:anchor="sec:power">
        <w:r>
          <w:rPr>
            <w:rStyle w:val="Hyperlink"/>
          </w:rPr>
          <w:t xml:space="preserve">10</w:t>
        </w:r>
      </w:hyperlink>
      <w:r>
        <w:t xml:space="preserve">) that states each null as a</w:t>
      </w:r>
      <w:r>
        <w:t xml:space="preserve"> </w:t>
      </w:r>
      <w:r>
        <w:t xml:space="preserve">bound. Fully separating the AI signal from the concurrent Powell pivot requires the</w:t>
      </w:r>
      <w:r>
        <w:t xml:space="preserve"> </w:t>
      </w:r>
      <w:r>
        <w:t xml:space="preserve">hand-verified event calendar that is the student’s reserved task (Appendix;</w:t>
      </w:r>
      <w:r>
        <w:t xml:space="preserve"> </w:t>
      </w:r>
      <w:r>
        <w:rPr>
          <w:rStyle w:val="VerbatimChar"/>
        </w:rPr>
        <w:t xml:space="preserve">STUDENT_TASKS.md</w:t>
      </w:r>
      <w:r>
        <w:t xml:space="preserve">); the design-based checks here use only observable data.</w:t>
      </w:r>
    </w:p>
    <w:bookmarkEnd w:id="18"/>
    <w:bookmarkEnd w:id="19"/>
    <w:bookmarkStart w:id="22" w:name="sec:res"/>
    <w:p>
      <w:pPr>
        <w:pStyle w:val="Heading1"/>
      </w:pPr>
      <w:r>
        <w:t xml:space="preserve">Main Results: Was AI Exposure Priced?</w:t>
      </w:r>
    </w:p>
    <w:bookmarkStart w:id="20" w:name="longshort-portfolios."/>
    <w:p>
      <w:pPr>
        <w:pStyle w:val="Heading4"/>
      </w:pPr>
      <w:r>
        <w:t xml:space="preserve">Long–short portfolios.</w:t>
      </w:r>
    </w:p>
    <w:p>
      <w:pPr>
        <w:pStyle w:val="FirstParagraph"/>
      </w:pPr>
      <w:r>
        <w:t xml:space="preserve">Table </w:t>
      </w:r>
      <w:hyperlink w:anchor="tab:longshort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sorts firms into AIIE</w:t>
      </w:r>
      <w:r>
        <w:t xml:space="preserve"> </w:t>
      </w:r>
      <w:r>
        <w:t xml:space="preserve">quintiles and reports mean CARs. Around ChatGPT the top-minus-bottom quintile earns</w:t>
      </w:r>
      <w:r>
        <w:t xml:space="preserve"> </w:t>
      </w:r>
      <m:oMath>
        <m:r>
          <m:rPr>
            <m:sty m:val="p"/>
          </m:rPr>
          <m:t>+</m:t>
        </m:r>
        <m:r>
          <m:t>1.31</m:t>
        </m:r>
        <m:r>
          <m:rPr>
            <m:sty m:val="p"/>
          </m:rPr>
          <m:t>%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3.96</m:t>
        </m:r>
      </m:oMath>
      <w:r>
        <w:t xml:space="preserve">) and</w:t>
      </w:r>
      <w:r>
        <w:t xml:space="preserve"> </w:t>
      </w:r>
      <m:oMath>
        <m:r>
          <m:rPr>
            <m:sty m:val="p"/>
          </m:rPr>
          <m:t>+</m:t>
        </m:r>
        <m:r>
          <m:t>2.68</m:t>
        </m:r>
        <m:r>
          <m:rPr>
            <m:sty m:val="p"/>
          </m:rPr>
          <m:t>%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3.46</m:t>
        </m:r>
      </m:oMath>
      <w:r>
        <w:t xml:space="preserve">); the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placebo is an insignificant</w:t>
      </w:r>
      <w:r>
        <w:t xml:space="preserve"> </w:t>
      </w:r>
      <m:oMath>
        <m:r>
          <m:rPr>
            <m:sty m:val="p"/>
          </m:rPr>
          <m:t>−</m:t>
        </m:r>
        <m:r>
          <m:t>0.49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0.64</m:t>
        </m:r>
      </m:oMath>
      <w:r>
        <w:t xml:space="preserve">). The five-day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window is positive but insignificant (</w:t>
      </w:r>
      <m:oMath>
        <m:r>
          <m:rPr>
            <m:sty m:val="p"/>
          </m:rPr>
          <m:t>+</m:t>
        </m:r>
        <m:r>
          <m:t>0.70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1.43</m:t>
        </m:r>
      </m:oMath>
      <w:r>
        <w:t xml:space="preserve">)—the repricing was not</w:t>
      </w:r>
      <w:r>
        <w:t xml:space="preserve"> </w:t>
      </w:r>
      <w:r>
        <w:t xml:space="preserve">concentrated on any single day, consistent with ChatGPT’s virality building over the</w:t>
      </w:r>
      <w:r>
        <w:t xml:space="preserve"> </w:t>
      </w:r>
      <w:r>
        <w:t xml:space="preserve">first week. Figure </w:t>
      </w:r>
      <w:hyperlink w:anchor="fig:caar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makes the timing visible: high- and low-AIIE terciles</w:t>
      </w:r>
      <w:r>
        <w:t xml:space="preserve"> </w:t>
      </w:r>
      <w:r>
        <w:t xml:space="preserve">track each other through day 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diverge afterward.</w:t>
      </w:r>
    </w:p>
    <w:bookmarkEnd w:id="20"/>
    <w:bookmarkStart w:id="21" w:name="cross-section."/>
    <w:p>
      <w:pPr>
        <w:pStyle w:val="Heading4"/>
      </w:pPr>
      <w:r>
        <w:t xml:space="preserve">Cross-section.</w:t>
      </w:r>
    </w:p>
    <w:p>
      <w:pPr>
        <w:pStyle w:val="FirstParagraph"/>
      </w:pPr>
      <w:r>
        <w:t xml:space="preserve">Table </w:t>
      </w:r>
      <w:hyperlink w:anchor="tab:main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regresses the ten-day ChatGPT CAR on</w:t>
      </w:r>
      <w:r>
        <w:t xml:space="preserve"> </w:t>
      </w:r>
      <w:r>
        <w:t xml:space="preserve">standardized AIIE with progressive controls, clustering by industry. A one-SD increase</w:t>
      </w:r>
      <w:r>
        <w:t xml:space="preserve"> </w:t>
      </w:r>
      <w:r>
        <w:t xml:space="preserve">in AIIE raises the ten-day CAR by</w:t>
      </w:r>
      <w:r>
        <w:t xml:space="preserve"> </w:t>
      </w:r>
      <m:oMath>
        <m:r>
          <m:t>0.58</m:t>
        </m:r>
      </m:oMath>
      <w:r>
        <w:t xml:space="preserve">pp with no controls (</w:t>
      </w:r>
      <m:oMath>
        <m:r>
          <m:t>t</m:t>
        </m:r>
        <m:r>
          <m:rPr>
            <m:sty m:val="p"/>
          </m:rPr>
          <m:t>=</m:t>
        </m:r>
        <m:r>
          <m:t>1.88</m:t>
        </m:r>
      </m:oMath>
      <w:r>
        <w:t xml:space="preserve">) and</w:t>
      </w:r>
      <w:r>
        <w:t xml:space="preserve"> </w:t>
      </w:r>
      <m:oMath>
        <m:r>
          <m:t>0.71</m:t>
        </m:r>
      </m:oMath>
      <w:r>
        <w:t xml:space="preserve">pp with</w:t>
      </w:r>
      <w:r>
        <w:t xml:space="preserve"> </w:t>
      </w:r>
      <w:r>
        <w:t xml:space="preserve">the full control set (</w:t>
      </w:r>
      <m:oMath>
        <m:r>
          <m:t>t</m:t>
        </m:r>
        <m:r>
          <m:rPr>
            <m:sty m:val="p"/>
          </m:rPr>
          <m:t>=</m:t>
        </m:r>
        <m:r>
          <m:t>2.49</m:t>
        </m:r>
      </m:oMath>
      <w:r>
        <w:t xml:space="preserve">); the effect is</w:t>
      </w:r>
      <w:r>
        <w:t xml:space="preserve"> </w:t>
      </w:r>
      <m:oMath>
        <m:r>
          <m:t>0.97</m:t>
        </m:r>
      </m:oMath>
      <w:r>
        <w:t xml:space="preserve">pp among non-financials (</w:t>
      </w:r>
      <m:oMath>
        <m:r>
          <m:t>t</m:t>
        </m:r>
        <m:r>
          <m:rPr>
            <m:sty m:val="p"/>
          </m:rPr>
          <m:t>=</m:t>
        </m:r>
        <m:r>
          <m:t>3.39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0.35</m:t>
        </m:r>
      </m:oMath>
      <w:r>
        <w:t xml:space="preserve">pp in the tight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window (</w:t>
      </w:r>
      <m:oMath>
        <m:r>
          <m:t>t</m:t>
        </m:r>
        <m:r>
          <m:rPr>
            <m:sty m:val="p"/>
          </m:rPr>
          <m:t>=</m:t>
        </m:r>
        <m:r>
          <m:t>2.61</m:t>
        </m:r>
      </m:oMath>
      <w:r>
        <w:t xml:space="preserve">). H1 is supported: the market priced</w:t>
      </w:r>
      <w:r>
        <w:t xml:space="preserve"> </w:t>
      </w:r>
      <w:r>
        <w:t xml:space="preserve">AI exposure, positively on average, within days.</w:t>
      </w:r>
    </w:p>
    <w:bookmarkEnd w:id="21"/>
    <w:bookmarkEnd w:id="22"/>
    <w:bookmarkStart w:id="24" w:name="X953e15db18100db8ea2dc90908b65a222de3d7f"/>
    <w:p>
      <w:pPr>
        <w:pStyle w:val="Heading1"/>
      </w:pPr>
      <w:r>
        <w:t xml:space="preserve">The Sign Channel: Substitution versus Complementarity</w:t>
      </w:r>
    </w:p>
    <w:p>
      <w:pPr>
        <w:pStyle w:val="FirstParagraph"/>
      </w:pPr>
      <w:r>
        <w:t xml:space="preserve">The positive average hides opposing forces. Table </w:t>
      </w:r>
      <w:hyperlink w:anchor="tab:bucket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reports mean CARs by</w:t>
      </w:r>
      <w:r>
        <w:t xml:space="preserve"> </w:t>
      </w:r>
      <w:r>
        <w:t xml:space="preserve">sign bucket. Over ChatGPT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]</m:t>
        </m:r>
      </m:oMath>
      <w:r>
        <w:t xml:space="preserve">, AI-supplier industries earned</w:t>
      </w:r>
      <w:r>
        <w:t xml:space="preserve"> </w:t>
      </w:r>
      <m:oMath>
        <m:r>
          <m:rPr>
            <m:sty m:val="p"/>
          </m:rPr>
          <m:t>+</m:t>
        </m:r>
        <m:r>
          <m:t>0.64</m:t>
        </m:r>
        <m:r>
          <m:rPr>
            <m:sty m:val="p"/>
          </m:rPr>
          <m:t>%</m:t>
        </m:r>
      </m:oMath>
      <w:r>
        <w:t xml:space="preserve">, ordinary</w:t>
      </w:r>
      <w:r>
        <w:t xml:space="preserve"> </w:t>
      </w:r>
      <w:r>
        <w:t xml:space="preserve">users</w:t>
      </w:r>
      <w:r>
        <w:t xml:space="preserve"> </w:t>
      </w:r>
      <m:oMath>
        <m:r>
          <m:rPr>
            <m:sty m:val="p"/>
          </m:rPr>
          <m:t>−</m:t>
        </m:r>
        <m:r>
          <m:t>1.28</m:t>
        </m:r>
        <m:r>
          <m:rPr>
            <m:sty m:val="p"/>
          </m:rPr>
          <m:t>%</m:t>
        </m:r>
      </m:oMath>
      <w:r>
        <w:t xml:space="preserve">, and substitution industries</w:t>
      </w:r>
      <w:r>
        <w:t xml:space="preserve"> </w:t>
      </w:r>
      <m:oMath>
        <m:r>
          <m:rPr>
            <m:sty m:val="p"/>
          </m:rPr>
          <m:t>−</m:t>
        </m:r>
        <m:r>
          <m:t>2.76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2.32</m:t>
        </m:r>
      </m:oMath>
      <w:r>
        <w:t xml:space="preserve">); the pattern is</w:t>
      </w:r>
      <w:r>
        <w:t xml:space="preserve"> </w:t>
      </w:r>
      <w:r>
        <w:t xml:space="preserve">sharper in the five-day window (</w:t>
      </w:r>
      <m:oMath>
        <m:r>
          <m:rPr>
            <m:sty m:val="p"/>
          </m:rPr>
          <m:t>+</m:t>
        </m:r>
        <m:r>
          <m:t>0.36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0.45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2.11</m:t>
        </m:r>
        <m:r>
          <m:rPr>
            <m:sty m:val="p"/>
          </m:rPr>
          <m:t>%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2.73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substitution). Table </w:t>
      </w:r>
      <w:hyperlink w:anchor="tab:sign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formalizes it: relative to ordinary users, supplier</w:t>
      </w:r>
      <w:r>
        <w:t xml:space="preserve"> </w:t>
      </w:r>
      <w:r>
        <w:t xml:space="preserve">industries earned</w:t>
      </w:r>
      <w:r>
        <w:t xml:space="preserve"> </w:t>
      </w:r>
      <m:oMath>
        <m:r>
          <m:rPr>
            <m:sty m:val="p"/>
          </m:rPr>
          <m:t>+</m:t>
        </m:r>
        <m:r>
          <m:t>1.41</m:t>
        </m:r>
      </m:oMath>
      <w:r>
        <w:t xml:space="preserve">pp and substitution industries</w:t>
      </w:r>
      <w:r>
        <w:t xml:space="preserve"> </w:t>
      </w:r>
      <m:oMath>
        <m:r>
          <m:rPr>
            <m:sty m:val="p"/>
          </m:rPr>
          <m:t>−</m:t>
        </m:r>
        <m:r>
          <m:t>1.06</m:t>
        </m:r>
      </m:oMath>
      <w:r>
        <w:t xml:space="preserve">pp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]</m:t>
        </m:r>
      </m:oMath>
      <w:r>
        <w:t xml:space="preserve">, a</w:t>
      </w:r>
      <w:r>
        <w:t xml:space="preserve"> </w:t>
      </w:r>
      <m:oMath>
        <m:r>
          <m:rPr>
            <m:sty m:val="p"/>
          </m:rPr>
          <m:t>+</m:t>
        </m:r>
        <m:r>
          <m:t>2.5</m:t>
        </m:r>
      </m:oMath>
      <w:r>
        <w:t xml:space="preserve">pp supplier-minus-substitution gap. Figure </w:t>
      </w:r>
      <w:hyperlink w:anchor="fig:buckets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visualizes the</w:t>
      </w:r>
      <w:r>
        <w:t xml:space="preserve"> </w:t>
      </w:r>
      <w:r>
        <w:t xml:space="preserve">ordering. Individually the bucket coefficients are imprecise—there are only four</w:t>
      </w:r>
      <w:r>
        <w:t xml:space="preserve"> </w:t>
      </w:r>
      <w:r>
        <w:t xml:space="preserve">supplier and nine substitution industries, and industry clustering is demanding—but</w:t>
      </w:r>
      <w:r>
        <w:t xml:space="preserve"> </w:t>
      </w:r>
      <w:r>
        <w:t xml:space="preserve">the ordering is monotone and the substitution underperformance is significant in the raw</w:t>
      </w:r>
      <w:r>
        <w:t xml:space="preserve"> </w:t>
      </w:r>
      <w:r>
        <w:t xml:space="preserve">means. H2 is supported: exposure is priced positively where AI complements and</w:t>
      </w:r>
      <w:r>
        <w:t xml:space="preserve"> </w:t>
      </w:r>
      <w:r>
        <w:t xml:space="preserve">negatively where AI substitutes for the firm’s output.</w:t>
      </w:r>
    </w:p>
    <w:bookmarkStart w:id="23" w:name="firm-level-validation."/>
    <w:p>
      <w:pPr>
        <w:pStyle w:val="Heading4"/>
      </w:pPr>
      <w:r>
        <w:t xml:space="preserve">Firm-level validation.</w:t>
      </w:r>
    </w:p>
    <w:p>
      <w:pPr>
        <w:pStyle w:val="FirstParagraph"/>
      </w:pPr>
      <w:r>
        <w:t xml:space="preserve">Table </w:t>
      </w:r>
      <w:hyperlink w:anchor="tab:edgar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shows that firm 10-K AI-mention</w:t>
      </w:r>
      <w:r>
        <w:t xml:space="preserve"> </w:t>
      </w:r>
      <w:r>
        <w:t xml:space="preserve">intensity, an entirely separate measure built from filing text for 650 firms,</w:t>
      </w:r>
      <w:r>
        <w:t xml:space="preserve"> </w:t>
      </w:r>
      <w:r>
        <w:t xml:space="preserve">is positively correlated with AIIE (</w:t>
      </w:r>
      <m:oMath>
        <m:r>
          <m:t>ρ</m:t>
        </m:r>
        <m:r>
          <m:rPr>
            <m:sty m:val="p"/>
          </m:rPr>
          <m:t>=</m:t>
        </m:r>
        <m:r>
          <m:t>0.25</m:t>
        </m:r>
      </m:oMath>
      <w:r>
        <w:t xml:space="preserve">) and independently predicts positive</w:t>
      </w:r>
      <w:r>
        <w:t xml:space="preserve"> </w:t>
      </w:r>
      <w:r>
        <w:t xml:space="preserve">ChatGPT CARs—significantly in the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window (</w:t>
      </w:r>
      <m:oMath>
        <m:r>
          <m:t>t</m:t>
        </m:r>
        <m:r>
          <m:rPr>
            <m:sty m:val="p"/>
          </m:rPr>
          <m:t>=</m:t>
        </m:r>
        <m:r>
          <m:t>2.04</m:t>
        </m:r>
      </m:oMath>
      <w:r>
        <w:t xml:space="preserve">), positively but</w:t>
      </w:r>
      <w:r>
        <w:t xml:space="preserve"> </w:t>
      </w:r>
      <w:r>
        <w:t xml:space="preserve">insignificantly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]</m:t>
        </m:r>
      </m:oMath>
      <w:r>
        <w:t xml:space="preserve">. The modest correlation is itself informative: the two</w:t>
      </w:r>
      <w:r>
        <w:t xml:space="preserve"> </w:t>
      </w:r>
      <w:r>
        <w:t xml:space="preserve">measures overlap but are not redundant, and sharpening the firm-level text measure (a</w:t>
      </w:r>
      <w:r>
        <w:t xml:space="preserve"> </w:t>
      </w:r>
      <w:r>
        <w:t xml:space="preserve">student task) should tighten the link.</w:t>
      </w:r>
    </w:p>
    <w:bookmarkEnd w:id="23"/>
    <w:bookmarkEnd w:id="24"/>
    <w:bookmarkStart w:id="25" w:name="robustness"/>
    <w:p>
      <w:pPr>
        <w:pStyle w:val="Heading1"/>
      </w:pPr>
      <w:r>
        <w:t xml:space="preserve">Robustness</w:t>
      </w:r>
    </w:p>
    <w:p>
      <w:pPr>
        <w:pStyle w:val="FirstParagraph"/>
      </w:pPr>
      <w:r>
        <w:t xml:space="preserve">Table </w:t>
      </w:r>
      <w:hyperlink w:anchor="tab:robust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collects sensitivity checks on the AIIE coefficient. The effect</w:t>
      </w:r>
      <w:r>
        <w:t xml:space="preserve"> </w:t>
      </w:r>
      <w:r>
        <w:t xml:space="preserve">holds under heteroskedasticity-robust (HC1) rather than clustered errors, when financials</w:t>
      </w:r>
      <w:r>
        <w:t xml:space="preserve"> </w:t>
      </w:r>
      <w:r>
        <w:t xml:space="preserve">are dropped, and in the tight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windows. It is</w:t>
      </w:r>
      <w:r>
        <w:t xml:space="preserve"> </w:t>
      </w:r>
      <w:r>
        <w:rPr>
          <w:i/>
          <w:iCs/>
        </w:rPr>
        <w:t xml:space="preserve">absent</w:t>
      </w:r>
      <w:r>
        <w:t xml:space="preserve"> </w:t>
      </w:r>
      <w:r>
        <w:t xml:space="preserve">in the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placebo (</w:t>
      </w:r>
      <m:oMath>
        <m:r>
          <m:rPr>
            <m:sty m:val="p"/>
          </m:rPr>
          <m:t>−</m:t>
        </m:r>
        <m:r>
          <m:t>0.33</m:t>
        </m:r>
      </m:oMath>
      <w:r>
        <w:t xml:space="preserve">pp,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1.11</m:t>
        </m:r>
      </m:oMath>
      <w:r>
        <w:t xml:space="preserve">), ruling out a mechanical growth-factor pre-trend.</w:t>
      </w:r>
      <w:r>
        <w:t xml:space="preserve"> </w:t>
      </w:r>
      <w:r>
        <w:t xml:space="preserve">The five-day window is the weakest (</w:t>
      </w:r>
      <m:oMath>
        <m:r>
          <m:rPr>
            <m:sty m:val="p"/>
          </m:rPr>
          <m:t>+</m:t>
        </m:r>
        <m:r>
          <m:t>0.20</m:t>
        </m:r>
      </m:oMath>
      <w:r>
        <w:t xml:space="preserve">pp,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1.26</m:t>
        </m:r>
      </m:oMath>
      <w:r>
        <w:t xml:space="preserve">), which we report rather than hide.</w:t>
      </w:r>
      <w:r>
        <w:t xml:space="preserve"> </w:t>
      </w:r>
      <w:r>
        <w:t xml:space="preserve">For GPT-4—whose window overlaps the SVB banking crisis—the AIIE coefficient is</w:t>
      </w:r>
      <w:r>
        <w:t xml:space="preserve"> </w:t>
      </w:r>
      <m:oMath>
        <m:r>
          <m:rPr>
            <m:sty m:val="p"/>
          </m:rPr>
          <m:t>+</m:t>
        </m:r>
        <m:r>
          <m:t>0.63</m:t>
        </m:r>
      </m:oMath>
      <w:r>
        <w:t xml:space="preserve">pp (</w:t>
      </w:r>
      <m:oMath>
        <m:r>
          <m:t>t</m:t>
        </m:r>
        <m:r>
          <m:rPr>
            <m:sty m:val="p"/>
          </m:rPr>
          <m:t>=</m:t>
        </m:r>
        <m:r>
          <m:t>2.99</m:t>
        </m:r>
      </m:oMath>
      <w:r>
        <w:t xml:space="preserve">) and, crucially, is unchanged when we drop the crisis-hit financial</w:t>
      </w:r>
      <w:r>
        <w:t xml:space="preserve"> </w:t>
      </w:r>
      <w:r>
        <w:t xml:space="preserve">sector (</w:t>
      </w:r>
      <m:oMath>
        <m:r>
          <m:rPr>
            <m:sty m:val="p"/>
          </m:rPr>
          <m:t>+</m:t>
        </m:r>
        <m:r>
          <m:t>0.62</m:t>
        </m:r>
      </m:oMath>
      <w:r>
        <w:t xml:space="preserve">pp,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2.72</m:t>
        </m:r>
      </m:oMath>
      <w:r>
        <w:t xml:space="preserve">), suggesting the AI signal is not merely the banking shock in</w:t>
      </w:r>
      <w:r>
        <w:t xml:space="preserve"> </w:t>
      </w:r>
      <w:r>
        <w:t xml:space="preserve">disguise. The single largest threat to identification is the coincidence of ChatGPT with</w:t>
      </w:r>
      <w:r>
        <w:t xml:space="preserve"> </w:t>
      </w:r>
      <w:r>
        <w:t xml:space="preserve">the November 30, 2022 Powell pivot; the market model removes the market-wide component,</w:t>
      </w:r>
      <w:r>
        <w:t xml:space="preserve"> </w:t>
      </w:r>
      <w:r>
        <w:t xml:space="preserve">and the null placebo is reassuring, but a characteristic-matched design and a</w:t>
      </w:r>
      <w:r>
        <w:t xml:space="preserve"> </w:t>
      </w:r>
      <w:r>
        <w:t xml:space="preserve">hand-verified event calendar (student task) are needed to fully separate the two.</w:t>
      </w:r>
    </w:p>
    <w:bookmarkEnd w:id="25"/>
    <w:bookmarkStart w:id="26" w:name="sec:het"/>
    <w:p>
      <w:pPr>
        <w:pStyle w:val="Heading1"/>
      </w:pPr>
      <w:r>
        <w:t xml:space="preserve">Heterogeneity by Observable Moderators</w:t>
      </w:r>
    </w:p>
    <w:p>
      <w:pPr>
        <w:pStyle w:val="FirstParagraph"/>
      </w:pPr>
      <w:r>
        <w:t xml:space="preserve">If the priced-exposure effect is concentrated in an identifiable subgroup, the pooled coefficient</w:t>
      </w:r>
      <w:r>
        <w:t xml:space="preserve"> </w:t>
      </w:r>
      <w:r>
        <w:t xml:space="preserve">understates it there and overstates it elsewhere. Table </w:t>
      </w:r>
      <w:hyperlink w:anchor="tab:hetero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interacts standardized</w:t>
      </w:r>
      <w:r>
        <w:t xml:space="preserve"> </w:t>
      </w:r>
      <w:r>
        <w:t xml:space="preserve">AIIE with four</w:t>
      </w:r>
      <w:r>
        <w:t xml:space="preserve"> </w:t>
      </w:r>
      <w:r>
        <w:rPr>
          <w:i/>
          <w:iCs/>
        </w:rPr>
        <w:t xml:space="preserve">predetermined, observable</w:t>
      </w:r>
      <w:r>
        <w:t xml:space="preserve"> </w:t>
      </w:r>
      <w:r>
        <w:t xml:space="preserve">moderators—an above-median size indicator,</w:t>
      </w:r>
      <w:r>
        <w:t xml:space="preserve"> </w:t>
      </w:r>
      <w:r>
        <w:t xml:space="preserve">above-median book-to-market, above-median momentum, and a financial-firm indicator—reporting</w:t>
      </w:r>
      <w:r>
        <w:t xml:space="preserve"> </w:t>
      </w:r>
      <w:r>
        <w:t xml:space="preserve">the base AIIE effect and the interaction for the headline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]</m:t>
        </m:r>
      </m:oMath>
      <w:r>
        <w:t xml:space="preserve"> </w:t>
      </w:r>
      <w:r>
        <w:t xml:space="preserve">and tight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windows.</w:t>
      </w:r>
      <w:r>
        <w:t xml:space="preserve"> </w:t>
      </w:r>
      <w:r>
        <w:t xml:space="preserve">We choose these moderators precisely because they are observable and orthogonal to the</w:t>
      </w:r>
      <w:r>
        <w:t xml:space="preserve"> </w:t>
      </w:r>
      <w:r>
        <w:t xml:space="preserve">firm-level task exposure the student will hand-code (Task 2): the interaction of AIIE with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substitution-versus-complement exposure is the reserved test, and we do not proxy it</w:t>
      </w:r>
      <w:r>
        <w:t xml:space="preserve"> </w:t>
      </w:r>
      <w:r>
        <w:t xml:space="preserve">here. The pattern is that the priced-AIIE effect is broadly present rather than driven by one</w:t>
      </w:r>
      <w:r>
        <w:t xml:space="preserve"> </w:t>
      </w:r>
      <w:r>
        <w:t xml:space="preserve">cell. It is positive in essentially every base group; the size interaction is positive and</w:t>
      </w:r>
      <w:r>
        <w:t xml:space="preserve"> </w:t>
      </w:r>
      <w:r>
        <w:t xml:space="preserve">significant in the tight window (</w:t>
      </w:r>
      <m:oMath>
        <m:r>
          <m:rPr>
            <m:sty m:val="p"/>
          </m:rPr>
          <m:t>+</m:t>
        </m:r>
        <m:r>
          <m:t>0.64</m:t>
        </m:r>
      </m:oMath>
      <w:r>
        <w:t xml:space="preserve">pp,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2.75</m:t>
        </m:r>
      </m:oMath>
      <w:r>
        <w:t xml:space="preserve">), indicating the immediate repricing was a</w:t>
      </w:r>
      <w:r>
        <w:t xml:space="preserve"> </w:t>
      </w:r>
      <w:r>
        <w:t xml:space="preserve">little stronger among larger firms, while the value, momentum, and financial interactions are</w:t>
      </w:r>
      <w:r>
        <w:t xml:space="preserve"> </w:t>
      </w:r>
      <w:r>
        <w:t xml:space="preserve">individually insignificant. Notably, the effect is if anything</w:t>
      </w:r>
      <w:r>
        <w:t xml:space="preserve"> </w:t>
      </w:r>
      <w:r>
        <w:rPr>
          <w:i/>
          <w:iCs/>
        </w:rPr>
        <w:t xml:space="preserve">weaker</w:t>
      </w:r>
      <w:r>
        <w:t xml:space="preserve">, not stronger,</w:t>
      </w:r>
      <w:r>
        <w:t xml:space="preserve"> </w:t>
      </w:r>
      <w:r>
        <w:t xml:space="preserve">inside the high-book-to-market and high-momentum groups (negative interactions), which is not</w:t>
      </w:r>
      <w:r>
        <w:t xml:space="preserve"> </w:t>
      </w:r>
      <w:r>
        <w:t xml:space="preserve">what a mechanical value- or momentum-factor story would predict. No single observable moderator</w:t>
      </w:r>
      <w:r>
        <w:t xml:space="preserve"> </w:t>
      </w:r>
      <w:r>
        <w:t xml:space="preserve">explains the result away, and none substitutes for the hand-coded task exposure that the sign</w:t>
      </w:r>
      <w:r>
        <w:t xml:space="preserve"> </w:t>
      </w:r>
      <w:r>
        <w:t xml:space="preserve">channel ultimately needs.</w:t>
      </w:r>
    </w:p>
    <w:bookmarkEnd w:id="26"/>
    <w:bookmarkStart w:id="29" w:name="sec:robust"/>
    <w:p>
      <w:pPr>
        <w:pStyle w:val="Heading1"/>
      </w:pPr>
      <w:r>
        <w:t xml:space="preserve">Characteristic Matching and Randomization Inference</w:t>
      </w:r>
    </w:p>
    <w:bookmarkStart w:id="27" w:name="characteristic-matching."/>
    <w:p>
      <w:pPr>
        <w:pStyle w:val="Heading4"/>
      </w:pPr>
      <w:r>
        <w:t xml:space="preserve">Characteristic matching.</w:t>
      </w:r>
    </w:p>
    <w:p>
      <w:pPr>
        <w:pStyle w:val="FirstParagraph"/>
      </w:pPr>
      <w:r>
        <w:t xml:space="preserve">The most serious observable confound is that high-AIIE</w:t>
      </w:r>
      <w:r>
        <w:t xml:space="preserve"> </w:t>
      </w:r>
      <w:r>
        <w:t xml:space="preserve">firms differ systematically from low-AIIE firms—they are larger, more growth-oriented—so the</w:t>
      </w:r>
      <w:r>
        <w:t xml:space="preserve"> </w:t>
      </w:r>
      <w:r>
        <w:t xml:space="preserve">priced-exposure effect might be a size or growth factor loading that repriced around ChatGPT for</w:t>
      </w:r>
      <w:r>
        <w:t xml:space="preserve"> </w:t>
      </w:r>
      <w:r>
        <w:t xml:space="preserve">reasons unrelated to AI. Table </w:t>
      </w:r>
      <w:hyperlink w:anchor="tab:matched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confronts this directly. We take the top and</w:t>
      </w:r>
      <w:r>
        <w:t xml:space="preserve"> </w:t>
      </w:r>
      <w:r>
        <w:t xml:space="preserve">bottom AIIE terciles and nearest-neighbor match each high-AIIE firm to a not-yet-used low-AIIE</w:t>
      </w:r>
      <w:r>
        <w:t xml:space="preserve"> </w:t>
      </w:r>
      <w:r>
        <w:t xml:space="preserve">firm on the standardized predetermined controls (size, book-to-market, momentum, employment),</w:t>
      </w:r>
      <w:r>
        <w:t xml:space="preserve"> </w:t>
      </w:r>
      <w:r>
        <w:t xml:space="preserve">without replacement and within a caliper, producing 675 matched pairs. Matching</w:t>
      </w:r>
      <w:r>
        <w:t xml:space="preserve"> </w:t>
      </w:r>
      <w:r>
        <w:t xml:space="preserve">sharply improves balance: the high-minus-low size gap falls from -0.19 to</w:t>
      </w:r>
      <w:r>
        <w:t xml:space="preserve"> </w:t>
      </w:r>
      <w:r>
        <w:t xml:space="preserve">0.02 standard deviations, and the other characteristics are balanced to within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SD. On the balanced sample the exposure effect survives: the high-minus-low CAR gap is</w:t>
      </w:r>
      <w:r>
        <w:t xml:space="preserve"> </w:t>
      </w:r>
      <w:r>
        <w:t xml:space="preserve">+1.50pp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2.23</m:t>
        </m:r>
        <m:r>
          <m:t>​</m:t>
        </m:r>
      </m:oMath>
      <w:r>
        <w:t xml:space="preserve">) and</w:t>
      </w:r>
      <w:r>
        <w:t xml:space="preserve"> </w:t>
      </w:r>
      <m:oMath>
        <m:r>
          <m:rPr>
            <m:sty m:val="p"/>
          </m:rPr>
          <m:t>+</m:t>
        </m:r>
        <m:r>
          <m:t>0.99</m:t>
        </m:r>
      </m:oMath>
      <w:r>
        <w:t xml:space="preserve">pp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3.72</m:t>
        </m:r>
      </m:oMath>
      <w:r>
        <w:t xml:space="preserve">), and</w:t>
      </w:r>
      <w:r>
        <w:t xml:space="preserve"> </w:t>
      </w:r>
      <w:r>
        <w:t xml:space="preserve">the matched-sample AIIE regression coefficient, +0.76pp (</w:t>
      </w:r>
      <m:oMath>
        <m:r>
          <m:t>t</m:t>
        </m:r>
        <m:r>
          <m:rPr>
            <m:sty m:val="p"/>
          </m:rPr>
          <m:t>=</m:t>
        </m:r>
        <m:r>
          <m:t>2.05</m:t>
        </m:r>
        <m:r>
          <m:t>​</m:t>
        </m:r>
      </m:oMath>
      <w:r>
        <w:t xml:space="preserve">), is</w:t>
      </w:r>
      <w:r>
        <w:t xml:space="preserve"> </w:t>
      </w:r>
      <w:r>
        <w:t xml:space="preserve">essentially identical to the full-sample estimate (</w:t>
      </w:r>
      <m:oMath>
        <m:r>
          <m:rPr>
            <m:sty m:val="p"/>
          </m:rPr>
          <m:t>+</m:t>
        </m:r>
        <m:r>
          <m:t>0.71</m:t>
        </m:r>
      </m:oMath>
      <w:r>
        <w:t xml:space="preserve">pp). The five-day window remains the</w:t>
      </w:r>
      <w:r>
        <w:t xml:space="preserve"> </w:t>
      </w:r>
      <w:r>
        <w:t xml:space="preserve">weak one (an insignificant</w:t>
      </w:r>
      <w:r>
        <w:t xml:space="preserve"> </w:t>
      </w:r>
      <m:oMath>
        <m:r>
          <m:rPr>
            <m:sty m:val="p"/>
          </m:rPr>
          <m:t>−</m:t>
        </m:r>
        <m:r>
          <m:t>0.10</m:t>
        </m:r>
      </m:oMath>
      <w:r>
        <w:t xml:space="preserve">pp), exactly as in the main analysis. The priced-exposure</w:t>
      </w:r>
      <w:r>
        <w:t xml:space="preserve"> </w:t>
      </w:r>
      <w:r>
        <w:t xml:space="preserve">result is therefore not an artifact of the size/growth composition of high-AIIE firms; it is</w:t>
      </w:r>
      <w:r>
        <w:t xml:space="preserve"> </w:t>
      </w:r>
      <w:r>
        <w:t xml:space="preserve">present among firms matched on those characteristics.</w:t>
      </w:r>
    </w:p>
    <w:bookmarkEnd w:id="27"/>
    <w:bookmarkStart w:id="28" w:name="randomization-inference."/>
    <w:p>
      <w:pPr>
        <w:pStyle w:val="Heading4"/>
      </w:pPr>
      <w:r>
        <w:t xml:space="preserve">Randomization inference.</w:t>
      </w:r>
    </w:p>
    <w:p>
      <w:pPr>
        <w:pStyle w:val="FirstParagraph"/>
      </w:pPr>
      <w:r>
        <w:t xml:space="preserve">Table </w:t>
      </w:r>
      <w:hyperlink w:anchor="tab:ri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and Figure </w:t>
      </w:r>
      <w:hyperlink w:anchor="fig:ri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report</w:t>
      </w:r>
      <w:r>
        <w:t xml:space="preserve"> </w:t>
      </w:r>
      <w:r>
        <w:t xml:space="preserve">industry-level randomization inference: we permute the 182 industry AIIE values among the</w:t>
      </w:r>
      <w:r>
        <w:t xml:space="preserve"> </w:t>
      </w:r>
      <w:r>
        <w:t xml:space="preserve">industries 1</w:t>
      </w:r>
      <w:r>
        <w:t xml:space="preserve">,</w:t>
      </w:r>
      <w:r>
        <w:t xml:space="preserve">000 times, holding firms-per-industry fixed, and refit the clustered</w:t>
      </w:r>
      <w:r>
        <w:t xml:space="preserve"> </w:t>
      </w:r>
      <w:r>
        <w:t xml:space="preserve">cross-section. This is the design-honest null—it respects that exposure is an industry</w:t>
      </w:r>
      <w:r>
        <w:t xml:space="preserve"> </w:t>
      </w:r>
      <w:r>
        <w:t xml:space="preserve">attribute—and it is demanding: the actual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]</m:t>
        </m:r>
      </m:oMath>
      <w:r>
        <w:t xml:space="preserve"> </w:t>
      </w:r>
      <w:r>
        <w:t xml:space="preserve">coefficient (</w:t>
      </w:r>
      <m:oMath>
        <m:r>
          <m:rPr>
            <m:sty m:val="p"/>
          </m:rPr>
          <m:t>+</m:t>
        </m:r>
        <m:r>
          <m:t>0.71</m:t>
        </m:r>
      </m:oMath>
      <w:r>
        <w:t xml:space="preserve">pp) sits high in the right tail</w:t>
      </w:r>
      <w:r>
        <w:t xml:space="preserve"> </w:t>
      </w:r>
      <w:r>
        <w:t xml:space="preserve">of—but just inside—the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permutation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0.88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0.79</m:t>
        </m:r>
        <m:r>
          <m:rPr>
            <m:sty m:val="p"/>
          </m:rPr>
          <m:t>]</m:t>
        </m:r>
      </m:oMath>
      <w:r>
        <w:t xml:space="preserve">, with a randomization</w:t>
      </w:r>
      <w:r>
        <w:t xml:space="preserve"> </w:t>
      </w:r>
      <m:oMath>
        <m:r>
          <m:t>p</m:t>
        </m:r>
      </m:oMath>
      <w:r>
        <w:t xml:space="preserve">-value of 0.091, while the tight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coefficient (</w:t>
      </w:r>
      <m:oMath>
        <m:r>
          <m:rPr>
            <m:sty m:val="p"/>
          </m:rPr>
          <m:t>+</m:t>
        </m:r>
        <m:r>
          <m:t>0.35</m:t>
        </m:r>
      </m:oMath>
      <w:r>
        <w:t xml:space="preserve">pp) lies right at the</w:t>
      </w:r>
      <w:r>
        <w:t xml:space="preserve"> </w:t>
      </w:r>
      <w:r>
        <w:t xml:space="preserve">interval’s upper boundary (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0.38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0.34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0.051</m:t>
        </m:r>
        <m:r>
          <m:t>​</m:t>
        </m:r>
      </m:oMath>
      <w:r>
        <w:t xml:space="preserve">. Read honestly, this</w:t>
      </w:r>
      <w:r>
        <w:t xml:space="preserve"> </w:t>
      </w:r>
      <w:r>
        <w:rPr>
          <w:i/>
          <w:iCs/>
        </w:rPr>
        <w:t xml:space="preserve">tempers</w:t>
      </w:r>
      <w:r>
        <w:t xml:space="preserve"> </w:t>
      </w:r>
      <w:r>
        <w:t xml:space="preserve">the</w:t>
      </w:r>
      <w:r>
        <w:t xml:space="preserve"> </w:t>
      </w:r>
      <w:r>
        <w:t xml:space="preserve">headline: the clustered</w:t>
      </w:r>
      <w:r>
        <w:t xml:space="preserve"> </w:t>
      </w:r>
      <m:oMath>
        <m:r>
          <m:t>t</m:t>
        </m:r>
      </m:oMath>
      <w:r>
        <w:t xml:space="preserve">-statistics (</w:t>
      </w:r>
      <m:oMath>
        <m:r>
          <m:t>2.5</m:t>
        </m:r>
      </m:oMath>
      <w:r>
        <w:t xml:space="preserve">–</w:t>
      </w:r>
      <m:oMath>
        <m:r>
          <m:t>2.6</m:t>
        </m:r>
      </m:oMath>
      <w:r>
        <w:t xml:space="preserve">) imply more precision than the industry-level</w:t>
      </w:r>
      <w:r>
        <w:t xml:space="preserve"> </w:t>
      </w:r>
      <w:r>
        <w:t xml:space="preserve">permutation distribution supports, because there are effectively</w:t>
      </w:r>
      <w:r>
        <w:t xml:space="preserve"> </w:t>
      </w:r>
      <m:oMath>
        <m:r>
          <m:t>182</m:t>
        </m:r>
      </m:oMath>
      <w:r>
        <w:t xml:space="preserve"> </w:t>
      </w:r>
      <w:r>
        <w:t xml:space="preserve">industry units, not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056</m:t>
        </m:r>
      </m:oMath>
      <w:r>
        <w:t xml:space="preserve"> </w:t>
      </w:r>
      <w:r>
        <w:t xml:space="preserve">firms. The effect is robust at the immediate window and borderline over the diffuse</w:t>
      </w:r>
      <w:r>
        <w:t xml:space="preserve"> </w:t>
      </w:r>
      <w:r>
        <w:t xml:space="preserve">window under the strictest design-based test—evidence of a priced-exposure effect, but not an</w:t>
      </w:r>
      <w:r>
        <w:t xml:space="preserve"> </w:t>
      </w:r>
      <w:r>
        <w:t xml:space="preserve">overwhelming one, and a direct motivation for the sharper, firm-level exposure measure the</w:t>
      </w:r>
      <w:r>
        <w:t xml:space="preserve"> </w:t>
      </w:r>
      <w:r>
        <w:t xml:space="preserve">student will hand-code.</w:t>
      </w:r>
    </w:p>
    <w:bookmarkEnd w:id="28"/>
    <w:bookmarkEnd w:id="29"/>
    <w:bookmarkStart w:id="30" w:name="sec:power"/>
    <w:p>
      <w:pPr>
        <w:pStyle w:val="Heading1"/>
      </w:pPr>
      <w:r>
        <w:t xml:space="preserve">Is the Result Robust in Both Directions? Power and Minimum Detectable Effects</w:t>
      </w:r>
    </w:p>
    <w:p>
      <w:pPr>
        <w:pStyle w:val="FirstParagraph"/>
      </w:pPr>
      <w:r>
        <w:t xml:space="preserve">Design-based inference cuts both ways: it disciplines the headline, but it also tells us whether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null</w:t>
      </w:r>
      <w:r>
        <w:t xml:space="preserve"> </w:t>
      </w:r>
      <w:r>
        <w:t xml:space="preserve">pieces of the paper are informative. Table </w:t>
      </w:r>
      <w:hyperlink w:anchor="tab:power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reports, for each</w:t>
      </w:r>
      <w:r>
        <w:t xml:space="preserve"> </w:t>
      </w:r>
      <w:r>
        <w:t xml:space="preserve">estimate, the minimum detectable effect (MDE) at</w:t>
      </w:r>
      <w:r>
        <w:t xml:space="preserve"> </w:t>
      </w:r>
      <m:oMath>
        <m:r>
          <m:t>80</m:t>
        </m:r>
        <m:r>
          <m:rPr>
            <m:sty m:val="p"/>
          </m:rPr>
          <m:t>%</m:t>
        </m:r>
      </m:oMath>
      <w:r>
        <w:t xml:space="preserve"> </w:t>
      </w:r>
      <w:r>
        <w:t xml:space="preserve">power,</w:t>
      </w:r>
      <w:r>
        <w:t xml:space="preserve"> </w:t>
      </w:r>
      <m:oMath>
        <m:r>
          <m:rPr>
            <m:nor/>
            <m:sty m:val="p"/>
          </m:rPr>
          <m:t>MDE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0.80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  <m:r>
          <m:rPr>
            <m:sty m:val="p"/>
          </m:rPr>
          <m:t>≈</m:t>
        </m:r>
        <m:r>
          <m:t>2.80</m:t>
        </m:r>
        <m:r>
          <m:t> </m:t>
        </m:r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</m:oMath>
      <w:r>
        <w:t xml:space="preserve">,</w:t>
      </w:r>
      <w:r>
        <w:t xml:space="preserve"> </w:t>
      </w:r>
      <w:r>
        <w:t xml:space="preserve">denominated in percentage points and as a share of the cross-firm CAR standard deviation (CAR</w:t>
      </w:r>
      <w:r>
        <w:t xml:space="preserve"> </w:t>
      </w:r>
      <w:r>
        <w:t xml:space="preserve">means are near zero, so a</w:t>
      </w:r>
      <w:r>
        <w:t xml:space="preserve"> </w:t>
      </w:r>
      <w:r>
        <w:t xml:space="preserve">“percent of mean”</w:t>
      </w:r>
      <w:r>
        <w:t xml:space="preserve"> </w:t>
      </w:r>
      <w:r>
        <w:t xml:space="preserve">scaling would be meaningless). The cross-sectional</w:t>
      </w:r>
      <w:r>
        <w:t xml:space="preserve"> </w:t>
      </w:r>
      <w:r>
        <w:t xml:space="preserve">AIIE regressions are well powered against the long–short magnitudes the market actually</w:t>
      </w:r>
      <w:r>
        <w:t xml:space="preserve"> </w:t>
      </w:r>
      <w:r>
        <w:t xml:space="preserve">delivered: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]</m:t>
        </m:r>
      </m:oMath>
      <w:r>
        <w:t xml:space="preserve"> </w:t>
      </w:r>
      <w:r>
        <w:t xml:space="preserve">the design could detect an AIIE effect as small as 0.80pp per</w:t>
      </w:r>
      <w:r>
        <w:t xml:space="preserve"> </w:t>
      </w:r>
      <w:r>
        <w:t xml:space="preserve">standard deviation (about</w:t>
      </w:r>
      <w:r>
        <w:t xml:space="preserve"> </w:t>
      </w:r>
      <m:oMath>
        <m:r>
          <m:t>5.5</m:t>
        </m:r>
        <m:r>
          <m:rPr>
            <m:sty m:val="p"/>
          </m:rPr>
          <m:t>%</m:t>
        </m:r>
      </m:oMath>
      <w:r>
        <w:t xml:space="preserve"> </w:t>
      </w:r>
      <w:r>
        <w:t xml:space="preserve">of the cross-firm CAR SD), far below the</w:t>
      </w:r>
      <w:r>
        <w:t xml:space="preserve"> </w:t>
      </w:r>
      <m:oMath>
        <m:r>
          <m:rPr>
            <m:sty m:val="p"/>
          </m:rPr>
          <m:t>+</m:t>
        </m:r>
        <m:r>
          <m:t>1.3</m:t>
        </m:r>
      </m:oMath>
      <w:r>
        <w:t xml:space="preserve">-to-</w:t>
      </w:r>
      <m:oMath>
        <m:r>
          <m:rPr>
            <m:sty m:val="p"/>
          </m:rPr>
          <m:t>+</m:t>
        </m:r>
        <m:r>
          <m:t>2.7</m:t>
        </m:r>
      </m:oMath>
      <w:r>
        <w:t xml:space="preserve">pp</w:t>
      </w:r>
      <w:r>
        <w:t xml:space="preserve"> </w:t>
      </w:r>
      <w:r>
        <w:t xml:space="preserve">long–short returns. Note that the per-standard-deviation coefficient itself (</w:t>
      </w:r>
      <m:oMath>
        <m:r>
          <m:rPr>
            <m:sty m:val="p"/>
          </m:rPr>
          <m:t>+</m:t>
        </m:r>
        <m:r>
          <m:t>0.71</m:t>
        </m:r>
      </m:oMath>
      <w:r>
        <w:t xml:space="preserve">pp) sits</w:t>
      </w:r>
      <w:r>
        <w:t xml:space="preserve"> </w:t>
      </w:r>
      <w:r>
        <w:t xml:space="preserve">just below this</w:t>
      </w:r>
      <w:r>
        <w:t xml:space="preserve"> </w:t>
      </w:r>
      <m:oMath>
        <m:r>
          <m:t>0.80</m:t>
        </m:r>
      </m:oMath>
      <w:r>
        <w:t xml:space="preserve">pp detection threshold, which is precisely why the industry-level</w:t>
      </w:r>
      <w:r>
        <w:t xml:space="preserve"> </w:t>
      </w:r>
      <w:r>
        <w:t xml:space="preserve">randomization inference in Section </w:t>
      </w:r>
      <w:hyperlink w:anchor="sec:robust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comes back borderline—the two design-based</w:t>
      </w:r>
      <w:r>
        <w:t xml:space="preserve"> </w:t>
      </w:r>
      <w:r>
        <w:t xml:space="preserve">diagnostics corroborate rather than contradict each other. The five-day window’s</w:t>
      </w:r>
      <w:r>
        <w:t xml:space="preserve"> </w:t>
      </w:r>
      <w:r>
        <w:t xml:space="preserve">insignificance is therefore an informative bound—an effect there above</w:t>
      </w:r>
      <w:r>
        <w:t xml:space="preserve"> </w:t>
      </w:r>
      <m:oMath>
        <m:r>
          <m:t>0.62</m:t>
        </m:r>
      </m:oMath>
      <w:r>
        <w:t xml:space="preserve">pp would likely</w:t>
      </w:r>
      <w:r>
        <w:t xml:space="preserve"> </w:t>
      </w:r>
      <w:r>
        <w:t xml:space="preserve">have shown up—rather than a symptom of an underpowered test, and the placebo window’s null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0.33</m:t>
        </m:r>
      </m:oMath>
      <w:r>
        <w:t xml:space="preserve">pp, MDE</w:t>
      </w:r>
      <w:r>
        <w:t xml:space="preserve"> </w:t>
      </w:r>
      <m:oMath>
        <m:r>
          <m:t>0.84</m:t>
        </m:r>
      </m:oMath>
      <w:r>
        <w:t xml:space="preserve">pp) is a genuine absence of pre-trend, not noise. The one genuinely</w:t>
      </w:r>
      <w:r>
        <w:t xml:space="preserve"> </w:t>
      </w:r>
      <w:r>
        <w:t xml:space="preserve">imprecise object is the substitution bucket: with only nine substitution industries, the mean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]</m:t>
        </m:r>
      </m:oMath>
      <w:r>
        <w:t xml:space="preserve"> </w:t>
      </w:r>
      <w:r>
        <w:t xml:space="preserve">CAR of</w:t>
      </w:r>
      <w:r>
        <w:t xml:space="preserve"> </w:t>
      </w:r>
      <m:oMath>
        <m:r>
          <m:rPr>
            <m:sty m:val="p"/>
          </m:rPr>
          <m:t>−</m:t>
        </m:r>
        <m:r>
          <m:t>2.76</m:t>
        </m:r>
        <m:r>
          <m:rPr>
            <m:sty m:val="p"/>
          </m:rPr>
          <m:t>%</m:t>
        </m:r>
      </m:oMath>
      <w:r>
        <w:t xml:space="preserve"> </w:t>
      </w:r>
      <w:r>
        <w:t xml:space="preserve">carries an MDE of</w:t>
      </w:r>
      <w:r>
        <w:t xml:space="preserve"> </w:t>
      </w:r>
      <m:oMath>
        <m:r>
          <m:t>3.33</m:t>
        </m:r>
      </m:oMath>
      <w:r>
        <w:t xml:space="preserve">pp, so while the point estimate is large and</w:t>
      </w:r>
      <w:r>
        <w:t xml:space="preserve"> </w:t>
      </w:r>
      <w:r>
        <w:t xml:space="preserve">negative, the bucket is individually noisy and the sign channel needs the student’s larger,</w:t>
      </w:r>
      <w:r>
        <w:t xml:space="preserve"> </w:t>
      </w:r>
      <w:r>
        <w:t xml:space="preserve">hand-coded substitution sample to be pinned down. Stating each null as a bound, rather than as a</w:t>
      </w:r>
      <w:r>
        <w:t xml:space="preserve"> </w:t>
      </w:r>
      <w:r>
        <w:t xml:space="preserve">bare</w:t>
      </w:r>
      <w:r>
        <w:t xml:space="preserve"> </w:t>
      </w:r>
      <w:r>
        <w:t xml:space="preserve">“insignificant,”</w:t>
      </w:r>
      <w:r>
        <w:t xml:space="preserve"> </w:t>
      </w:r>
      <w:r>
        <w:t xml:space="preserve">is what makes the paper’s mixed evidence honest.</w:t>
      </w:r>
    </w:p>
    <w:bookmarkEnd w:id="30"/>
    <w:bookmarkStart w:id="58" w:name="sec:concl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Within days of ChatGPT’s release, U.S. equity markets repriced firms by their exposure</w:t>
      </w:r>
      <w:r>
        <w:t xml:space="preserve"> </w:t>
      </w:r>
      <w:r>
        <w:t xml:space="preserve">to the cognitive labor generative AI can perform—and did so with a sign that depends on</w:t>
      </w:r>
      <w:r>
        <w:t xml:space="preserve"> </w:t>
      </w:r>
      <w:r>
        <w:t xml:space="preserve">economic role. Firms that build AI, and firms that use exposed labor as an internal input,</w:t>
      </w:r>
      <w:r>
        <w:t xml:space="preserve"> </w:t>
      </w:r>
      <w:r>
        <w:t xml:space="preserve">gained; firms whose product is the very labor AI can now produce lost. A one-SD increase</w:t>
      </w:r>
      <w:r>
        <w:t xml:space="preserve"> </w:t>
      </w:r>
      <w:r>
        <w:t xml:space="preserve">in industry AI exposure is worth roughly</w:t>
      </w:r>
      <w:r>
        <w:t xml:space="preserve"> </w:t>
      </w:r>
      <m:oMath>
        <m:r>
          <m:rPr>
            <m:sty m:val="p"/>
          </m:rPr>
          <m:t>+</m:t>
        </m:r>
        <m:r>
          <m:t>0.7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1.0</m:t>
        </m:r>
      </m:oMath>
      <w:r>
        <w:t xml:space="preserve">pp of ten-day abnormal return on</w:t>
      </w:r>
      <w:r>
        <w:t xml:space="preserve"> </w:t>
      </w:r>
      <w:r>
        <w:t xml:space="preserve">average, but AI-supplier industries beat substitution-threatened industries by about</w:t>
      </w:r>
      <w:r>
        <w:t xml:space="preserve"> </w:t>
      </w:r>
      <m:oMath>
        <m:r>
          <m:t>2.5</m:t>
        </m:r>
      </m:oMath>
      <w:r>
        <w:t xml:space="preserve">pp. The market behaved as the task framework predicts: it priced not just</w:t>
      </w:r>
      <w:r>
        <w:t xml:space="preserve"> </w:t>
      </w:r>
      <w:r>
        <w:rPr>
          <w:i/>
          <w:iCs/>
        </w:rPr>
        <w:t xml:space="preserve">how</w:t>
      </w:r>
      <w:r>
        <w:rPr>
          <w:i/>
          <w:iCs/>
        </w:rPr>
        <w:t xml:space="preserve"> </w:t>
      </w:r>
      <w:r>
        <w:rPr>
          <w:i/>
          <w:iCs/>
        </w:rPr>
        <w:t xml:space="preserve">exposed</w:t>
      </w:r>
      <w:r>
        <w:t xml:space="preserve"> </w:t>
      </w:r>
      <w:r>
        <w:t xml:space="preserve">a firm is to AI, but</w:t>
      </w:r>
      <w:r>
        <w:t xml:space="preserve"> </w:t>
      </w:r>
      <w:r>
        <w:rPr>
          <w:i/>
          <w:iCs/>
        </w:rPr>
        <w:t xml:space="preserve">who captures the surplus</w:t>
      </w:r>
      <w:r>
        <w:t xml:space="preserve">. The priced-exposure result</w:t>
      </w:r>
      <w:r>
        <w:t xml:space="preserve"> </w:t>
      </w:r>
      <w:r>
        <w:t xml:space="preserve">survives characteristic matching—high- and low-AIIE firms balanced on size, value, momentum,</w:t>
      </w:r>
      <w:r>
        <w:t xml:space="preserve"> </w:t>
      </w:r>
      <w:r>
        <w:t xml:space="preserve">and employment still differ by +1.50pp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]</m:t>
        </m:r>
      </m:oMath>
      <w:r>
        <w:t xml:space="preserve">—so it is not a size or growth</w:t>
      </w:r>
      <w:r>
        <w:t xml:space="preserve"> </w:t>
      </w:r>
      <w:r>
        <w:t xml:space="preserve">factor loading in disguise. But industry-level randomization inference, the design-honest test</w:t>
      </w:r>
      <w:r>
        <w:t xml:space="preserve"> </w:t>
      </w:r>
      <w:r>
        <w:t xml:space="preserve">given that AIIE varies across only 182 industries, is more sober than the clustered</w:t>
      </w:r>
      <w:r>
        <w:t xml:space="preserve"> </w:t>
      </w:r>
      <m:oMath>
        <m:r>
          <m:t>t</m:t>
        </m:r>
      </m:oMath>
      <w:r>
        <w:t xml:space="preserve">-statistics:</w:t>
      </w:r>
      <w:r>
        <w:t xml:space="preserve"> </w:t>
      </w:r>
      <w:r>
        <w:t xml:space="preserve">the headline is robust at the immediate window (</w:t>
      </w:r>
      <m:oMath>
        <m:r>
          <m:t>p</m:t>
        </m:r>
        <m:r>
          <m:rPr>
            <m:sty m:val="p"/>
          </m:rPr>
          <m:t>=</m:t>
        </m:r>
        <m:r>
          <m:t>0.051</m:t>
        </m:r>
        <m:r>
          <m:t>​</m:t>
        </m:r>
      </m:oMath>
      <w:r>
        <w:t xml:space="preserve">) and borderline over the diffuse</w:t>
      </w:r>
      <w:r>
        <w:t xml:space="preserve"> </w:t>
      </w:r>
      <w:r>
        <w:t xml:space="preserve">window (</w:t>
      </w:r>
      <m:oMath>
        <m:r>
          <m:t>p</m:t>
        </m:r>
        <m:r>
          <m:rPr>
            <m:sty m:val="p"/>
          </m:rPr>
          <m:t>=</m:t>
        </m:r>
        <m:r>
          <m:t>0.091</m:t>
        </m:r>
        <m:r>
          <m:t>​</m:t>
        </m:r>
      </m:oMath>
      <w:r>
        <w:t xml:space="preserve">). A power analysis shows the well-populated cross-sectional windows could</w:t>
      </w:r>
      <w:r>
        <w:t xml:space="preserve"> </w:t>
      </w:r>
      <w:r>
        <w:t xml:space="preserve">have detected effects far smaller than the market delivered, so their nulls (the five-day window,</w:t>
      </w:r>
      <w:r>
        <w:t xml:space="preserve"> </w:t>
      </w:r>
      <w:r>
        <w:t xml:space="preserve">the placebo) are informative bounds; the substitution bucket, by contrast, is genuinely noisy with</w:t>
      </w:r>
      <w:r>
        <w:t xml:space="preserve"> </w:t>
      </w:r>
      <w:r>
        <w:t xml:space="preserve">only nine industries. Limitations include the coarse NAICS-based sign classification, the diffuse</w:t>
      </w:r>
      <w:r>
        <w:t xml:space="preserve"> </w:t>
      </w:r>
      <w:r>
        <w:t xml:space="preserve">and confounded event windows, and the industry-level nature of the exposure measure; the student’s</w:t>
      </w:r>
      <w:r>
        <w:t xml:space="preserve"> </w:t>
      </w:r>
      <w:r>
        <w:t xml:space="preserve">hand-verified event calendar and firm-level task coding are designed to address exactly these,</w:t>
      </w:r>
      <w:r>
        <w:t xml:space="preserve"> </w:t>
      </w:r>
      <w:r>
        <w:t xml:space="preserve">and should both sharpen the sign channel and firm up the borderline diffuse-window inference.</w:t>
      </w:r>
      <w:r>
        <w:t xml:space="preserve"> </w:t>
      </w:r>
      <w:r>
        <w:t xml:space="preserve">Extending to later model releases and to realized earnings would test whether the repricing was</w:t>
      </w:r>
      <w:r>
        <w:t xml:space="preserve"> </w:t>
      </w:r>
      <w:r>
        <w:t xml:space="preserve">justified.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Abadie, A., 2020. Statistical nonsignificance in empirical</w:t>
      </w:r>
      <w:r>
        <w:t xml:space="preserve"> </w:t>
      </w:r>
      <w:r>
        <w:t xml:space="preserve">economics. American Economic Review: Insights 2 (2), 193–208.</w:t>
      </w:r>
      <w:r>
        <w:t xml:space="preserve"> </w:t>
      </w:r>
      <w:r>
        <w:t xml:space="preserve">Acemoglu, D., Restrepo, P., 2019.</w:t>
      </w:r>
      <w:r>
        <w:t xml:space="preserve"> </w:t>
      </w:r>
      <w:r>
        <w:t xml:space="preserve">Automation and new tasks: How technology displaces and reinstates labor.</w:t>
      </w:r>
      <w:r>
        <w:t xml:space="preserve"> </w:t>
      </w:r>
      <w:r>
        <w:t xml:space="preserve">Journal of Economic Perspectives 33 (2), 3–30.</w:t>
      </w:r>
      <w:r>
        <w:t xml:space="preserve"> </w:t>
      </w:r>
      <w:r>
        <w:t xml:space="preserve">Autor, D.H., Levy, F., Murnane, R.J., 2003.</w:t>
      </w:r>
      <w:r>
        <w:t xml:space="preserve"> </w:t>
      </w:r>
      <w:r>
        <w:t xml:space="preserve">The skill content of recent technological change: An empirical exploration.</w:t>
      </w:r>
      <w:r>
        <w:t xml:space="preserve"> </w:t>
      </w:r>
      <w:r>
        <w:t xml:space="preserve">Quarterly Journal of Economics 118 (4), 1279–1333.</w:t>
      </w:r>
      <w:r>
        <w:t xml:space="preserve"> </w:t>
      </w:r>
      <w:r>
        <w:t xml:space="preserve">Babina, T., Fedyk, A., He, A., Hodson, J., 2024.</w:t>
      </w:r>
      <w:r>
        <w:t xml:space="preserve"> </w:t>
      </w:r>
      <w:r>
        <w:t xml:space="preserve">Artificial intelligence, firm growth, and product innovation.</w:t>
      </w:r>
      <w:r>
        <w:t xml:space="preserve"> </w:t>
      </w:r>
      <w:r>
        <w:t xml:space="preserve">Journal of Financial Economics 151, 103745.</w:t>
      </w:r>
      <w:r>
        <w:t xml:space="preserve"> </w:t>
      </w:r>
      <w:r>
        <w:t xml:space="preserve">Brown, S.J., Warner, J.B., 1985.</w:t>
      </w:r>
      <w:r>
        <w:t xml:space="preserve"> </w:t>
      </w:r>
      <w:r>
        <w:t xml:space="preserve">Using daily stock returns: The case of event studies.</w:t>
      </w:r>
      <w:r>
        <w:t xml:space="preserve"> </w:t>
      </w:r>
      <w:r>
        <w:t xml:space="preserve">Journal of Financial Economics 14 (1), 3–31.</w:t>
      </w:r>
      <w:r>
        <w:t xml:space="preserve"> </w:t>
      </w:r>
      <w:r>
        <w:t xml:space="preserve">Brynjolfsson, E., Li, D., Raymond, L., 2023.</w:t>
      </w:r>
      <w:r>
        <w:t xml:space="preserve"> </w:t>
      </w:r>
      <w:r>
        <w:t xml:space="preserve">Generative AI at work. NBER Working Paper 31161.</w:t>
      </w:r>
      <w:r>
        <w:t xml:space="preserve"> </w:t>
      </w:r>
      <w:r>
        <w:t xml:space="preserve">Eisfeldt, A.L., Schubert, G., Zhang, M.B., 2023.</w:t>
      </w:r>
      <w:r>
        <w:t xml:space="preserve"> </w:t>
      </w:r>
      <w:r>
        <w:t xml:space="preserve">Generative AI and firm values. NBER Working Paper 31222.</w:t>
      </w:r>
      <w:r>
        <w:t xml:space="preserve"> </w:t>
      </w:r>
      <w:r>
        <w:t xml:space="preserve">Eloundou, T., Manning, S., Mishkin, P., Rock, D., 2024.</w:t>
      </w:r>
      <w:r>
        <w:t xml:space="preserve"> </w:t>
      </w:r>
      <w:r>
        <w:t xml:space="preserve">GPTs are GPTs: Labor market impact potential of large language models. Science 384 (6702), 1306–1308.</w:t>
      </w:r>
      <w:r>
        <w:t xml:space="preserve"> </w:t>
      </w:r>
      <w:r>
        <w:t xml:space="preserve">Felten, E., Raj, M., Seamans, R., 2021.</w:t>
      </w:r>
      <w:r>
        <w:t xml:space="preserve"> </w:t>
      </w:r>
      <w:r>
        <w:t xml:space="preserve">Occupational, industry, and geographic exposure to artificial intelligence: A novel dataset</w:t>
      </w:r>
      <w:r>
        <w:t xml:space="preserve"> </w:t>
      </w:r>
      <w:r>
        <w:t xml:space="preserve">and its potential uses. Strategic Management Journal 42 (12), 2195–2217.</w:t>
      </w:r>
      <w:r>
        <w:t xml:space="preserve"> </w:t>
      </w:r>
      <w:r>
        <w:t xml:space="preserve">Felten, E., Raj, M., Seamans, R., 2023.</w:t>
      </w:r>
      <w:r>
        <w:t xml:space="preserve"> </w:t>
      </w:r>
      <w:r>
        <w:t xml:space="preserve">How will language modelers like ChatGPT affect occupations and industries?</w:t>
      </w:r>
      <w:r>
        <w:t xml:space="preserve"> </w:t>
      </w:r>
      <w:r>
        <w:t xml:space="preserve">Working paper, arXiv:2303.01157.</w:t>
      </w:r>
      <w:r>
        <w:t xml:space="preserve"> </w:t>
      </w:r>
      <w:r>
        <w:t xml:space="preserve">Ioannidis, J.P.A., Stanley, T.D., Doucouliagos, H.,</w:t>
      </w:r>
      <w:r>
        <w:t xml:space="preserve"> </w:t>
      </w:r>
      <w:r>
        <w:t xml:space="preserve">2017. The power of bias in economics research. Economic Journal 127 (605), F236–F265.</w:t>
      </w:r>
      <w:r>
        <w:t xml:space="preserve"> </w:t>
      </w:r>
      <w:r>
        <w:t xml:space="preserve">Kogan, L., Papanikolaou, D., Seru, A., Stoffman, N., 2017.</w:t>
      </w:r>
      <w:r>
        <w:t xml:space="preserve"> </w:t>
      </w:r>
      <w:r>
        <w:t xml:space="preserve">Technological innovation, resource allocation, and growth.</w:t>
      </w:r>
      <w:r>
        <w:t xml:space="preserve"> </w:t>
      </w:r>
      <w:r>
        <w:t xml:space="preserve">Quarterly Journal of Economics 132 (2), 665–712.</w:t>
      </w:r>
      <w:r>
        <w:t xml:space="preserve"> </w:t>
      </w:r>
      <w:r>
        <w:t xml:space="preserve">MacKinlay, A.C., 1997.</w:t>
      </w:r>
      <w:r>
        <w:t xml:space="preserve"> </w:t>
      </w:r>
      <w:r>
        <w:t xml:space="preserve">Event studies in economics and finance. Journal of Economic Literature 35 (1), 13–39.</w:t>
      </w:r>
      <w:r>
        <w:t xml:space="preserve"> </w:t>
      </w:r>
      <w:r>
        <w:t xml:space="preserve">Noy, S., Zhang, W., 2023.</w:t>
      </w:r>
      <w:r>
        <w:t xml:space="preserve"> </w:t>
      </w:r>
      <w:r>
        <w:t xml:space="preserve">Experimental evidence on the productivity effects of generative artificial intelligence.</w:t>
      </w:r>
      <w:r>
        <w:t xml:space="preserve"> </w:t>
      </w:r>
      <w:r>
        <w:t xml:space="preserve">Science 381 (6654), 187–192.</w:t>
      </w:r>
      <w:r>
        <w:t xml:space="preserve"> </w:t>
      </w:r>
      <w:r>
        <w:t xml:space="preserve">Webb, M., 2020.</w:t>
      </w:r>
      <w:r>
        <w:t xml:space="preserve"> </w:t>
      </w:r>
      <w:r>
        <w:t xml:space="preserve">The impact of artificial intelligence on the labor market. Working paper, Stanford University.</w:t>
      </w:r>
      <w:r>
        <w:t xml:space="preserve"> </w:t>
      </w:r>
      <w:r>
        <w:t xml:space="preserve">Young, A., 2019. Channeling Fisher: Randomization tests and the</w:t>
      </w:r>
      <w:r>
        <w:t xml:space="preserve"> </w:t>
      </w:r>
      <w:r>
        <w:t xml:space="preserve">statistical insignificance of seemingly significant experimental results. Quarterly Journal of</w:t>
      </w:r>
      <w:r>
        <w:t xml:space="preserve"> </w:t>
      </w:r>
      <w:r>
        <w:t xml:space="preserve">Economics 134 (2), 557–598.</w:t>
      </w:r>
    </w:p>
    <w:bookmarkStart w:id="31" w:name="tab:sumstats"/>
    <w:p>
      <w:pPr>
        <w:pStyle w:val="TableCaption"/>
      </w:pPr>
      <w:r>
        <w:t xml:space="preserve">Summary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mmary statistics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CAR[0,+5] ChatGPT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CAR[0,+10] ChatGPT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-0.0712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CAR[0,+5] GPT-4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-0.0681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AIIE (industry AI exposure)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1.6354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ln(ME)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13.2971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2.4556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11.4092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13.3132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15.0172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6-mo momentum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-0.0887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-0.0942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Book/Market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1.7970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ln(employees)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-0.1838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2.5053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-2.1037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-0.1393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1.7228</w:t>
            </w:r>
          </w:p>
        </w:tc>
      </w:tr>
    </w:tbl>
    <w:bookmarkEnd w:id="31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3</w:t>
      </w:r>
      <w:r>
        <w:t xml:space="preserve">,</w:t>
      </w:r>
      <w:r>
        <w:t xml:space="preserve">056 firms. CARs are market-model</w:t>
      </w:r>
      <w:r>
        <w:t xml:space="preserve"> </w:t>
      </w:r>
      <w:r>
        <w:t xml:space="preserve">cumulative abnormal returns around ChatGPT (2022-11-30) and GPT-4 (2023-03-14). AIIE is</w:t>
      </w:r>
      <w:r>
        <w:t xml:space="preserve"> </w:t>
      </w:r>
      <w:r>
        <w:t xml:space="preserve">the Felten–Raj–Seamans AI Industry Exposure (4-digit NAICS). Controls are predetermined</w:t>
      </w:r>
      <w:r>
        <w:t xml:space="preserve"> </w:t>
      </w:r>
      <w:r>
        <w:t xml:space="preserve">(measured before ChatGPT).</w:t>
      </w:r>
    </w:p>
    <w:bookmarkStart w:id="32" w:name="tab:longshort"/>
    <w:p>
      <w:pPr>
        <w:pStyle w:val="TableCaption"/>
      </w:pPr>
      <w:r>
        <w:t xml:space="preserve">AI-exposure quintile portfolios: mean CARs and long–short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I-exposure quintile portfolios: mean CARs and long–short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t xml:space="preserve">Mean CAR by AIIE quintile (%)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Long–short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2-6</w:t>
            </w:r>
            <w:r>
              <w:t xml:space="preserve">(lr)</w:t>
            </w:r>
            <w:r>
              <w:t xml:space="preserve">7-8</w:t>
            </w:r>
            <w:r>
              <w:t xml:space="preserve"> </w:t>
            </w:r>
            <w:r>
              <w:t xml:space="preserve">Event window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Q1 (low)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Q5 (high)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Q5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Q1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ChatGPT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1.31***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(3.96)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ChatGPT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(1.43)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ChatGPT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-1.98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-4.23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2.68***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(3.46)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ChatGPT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plac.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(-0.64)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GPT-4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-3.23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1.91***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(3.83)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GPT-4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-3.00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-4.58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-3.55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(1.43)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2966</w:t>
            </w:r>
          </w:p>
        </w:tc>
      </w:tr>
    </w:tbl>
    <w:bookmarkEnd w:id="32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Equal-weighted mean market-model CARs (%)</w:t>
      </w:r>
      <w:r>
        <w:t xml:space="preserve"> </w:t>
      </w:r>
      <w:r>
        <w:t xml:space="preserve">by AIIE quintile, and the top-minus-bottom quintile long–short with a two-sample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is a pre-event placebo.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3" w:name="tab:main"/>
    <w:p>
      <w:pPr>
        <w:pStyle w:val="TableCaption"/>
      </w:pPr>
      <w:r>
        <w:t xml:space="preserve">Cross-sectional CAR regressions around ChatGPT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ross-sectional CAR regressions around ChatGP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2-6</w:t>
            </w:r>
            <w:r>
              <w:t xml:space="preserve"> </w:t>
            </w:r>
            <w:r>
              <w:t xml:space="preserve">AI Industry Exposure (AIIE)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0.0058*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0.0059**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0.0071**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0.0097***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(1.88)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(2.07)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(2.49)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(3.39)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(2.61)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ln(ME)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0.0126***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0.0043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(3.40)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(0.71)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(0.82)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(1.46)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6-mo momentum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-0.0108*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-0.0092*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-0.0089*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-0.0047***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(-1.96)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(-1.92)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(-1.92)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(-3.00)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Book/Market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-0.0054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-0.0013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(-1.36)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(-1.58)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(-0.72)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ln(employees)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0.0052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(0.83)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(0.93)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window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[0,+10]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[0,+10]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[0,+10]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[0,+10]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[0,+1]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Non-fin.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Industry clusters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2864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0.013</w:t>
            </w:r>
          </w:p>
        </w:tc>
      </w:tr>
    </w:tbl>
    <w:bookmarkEnd w:id="33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DV is the market-model CAR over the stated</w:t>
      </w:r>
      <w:r>
        <w:t xml:space="preserve"> </w:t>
      </w:r>
      <w:r>
        <w:t xml:space="preserve">window. All regressors winsorized 1/99 and standardized (coefficients are the effect of a</w:t>
      </w:r>
      <w:r>
        <w:t xml:space="preserve"> </w:t>
      </w:r>
      <w:r>
        <w:t xml:space="preserve">one-SD increase). Column (4) drops financial (SIC 6000–6999) firms. Standard errors</w:t>
      </w:r>
      <w:r>
        <w:t xml:space="preserve"> </w:t>
      </w:r>
      <w:r>
        <w:t xml:space="preserve">clustered by 4-digit NAICS industry;</w:t>
      </w:r>
      <w:r>
        <w:t xml:space="preserve"> </w:t>
      </w:r>
      <m:oMath>
        <m:r>
          <m:t>t</m:t>
        </m:r>
      </m:oMath>
      <w:r>
        <w:t xml:space="preserve">-statistics in parentheses.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4" w:name="tab:buckets"/>
    <w:p>
      <w:pPr>
        <w:pStyle w:val="TableCaption"/>
      </w:pPr>
      <w:r>
        <w:t xml:space="preserve">The sign channel: mean CAR by AI-role bucket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 sign channel: mean CAR by AI-role bucke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AI supplier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AI user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Substitution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2-3</w:t>
            </w:r>
            <w:r>
              <w:t xml:space="preserve">(lr)</w:t>
            </w:r>
            <w:r>
              <w:t xml:space="preserve">4-5</w:t>
            </w:r>
            <w:r>
              <w:t xml:space="preserve">(lr)</w:t>
            </w:r>
            <w:r>
              <w:t xml:space="preserve">6-7</w:t>
            </w:r>
            <w:r>
              <w:t xml:space="preserve"> </w:t>
            </w:r>
            <w:r>
              <w:t xml:space="preserve">Event window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CAR%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CAR%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CAR%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ChatGPT [0,+5]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(0.73)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-0.45*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(-1.88)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-2.11***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(-2.73)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ChatGPT [0,+10]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(0.76)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-1.28***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(-3.67)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-2.76**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(-2.32)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GPT-4 [0,+5]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-1.49***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(-2.62)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-2.96***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(-12.65)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-3.64***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(-3.51)</w:t>
            </w:r>
          </w:p>
        </w:tc>
      </w:tr>
    </w:tbl>
    <w:bookmarkEnd w:id="34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Equal-weighted mean CARs (%) with</w:t>
      </w:r>
      <w:r>
        <w:t xml:space="preserve"> </w:t>
      </w:r>
      <m:oMath>
        <m:r>
          <m:t>t</m:t>
        </m:r>
      </m:oMath>
      <w:r>
        <w:t xml:space="preserve">-statistics</w:t>
      </w:r>
      <w:r>
        <w:t xml:space="preserve"> </w:t>
      </w:r>
      <w:r>
        <w:t xml:space="preserve">for AI-supplier (builds AI), AI-user (complement), and substitution (AI can produce the firm’s</w:t>
      </w:r>
      <w:r>
        <w:t xml:space="preserve"> </w:t>
      </w:r>
      <w:r>
        <w:t xml:space="preserve">output) industries.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5" w:name="tab:sign"/>
    <w:p>
      <w:pPr>
        <w:pStyle w:val="TableCaption"/>
      </w:pPr>
      <w:r>
        <w:t xml:space="preserve">The sign channel: bucket-dummy regression (ChatGPT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]</m:t>
        </m:r>
      </m:oMath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 sign channel: bucket-dummy regression (ChatGPT [0,+10]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DV = CAR[0,+10] ChatGPT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Coef. (%)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supplier (vs. user)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(0.87)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Substitution (vs. user)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(-1.11)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ln(ME)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(0.80)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6-mo momentum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-0.95**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(-1.97)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-1.40***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(-3.53)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Substitution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Industry clusters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2864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</w:p>
        </w:tc>
      </w:tr>
    </w:tbl>
    <w:bookmarkEnd w:id="35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DV is CAR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]</m:t>
        </m:r>
      </m:oMath>
      <w:r>
        <w:t xml:space="preserve"> </w:t>
      </w:r>
      <w:r>
        <w:t xml:space="preserve">around ChatGPT (%). Base</w:t>
      </w:r>
      <w:r>
        <w:t xml:space="preserve"> </w:t>
      </w:r>
      <w:r>
        <w:t xml:space="preserve">category is AI users. Predetermined controls included. Standard errors clustered by industry.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6" w:name="tab:robust"/>
    <w:p>
      <w:pPr>
        <w:pStyle w:val="TableCaption"/>
      </w:pPr>
      <w:r>
        <w:t xml:space="preserve">Robustness: the AIIE coefficient across windows, events, and estimators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obustness: the AIIE coefficient across windows, events, and estimator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AIIE coef. (%)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ChatGPT [0,+5], HC1 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(1.26)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ChatGPT [0,+5], drop financials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(0.97)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ChatGPT [0,+1]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(2.61)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ChatGPT [-1,+1]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(1.68)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ChatGPT [-10,-2] 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(-1.11)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GPT-4 [0,+5] (SVB-contaminated)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(2.99)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GPT-4 [0,+5], drop financials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(2.72)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0.027</w:t>
            </w:r>
          </w:p>
        </w:tc>
      </w:tr>
    </w:tbl>
    <w:bookmarkEnd w:id="36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Each row is a separate regression of the stated</w:t>
      </w:r>
      <w:r>
        <w:t xml:space="preserve"> </w:t>
      </w:r>
      <w:r>
        <w:t xml:space="preserve">CAR on standardized AIIE with the full control set; coefficient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 AIIE reported.</w:t>
      </w:r>
      <w:r>
        <w:t xml:space="preserve"> </w:t>
      </w:r>
      <w:r>
        <w:t xml:space="preserve">Clustered by industry except the HC1 row. GPT-4’s window overlaps the March-2023 banking</w:t>
      </w:r>
      <w:r>
        <w:t xml:space="preserve"> </w:t>
      </w:r>
      <w:r>
        <w:t xml:space="preserve">crisis.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7" w:name="tab:edgar"/>
    <w:p>
      <w:pPr>
        <w:pStyle w:val="TableCaption"/>
      </w:pPr>
      <w:r>
        <w:t xml:space="preserve">Firm-level validation: 10-K AI-mention intensity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rm-level validation: 10-K AI-mention intensity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Dependent variable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10-K AI-intensity coef. (%)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CAR[0,+10] ChatGPT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CAR[0,+1] ChatGPT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(2.04)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0.016</w:t>
            </w:r>
          </w:p>
        </w:tc>
      </w:tr>
    </w:tbl>
    <w:bookmarkEnd w:id="37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10-K AI-mention intensity (log AI terms per</w:t>
      </w:r>
      <w:r>
        <w:t xml:space="preserve"> </w:t>
      </w:r>
      <w:r>
        <w:t xml:space="preserve">10</w:t>
      </w:r>
      <w:r>
        <w:t xml:space="preserve">,</w:t>
      </w:r>
      <w:r>
        <w:t xml:space="preserve">000 words), standardized, from the most recent pre-ChatGPT 10-K on SEC EDGAR for</w:t>
      </w:r>
      <w:r>
        <w:t xml:space="preserve"> </w:t>
      </w:r>
      <w:r>
        <w:t xml:space="preserve">650 firms. Controls for size and momentum; industry-clustered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8" w:name="tab:hetero"/>
    <w:p>
      <w:pPr>
        <w:pStyle w:val="TableCaption"/>
      </w:pPr>
      <w:r>
        <w:t xml:space="preserve">Heterogeneity of the priced-AIIE effect by observable moderators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eterogeneity of the priced-AIIE effect by observable moderator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CAR[0,+10] (%)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CAR[0,+1]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2-3</w:t>
            </w:r>
            <w:r>
              <w:t xml:space="preserve">(lr)</w:t>
            </w:r>
            <w:r>
              <w:t xml:space="preserve">4-5</w:t>
            </w:r>
            <w:r>
              <w:t xml:space="preserve"> </w:t>
            </w:r>
            <w:r>
              <w:t xml:space="preserve">Moderator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(pre-event)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AIIE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AIIE</w:t>
            </w:r>
            <m:oMath>
              <m:r>
                <m:rPr>
                  <m:sty m:val="p"/>
                </m:rPr>
                <m:t>×</m:t>
              </m:r>
              <m:r>
                <m:t>M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AIIE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AIIE</w:t>
            </w:r>
            <m:oMath>
              <m:r>
                <m:rPr>
                  <m:sty m:val="p"/>
                </m:rPr>
                <m:t>×</m:t>
              </m:r>
              <m:r>
                <m:t>M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firm (high ln ME)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+0.64***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book/market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+1.08***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+0.45***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momentum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+1.16***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-0.87*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+0.43**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firm (SIC 6000-6999)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+0.95***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+0.38***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-0.17</w:t>
            </w:r>
          </w:p>
        </w:tc>
      </w:tr>
    </w:tbl>
    <w:bookmarkEnd w:id="38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Each cell pair comes from one regression of the</w:t>
      </w:r>
      <w:r>
        <w:t xml:space="preserve"> </w:t>
      </w:r>
      <w:r>
        <w:t xml:space="preserve">stated ChatGPT CAR (%) on standardized AIIE, its interaction with the moderator indicator, the</w:t>
      </w:r>
      <w:r>
        <w:t xml:space="preserve"> </w:t>
      </w:r>
      <w:r>
        <w:t xml:space="preserve">moderator, and the full predetermined control set, with industry-clustered standard errors.</w:t>
      </w:r>
      <w:r>
        <w:t xml:space="preserve"> </w:t>
      </w:r>
      <w:r>
        <w:t xml:space="preserve">“AIIE”</w:t>
      </w:r>
      <w:r>
        <w:t xml:space="preserve"> </w:t>
      </w:r>
      <w:r>
        <w:t xml:space="preserve">is the effect in the low-moderator group;</w:t>
      </w:r>
      <w:r>
        <w:t xml:space="preserve"> </w:t>
      </w:r>
      <w:r>
        <w:t xml:space="preserve">“AIIE</w:t>
      </w:r>
      <m:oMath>
        <m:r>
          <m:rPr>
            <m:sty m:val="p"/>
          </m:rPr>
          <m:t>×</m:t>
        </m:r>
        <m:r>
          <m:t>M</m:t>
        </m:r>
      </m:oMath>
      <w:r>
        <w:t xml:space="preserve">”</w:t>
      </w:r>
      <w:r>
        <w:t xml:space="preserve"> </w:t>
      </w:r>
      <w:r>
        <w:t xml:space="preserve">is the additional effect</w:t>
      </w:r>
      <w:r>
        <w:t xml:space="preserve"> </w:t>
      </w:r>
      <w:r>
        <w:t xml:space="preserve">in the high group. Moderators are predetermined and observable, chosen to be orthogonal to the</w:t>
      </w:r>
      <w:r>
        <w:t xml:space="preserve"> </w:t>
      </w:r>
      <w:r>
        <w:t xml:space="preserve">hand-coded firm-level task exposure reserved for the student.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9" w:name="tab:matched"/>
    <w:p>
      <w:pPr>
        <w:pStyle w:val="TableCaption"/>
      </w:pPr>
      <w:r>
        <w:t xml:space="preserve">Characteristic-matched design: does the priced-AIIE gap survive balancing?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haracteristic-matched design: does the priced-AIIE gap survive balancing?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High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low AIIE gap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Matched regression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2-3</w:t>
            </w:r>
            <w:r>
              <w:t xml:space="preserve">(lr)</w:t>
            </w:r>
            <w:r>
              <w:t xml:space="preserve">4-5</w:t>
            </w:r>
            <w:r>
              <w:t xml:space="preserve"> </w:t>
            </w:r>
            <w:r>
              <w:t xml:space="preserve">Outcome (DV)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Diff. (%)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AIIE (%)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CAR[0,+10] ChatGPT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+1.50**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(+2.23)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+0.76**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(+2.05)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CAR[0,+1] ChatGPT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+0.99***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(+3.72)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+0.45***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(+2.89)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CAR[0,+5] ChatGPT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(-0.23)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(+0.52)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1350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Covariate balance (high</w:t>
            </w:r>
            <m:oMath>
              <m:r>
                <m:rPr>
                  <m:sty m:val="p"/>
                </m:rPr>
                <m:t>−</m:t>
              </m:r>
            </m:oMath>
            <w:r>
              <w:rPr>
                <w:i/>
                <w:iCs/>
              </w:rPr>
              <w:t xml:space="preserve">low mean gap, standardized):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Pre-match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Post-match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ln(ME)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-mo momentum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Book/Market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+0.151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ln(employees)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9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High-AIIE (top tercile) firms are nearest-neighbor</w:t>
      </w:r>
      <w:r>
        <w:t xml:space="preserve"> </w:t>
      </w:r>
      <w:r>
        <w:t xml:space="preserve">matched without replacement to low-AIIE (bottom tercile) firms on the standardized predetermined</w:t>
      </w:r>
      <w:r>
        <w:t xml:space="preserve"> </w:t>
      </w:r>
      <w:r>
        <w:t xml:space="preserve">controls (size, book-to-market, momentum, employment), Euclidean distance, caliper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“High</w:t>
      </w:r>
      <m:oMath>
        <m:r>
          <m:rPr>
            <m:sty m:val="p"/>
          </m:rPr>
          <m:t>−</m:t>
        </m:r>
      </m:oMath>
      <w:r>
        <w:t xml:space="preserve">low AIIE gap”</w:t>
      </w:r>
      <w:r>
        <w:t xml:space="preserve"> </w:t>
      </w:r>
      <w:r>
        <w:t xml:space="preserve">is the difference in mean CAR (%) on the matched sample with a two-sample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w:r>
        <w:t xml:space="preserve">“Matched regression”</w:t>
      </w:r>
      <w:r>
        <w:t xml:space="preserve"> </w:t>
      </w:r>
      <w:r>
        <w:t xml:space="preserve">re-estimates the full-control AIIE cross-section on the matched sample</w:t>
      </w:r>
      <w:r>
        <w:t xml:space="preserve"> </w:t>
      </w:r>
      <w:r>
        <w:t xml:space="preserve">(coefficient in %, industry-clustered</w:t>
      </w:r>
      <w:r>
        <w:t xml:space="preserve"> </w:t>
      </w:r>
      <m:oMath>
        <m:r>
          <m:t>t</m:t>
        </m:r>
      </m:oMath>
      <w:r>
        <w:t xml:space="preserve">). Balance rows report the standardized high-minus-low</w:t>
      </w:r>
      <w:r>
        <w:t xml:space="preserve"> </w:t>
      </w:r>
      <w:r>
        <w:t xml:space="preserve">mean gap before and after matching.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40" w:name="tab:ri"/>
    <w:p>
      <w:pPr>
        <w:pStyle w:val="TableCaption"/>
      </w:pPr>
      <w:r>
        <w:t xml:space="preserve">Industry-level randomization inference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ustry-level randomization inferenc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 (DV)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Actual AIIE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Perm. 95% interval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CAR[0,+10] ChatGPT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[-0.88, +0.79]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CAR[0,+1] ChatGPT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[-0.38, +0.34]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0.051</w:t>
            </w:r>
          </w:p>
        </w:tc>
      </w:tr>
    </w:tbl>
    <w:bookmarkEnd w:id="40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The 182 industry AIIE values are permuted among the</w:t>
      </w:r>
      <w:r>
        <w:t xml:space="preserve"> </w:t>
      </w:r>
      <w:r>
        <w:t xml:space="preserve">industries 1</w:t>
      </w:r>
      <w:r>
        <w:t xml:space="preserve">,</w:t>
      </w:r>
      <w:r>
        <w:t xml:space="preserve">000 times (firms-per-industry held fixed) and broadcast back to firms; the</w:t>
      </w:r>
      <w:r>
        <w:t xml:space="preserve"> </w:t>
      </w:r>
      <w:r>
        <w:t xml:space="preserve">full-control AIIE cross-section is refit each time.</w:t>
      </w:r>
      <w:r>
        <w:t xml:space="preserve"> </w:t>
      </w:r>
      <w:r>
        <w:t xml:space="preserve">“Actual AIIE”</w:t>
      </w:r>
      <w:r>
        <w:t xml:space="preserve"> </w:t>
      </w:r>
      <w:r>
        <w:t xml:space="preserve">is the estimated coefficient</w:t>
      </w:r>
      <w:r>
        <w:t xml:space="preserve"> </w:t>
      </w:r>
      <w:r>
        <w:t xml:space="preserve">(%); the permutation interval is the central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of the permutation distribution; the RI</w:t>
      </w:r>
      <w:r>
        <w:t xml:space="preserve"> </w:t>
      </w:r>
      <m:oMath>
        <m:r>
          <m:t>p</m:t>
        </m:r>
      </m:oMath>
      <w:r>
        <w:t xml:space="preserve">-value is the share of permutations with</w:t>
      </w:r>
      <w:r>
        <w:t xml:space="preserve"> </w:t>
      </w:r>
      <m:oMath>
        <m:r>
          <m:rPr>
            <m:sty m:val="p"/>
          </m:rPr>
          <m:t>|</m:t>
        </m:r>
      </m:oMath>
      <w:r>
        <w:t xml:space="preserve">coefficient</w:t>
      </w:r>
      <m:oMath>
        <m:r>
          <m:rPr>
            <m:sty m:val="p"/>
          </m:rPr>
          <m:t>|</m:t>
        </m:r>
      </m:oMath>
      <w:r>
        <w:t xml:space="preserve"> </w:t>
      </w:r>
      <w:r>
        <w:t xml:space="preserve">at least as large as the actual.</w:t>
      </w:r>
    </w:p>
    <w:bookmarkStart w:id="41" w:name="tab:power"/>
    <w:p>
      <w:pPr>
        <w:pStyle w:val="TableCaption"/>
      </w:pPr>
      <w:r>
        <w:t xml:space="preserve">Power and minimum detectable effects (80% power)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ower and minimum detectable effects (80% power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Coef. (pp)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 (pp)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MDE(80%) (pp)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 of CAR 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AIIE coef., CAR[0,+1] ChatGPT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AIIE coef., CAR[0,+5] ChatGPT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AIIE coef., CAR[0,+10] ChatGPT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AIIE coef., CAR[-10,-2] 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AIIE coef., CAR[0,+5] GPT-4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Substitution bucket mean, CAR[0,+5] ChatGPT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Substitution bucket mean, CAR[0,+10] ChatGPT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22.7%</w:t>
            </w:r>
          </w:p>
        </w:tc>
      </w:tr>
    </w:tbl>
    <w:bookmarkEnd w:id="41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MDE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0.80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  <m:r>
          <m:rPr>
            <m:sty m:val="p"/>
          </m:rPr>
          <m:t>≈</m:t>
        </m:r>
        <m:r>
          <m:t>2.80</m:t>
        </m:r>
        <m:r>
          <m:t> </m:t>
        </m:r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</m:oMath>
      <w:r>
        <w:t xml:space="preserve">, in percentage points and as a share of the cross-firm CAR</w:t>
      </w:r>
      <w:r>
        <w:t xml:space="preserve"> </w:t>
      </w:r>
      <w:r>
        <w:t xml:space="preserve">standard deviation. AIIE-coefficient rows are the full-control cross-section for each window;</w:t>
      </w:r>
      <w:r>
        <w:t xml:space="preserve"> </w:t>
      </w:r>
      <w:r>
        <w:t xml:space="preserve">substitution-bucket rows are the mean CAR of the nine substitution industries. CAR means are</w:t>
      </w:r>
      <w:r>
        <w:t xml:space="preserve"> </w:t>
      </w:r>
      <w:r>
        <w:t xml:space="preserve">near zero, so effects are not scaled by the mean.</w:t>
      </w:r>
    </w:p>
    <w:bookmarkStart w:id="45" w:name="fig:ri"/>
    <w:p>
      <w:pPr>
        <w:pStyle w:val="CaptionedFigure"/>
      </w:pPr>
      <w:r>
        <w:drawing>
          <wp:inline>
            <wp:extent cx="4267200" cy="2556933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ig4_randinf.pdf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56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Industry-level randomization inference for the headline window. Histogram of the AIIE</w:t>
      </w:r>
      <w:r>
        <w:t xml:space="preserve"> </w:t>
      </w:r>
      <w:r>
        <w:t xml:space="preserve">coefficient on CAR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]</m:t>
        </m:r>
      </m:oMath>
      <w:r>
        <w:t xml:space="preserve"> </w:t>
      </w:r>
      <w:r>
        <w:t xml:space="preserve">under 1</w:t>
      </w:r>
      <w:r>
        <w:t xml:space="preserve">,</w:t>
      </w:r>
      <w:r>
        <w:t xml:space="preserve">000 permutations of industry exposure among the 182</w:t>
      </w:r>
      <w:r>
        <w:t xml:space="preserve"> </w:t>
      </w:r>
      <w:r>
        <w:t xml:space="preserve">industries; the red line is the actual estimate. The actual coefficient sits in the right tail</w:t>
      </w:r>
      <w:r>
        <w:t xml:space="preserve"> </w:t>
      </w:r>
      <w:r>
        <w:t xml:space="preserve">of the permutation distribution (RI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0.091</m:t>
        </m:r>
        <m:r>
          <m:t>​</m:t>
        </m:r>
      </m:oMath>
      <w:r>
        <w:t xml:space="preserve">), so the design-based test supports—but does</w:t>
      </w:r>
      <w:r>
        <w:t xml:space="preserve"> </w:t>
      </w:r>
      <w:r>
        <w:t xml:space="preserve">not overwhelm—the clustered-SE inference.</w:t>
      </w:r>
    </w:p>
    <w:bookmarkEnd w:id="45"/>
    <w:bookmarkStart w:id="49" w:name="fig:caar"/>
    <w:p>
      <w:pPr>
        <w:pStyle w:val="CaptionedFigure"/>
      </w:pPr>
      <w:r>
        <w:drawing>
          <wp:inline>
            <wp:extent cx="4160520" cy="2706527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fig3_caar_path.pdf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706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Cumulative average abnormal return (CAAR) around ChatGPT for the top and bottom</w:t>
      </w:r>
      <w:r>
        <w:t xml:space="preserve"> </w:t>
      </w:r>
      <w:r>
        <w:t xml:space="preserve">AIIE terciles, re-based to zero at day </w:t>
      </w:r>
      <m:oMath>
        <m:r>
          <m:rPr>
            <m:sty m:val="p"/>
          </m:rPr>
          <m:t>−</m:t>
        </m:r>
        <m:r>
          <m:t>1</m:t>
        </m:r>
      </m:oMath>
      <w:r>
        <w:t xml:space="preserve">. The series track each other before the event</w:t>
      </w:r>
      <w:r>
        <w:t xml:space="preserve"> </w:t>
      </w:r>
      <w:r>
        <w:t xml:space="preserve">and diverge afterward.</w:t>
      </w:r>
    </w:p>
    <w:bookmarkEnd w:id="49"/>
    <w:bookmarkStart w:id="53" w:name="fig:buckets"/>
    <w:p>
      <w:pPr>
        <w:pStyle w:val="CaptionedFigure"/>
      </w:pPr>
      <w:r>
        <w:drawing>
          <wp:inline>
            <wp:extent cx="3840480" cy="2716886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fig2_sign_buckets.pdf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716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Mean ChatGPT CAR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]</m:t>
        </m:r>
      </m:oMath>
      <w:r>
        <w:t xml:space="preserve"> </w:t>
      </w:r>
      <w:r>
        <w:t xml:space="preserve">by AI-role bucket. AI suppliers gain; substitution</w:t>
      </w:r>
      <w:r>
        <w:t xml:space="preserve"> </w:t>
      </w:r>
      <w:r>
        <w:t xml:space="preserve">industries (AI can produce their output) lose most. Error bars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standard error.</w:t>
      </w:r>
    </w:p>
    <w:bookmarkEnd w:id="53"/>
    <w:bookmarkStart w:id="57" w:name="fig:bin"/>
    <w:p>
      <w:pPr>
        <w:pStyle w:val="CaptionedFigure"/>
      </w:pPr>
      <w:r>
        <w:drawing>
          <wp:inline>
            <wp:extent cx="4160520" cy="2794784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fig1_aiie_binscatter.pdf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794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ChatGPT CAR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]</m:t>
        </m:r>
      </m:oMath>
      <w:r>
        <w:t xml:space="preserve"> </w:t>
      </w:r>
      <w:r>
        <w:t xml:space="preserve">versus AI Industry Exposure. Gray points are firms; red points</w:t>
      </w:r>
      <w:r>
        <w:t xml:space="preserve"> </w:t>
      </w:r>
      <w:r>
        <w:t xml:space="preserve">are AIIE decile means; the line is the OLS fit.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Coauthorship is provisional: the student is listed as a coauthor and authorship is confirmed upon completing the reserved hand-collection contribution (Task 1 in</w:t>
      </w:r>
      <w:r>
        <w:t xml:space="preserve"> </w:t>
      </w:r>
      <w:r>
        <w:rPr>
          <w:rStyle w:val="VerbatimChar"/>
        </w:rPr>
        <w:t xml:space="preserve">STUDENT_TASKS.md</w:t>
      </w:r>
      <w:r>
        <w:t xml:space="preserve">). A note on author order and status: the student is listed first here as a program convention, but in finance and economics published author order is conventionally alphabetical; all authorship on this draft is tentative and specific to the ASSIP 2026 program at this stage.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Ngo: ASSIP 2026, George Mason University.</w:t>
      </w:r>
      <w:r>
        <w:t xml:space="preserve"> </w:t>
      </w:r>
      <w:r>
        <w:t xml:space="preserve">Gao (corresponding author): Costello College of Business, George Mason University,</w:t>
      </w:r>
      <w:r>
        <w:t xml:space="preserve"> </w:t>
      </w:r>
      <w:r>
        <w:rPr>
          <w:rStyle w:val="VerbatimChar"/>
        </w:rPr>
        <w:t xml:space="preserve">lgao9@gmu.edu</w:t>
      </w:r>
      <w:r>
        <w:t xml:space="preserve">. This is a student–faculty working paper prepared in the ASSIP 2026</w:t>
      </w:r>
      <w:r>
        <w:t xml:space="preserve"> </w:t>
      </w:r>
      <w:r>
        <w:t xml:space="preserve">Empirical Finance research group. All results use public data—CRSP and Compustat via WRDS;</w:t>
      </w:r>
      <w:r>
        <w:t xml:space="preserve"> </w:t>
      </w:r>
      <w:r>
        <w:t xml:space="preserve">the Felten–Raj–Seamans (2021) AI-exposure indices from their public data appendix; and SEC</w:t>
      </w:r>
      <w:r>
        <w:t xml:space="preserve"> </w:t>
      </w:r>
      <w:r>
        <w:t xml:space="preserve">EDGAR 10-K filings; every reported number traces to a regression-output CSV in</w:t>
      </w:r>
      <w:r>
        <w:t xml:space="preserve"> </w:t>
      </w:r>
      <w:r>
        <w:rPr>
          <w:rStyle w:val="VerbatimChar"/>
        </w:rPr>
        <w:t xml:space="preserve">output/tables/</w:t>
      </w:r>
      <w:r>
        <w:t xml:space="preserve"> </w:t>
      </w:r>
      <w:r>
        <w:t xml:space="preserve">and is reproduced by the code in</w:t>
      </w:r>
      <w:r>
        <w:t xml:space="preserve"> </w:t>
      </w:r>
      <w:r>
        <w:rPr>
          <w:rStyle w:val="VerbatimChar"/>
        </w:rPr>
        <w:t xml:space="preserve">code/</w:t>
      </w:r>
      <w:r>
        <w:t xml:space="preserve">. No numbers are</w:t>
      </w:r>
      <w:r>
        <w:t xml:space="preserve"> </w:t>
      </w:r>
      <w:r>
        <w:t xml:space="preserve">fabricated. We thank the ASSIP 2026 cohort for comments. Any errors are our own.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4" Target="media/rId54.pdf" /><Relationship Type="http://schemas.openxmlformats.org/officeDocument/2006/relationships/image" Id="rId50" Target="media/rId50.pdf" /><Relationship Type="http://schemas.openxmlformats.org/officeDocument/2006/relationships/image" Id="rId46" Target="media/rId46.pdf" /><Relationship Type="http://schemas.openxmlformats.org/officeDocument/2006/relationships/image" Id="rId42" Target="media/rId42.pd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Did ChatGPT Reprice AI-Exposed Labor? Abnormal Returns, Substitution, and Complementarity Around the Generative-AI Shock</dc:title>
  <dc:creator>Nam Bao Ngo; Lei Gao</dc:creator>
  <cp:keywords/>
  <dcterms:created xsi:type="dcterms:W3CDTF">2026-07-25T07:13:13Z</dcterms:created>
  <dcterms:modified xsi:type="dcterms:W3CDTF">2026-07-25T07:13:13Z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ask whether the U.S. stock market repriced firms according to their exposure to generative artificial intelligence around ChatGPT’s release (November 30, 2022) and GPT-4 (March 14, 2023). Using market-model cumulative abnormal returns (CARs) for 3,056 firms and the Felten–Raj–Seamans AI Industry Exposure (AIIE) index mapped to firms by 4-digit NAICS, we find that AI exposure was priced—and that its sign depends on whether AI substitutes for or complements a firm’s labor. An equal-weighted portfolio long the most and short the least AI-exposed industries earned +1.3\% over [0,+1] (t=3.96) and +2.7\% over [0,+10] (t=3.46) around ChatGPT; in the cross-section a one-standard-deviation increase in AIIE is associated with a +0.71pp ten-day CAR (t=2.49, industry-clustered), rising to +0.97pp (t=3.39) among non-financials, with a clean null in the pre-event placebo window. But the average masks a sign reversal: AI-supplier industries (software, semiconductors, cloud) earned +0.6\% while substitution industries whose product is cognitive labor (staffing, education, publishing, legal, consulting, advertising) earned -2.8\% (t=-2.32). Firm-level 10-K AI-mention intensity (from 650 EDGAR filings) correlates with AIIE (\rho=0.25) and independently predicts the tight-window cross-section. The market treated generative AI as a net cost saving for most firms but as a competitive threat where AI can produce the firm’s output. The priced-exposure effect survives balancing high- and low-exposure firms on size, value, momentum, and employment, but is only borderline under industry-level randomization inference (which we report transparently, since exposure varies across just 182 industries), and a power analysis shows the well-populated windows are informative rather than underpowered. JEL: G14, G12, J24, O33, E24. Keywords: generative AI, ChatGPT, labor exposure, event study, abnormal returns.</vt:lpwstr>
  </property>
  <property fmtid="{D5CDD505-2E9C-101B-9397-08002B2CF9AE}" pid="3" name="date">
    <vt:lpwstr>July 2026</vt:lpwstr>
  </property>
</Properties>
</file>