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df" ContentType="application/pdf"/>
  <Override PartName="/word/media/rId46.pdf" ContentType="application/pdf"/>
  <Override PartName="/word/media/rId5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What Cracked a Bank in March 2023?</w:t>
      </w:r>
      <w:r>
        <w:br/>
      </w:r>
      <w:r>
        <w:rPr>
          <w:b/>
          <w:bCs/>
        </w:rPr>
        <w:t xml:space="preserve">Uninsured Deposits versus Hidden Bond Losses in the SVB Window</w:t>
      </w:r>
    </w:p>
    <w:p>
      <w:pPr>
        <w:pStyle w:val="Author"/>
      </w:pPr>
      <w:r>
        <w:t xml:space="preserve">Aaron Lu Zhang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When Silicon Valley Bank collapsed in March 2023, two narratives competed:</w:t>
      </w:r>
      <w:r>
        <w:t xml:space="preserve"> </w:t>
      </w:r>
      <w:r>
        <w:t xml:space="preserve">that banks failed because of</w:t>
      </w:r>
      <w:r>
        <w:t xml:space="preserve"> </w:t>
      </w:r>
      <w:r>
        <w:rPr>
          <w:i/>
          <w:iCs/>
        </w:rPr>
        <w:t xml:space="preserve">unrealized losses</w:t>
      </w:r>
      <w:r>
        <w:t xml:space="preserve"> </w:t>
      </w:r>
      <w:r>
        <w:t xml:space="preserve">on long-duration securities, and</w:t>
      </w:r>
      <w:r>
        <w:t xml:space="preserve"> </w:t>
      </w:r>
      <w:r>
        <w:t xml:space="preserve">that they failed because</w:t>
      </w:r>
      <w:r>
        <w:t xml:space="preserve"> </w:t>
      </w:r>
      <w:r>
        <w:rPr>
          <w:i/>
          <w:iCs/>
        </w:rPr>
        <w:t xml:space="preserve">uninsured depositors</w:t>
      </w:r>
      <w:r>
        <w:t xml:space="preserve"> </w:t>
      </w:r>
      <w:r>
        <w:t xml:space="preserve">ran. We separate the two in the</w:t>
      </w:r>
      <w:r>
        <w:t xml:space="preserve"> </w:t>
      </w:r>
      <w:r>
        <w:t xml:space="preserve">cross-section of bank equity returns. Using 165 publicly-traded U.S. banks, we compute</w:t>
      </w:r>
      <w:r>
        <w:t xml:space="preserve"> </w:t>
      </w:r>
      <w:r>
        <w:t xml:space="preserve">market-model cumulative abnormal returns (CARs) over the SVB window (March 8–13, 2023)</w:t>
      </w:r>
      <w:r>
        <w:t xml:space="preserve"> </w:t>
      </w:r>
      <w:r>
        <w:t xml:space="preserve">and relate them to two predetermined 2022Q4 balance-sheet exposures built from</w:t>
      </w:r>
      <w:r>
        <w:t xml:space="preserve"> </w:t>
      </w:r>
      <w:r>
        <w:t xml:space="preserve">bank-regulatory filings: the ratio of estimated uninsured deposits to assets, and unrealized</w:t>
      </w:r>
      <w:r>
        <w:t xml:space="preserve"> </w:t>
      </w:r>
      <w:r>
        <w:t xml:space="preserve">securities losses scaled by equity. The average bank lost 14.1% over the window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13.7</m:t>
        </m:r>
      </m:oMath>
      <w:r>
        <w:t xml:space="preserve">). In the cross-section, a one-standard-deviation increase in the uninsured-deposit</w:t>
      </w:r>
      <w:r>
        <w:t xml:space="preserve"> </w:t>
      </w:r>
      <w:r>
        <w:t xml:space="preserve">ratio is associated with a 4.2-percentage-point larger equity loss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3.05</m:t>
        </m:r>
      </m:oMath>
      <w:r>
        <w:t xml:space="preserve">), robust to</w:t>
      </w:r>
      <w:r>
        <w:t xml:space="preserve"> </w:t>
      </w:r>
      <w:r>
        <w:t xml:space="preserve">controlling for size and to excluding the eight U.S. global systemically important banks.</w:t>
      </w:r>
      <w:r>
        <w:t xml:space="preserve"> </w:t>
      </w:r>
      <w:r>
        <w:t xml:space="preserve">The run channel survives every design we throw at it: a covariate-balanced matching estimator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5.4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2.43</m:t>
        </m:r>
      </m:oMath>
      <w:r>
        <w:t xml:space="preserve">), randomization inference on 2</w:t>
      </w:r>
      <w:r>
        <w:t xml:space="preserve">,</w:t>
      </w:r>
      <w:r>
        <w:t xml:space="preserve">000 permutations of exposure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and a clean pre-event placebo window in which the uninsured gradient is flat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0.37</m:t>
        </m:r>
      </m:oMath>
      <w:r>
        <w:t xml:space="preserve">) even though banks were already falling together. The securities-loss (mark-to-market)</w:t>
      </w:r>
      <w:r>
        <w:t xml:space="preserve"> </w:t>
      </w:r>
      <w:r>
        <w:t xml:space="preserve">channel is, by contrast, fragile: it is insignificant under conventional robust inference in the</w:t>
      </w:r>
      <w:r>
        <w:t xml:space="preserve"> </w:t>
      </w:r>
      <w:r>
        <w:t xml:space="preserve">horse race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1.16</m:t>
        </m:r>
      </m:oMath>
      <w:r>
        <w:t xml:space="preserve">), only marginal under randomization inference (</w:t>
      </w:r>
      <m:oMath>
        <m:r>
          <m:t>p</m:t>
        </m:r>
        <m:r>
          <m:rPr>
            <m:sty m:val="p"/>
          </m:rPr>
          <m:t>=</m:t>
        </m:r>
        <m:r>
          <m:t>0.04</m:t>
        </m:r>
      </m:oMath>
      <w:r>
        <w:t xml:space="preserve">), and about half</w:t>
      </w:r>
      <w:r>
        <w:t xml:space="preserve"> </w:t>
      </w:r>
      <w:r>
        <w:t xml:space="preserve">the magnitude of the run channel. A minimum-detectable-effect analysis shows the design is</w:t>
      </w:r>
      <w:r>
        <w:t xml:space="preserve"> </w:t>
      </w:r>
      <w:r>
        <w:t xml:space="preserve">well-powered for the run channel and can bound—though not sharply pin down—the smaller</w:t>
      </w:r>
      <w:r>
        <w:t xml:space="preserve"> </w:t>
      </w:r>
      <w:r>
        <w:t xml:space="preserve">mark-to-market channel. The market priced run risk far more than mark-to-market risk. Three</w:t>
      </w:r>
      <w:r>
        <w:t xml:space="preserve"> </w:t>
      </w:r>
      <w:r>
        <w:t xml:space="preserve">hand-collected refinements—correctly aggregated multi-bank uninsured deposits, a</w:t>
      </w:r>
      <w:r>
        <w:t xml:space="preserve"> </w:t>
      </w:r>
      <w:r>
        <w:t xml:space="preserve">bank-specific-news confound screen, and realized deposit outflows as a second outcome—are</w:t>
      </w:r>
      <w:r>
        <w:t xml:space="preserve"> </w:t>
      </w:r>
      <w:r>
        <w:t xml:space="preserve">reserved as the companion student contribution.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G21, G14, G01, E58.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bank runs, uninsured deposits, unrealized losses, SVB, event study,</w:t>
      </w:r>
      <w:r>
        <w:t xml:space="preserve"> </w:t>
      </w:r>
      <w:r>
        <w:t xml:space="preserve">randomization inference, statistical power.</w: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the second week of March 2023, Silicon Valley Bank (SVB) went from solvent to</w:t>
      </w:r>
      <w:r>
        <w:t xml:space="preserve"> </w:t>
      </w:r>
      <w:r>
        <w:t xml:space="preserve">FDIC receivership in roughly 48 hours, and the equity of regional banks fell sharply.</w:t>
      </w:r>
      <w:r>
        <w:t xml:space="preserve"> </w:t>
      </w:r>
      <w:r>
        <w:t xml:space="preserve">Two explanations were offered almost immediately, and they carry different policy</w:t>
      </w:r>
      <w:r>
        <w:t xml:space="preserve"> </w:t>
      </w:r>
      <w:r>
        <w:t xml:space="preserve">implications. The first blames</w:t>
      </w:r>
      <w:r>
        <w:t xml:space="preserve"> </w:t>
      </w:r>
      <w:r>
        <w:rPr>
          <w:i/>
          <w:iCs/>
        </w:rPr>
        <w:t xml:space="preserve">interest-rate risk</w:t>
      </w:r>
      <w:r>
        <w:t xml:space="preserve">: after the fastest tightening</w:t>
      </w:r>
      <w:r>
        <w:t xml:space="preserve"> </w:t>
      </w:r>
      <w:r>
        <w:t xml:space="preserve">cycle in four decades, banks held large unrealized losses on held-to-maturity (HTM) and</w:t>
      </w:r>
      <w:r>
        <w:t xml:space="preserve"> </w:t>
      </w:r>
      <w:r>
        <w:t xml:space="preserve">available-for-sale (AFS) securities that, if marked to market, wiped out reported capital</w:t>
      </w:r>
      <w:r>
        <w:t xml:space="preserve"> </w:t>
      </w:r>
      <w:r>
        <w:t xml:space="preserve">. The second blames</w:t>
      </w:r>
      <w:r>
        <w:t xml:space="preserve"> </w:t>
      </w:r>
      <w:r>
        <w:rPr>
          <w:i/>
          <w:iCs/>
        </w:rPr>
        <w:t xml:space="preserve">funding fragility</w:t>
      </w:r>
      <w:r>
        <w:t xml:space="preserve">: banks financed by</w:t>
      </w:r>
      <w:r>
        <w:t xml:space="preserve"> </w:t>
      </w:r>
      <w:r>
        <w:rPr>
          <w:i/>
          <w:iCs/>
        </w:rPr>
        <w:t xml:space="preserve">uninsured</w:t>
      </w:r>
      <w:r>
        <w:t xml:space="preserve"> </w:t>
      </w:r>
      <w:r>
        <w:t xml:space="preserve">deposits—which are not protected by the FDIC and can flee at par—were</w:t>
      </w:r>
      <w:r>
        <w:t xml:space="preserve"> </w:t>
      </w:r>
      <w:r>
        <w:t xml:space="preserve">exposed to a classic run</w:t>
      </w:r>
      <w:r>
        <w:t xml:space="preserve"> </w:t>
      </w:r>
      <w:r>
        <w:t xml:space="preserve">. Because SVB was extreme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dimensions, the raw failure does not tell us which exposure the market believed</w:t>
      </w:r>
      <w:r>
        <w:t xml:space="preserve"> </w:t>
      </w:r>
      <w:r>
        <w:t xml:space="preserve">was fatal.</w:t>
      </w:r>
    </w:p>
    <w:p>
      <w:pPr>
        <w:pStyle w:val="BodyText"/>
      </w:pPr>
      <w:r>
        <w:t xml:space="preserve">This paper runs the horse race directly. We ask: across publicly-traded banks, did the</w:t>
      </w:r>
      <w:r>
        <w:t xml:space="preserve"> </w:t>
      </w:r>
      <w:r>
        <w:t xml:space="preserve">equity-price collapse in the SVB window load more on a bank’s uninsured-deposit exposure</w:t>
      </w:r>
      <w:r>
        <w:t xml:space="preserve"> </w:t>
      </w:r>
      <w:r>
        <w:t xml:space="preserve">or on its hidden securities losses, holding size fixed? We answer with a standard</w:t>
      </w:r>
      <w:r>
        <w:t xml:space="preserve"> </w:t>
      </w:r>
      <w:r>
        <w:t xml:space="preserve">cross-sectional event study</w:t>
      </w:r>
      <w:r>
        <w:t xml:space="preserve"> </w:t>
      </w:r>
      <w:r>
        <w:t xml:space="preserve">. For 165 banks we estimate market-model</w:t>
      </w:r>
      <w:r>
        <w:t xml:space="preserve"> </w:t>
      </w:r>
      <w:r>
        <w:t xml:space="preserve">CARs over March 8–13, 2023, and regress them on two exposures measured at 2022Q4—before</w:t>
      </w:r>
      <w:r>
        <w:t xml:space="preserve"> </w:t>
      </w:r>
      <w:r>
        <w:t xml:space="preserve">the run—so that the right-hand-side variables are predetermined and cannot be a mechanical</w:t>
      </w:r>
      <w:r>
        <w:t xml:space="preserve"> </w:t>
      </w:r>
      <w:r>
        <w:t xml:space="preserve">response to the crash itself.</w:t>
      </w:r>
    </w:p>
    <w:p>
      <w:pPr>
        <w:pStyle w:val="BodyText"/>
      </w:pPr>
      <w:r>
        <w:t xml:space="preserve">Our results are clear and, we think, economically important. First, the shock was large</w:t>
      </w:r>
      <w:r>
        <w:t xml:space="preserve"> </w:t>
      </w:r>
      <w:r>
        <w:t xml:space="preserve">and broad: the average bank lost 14.1% over the four-trading-day window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13.7</m:t>
        </m:r>
      </m:oMath>
      <w:r>
        <w:t xml:space="preserve">; Table </w:t>
      </w:r>
      <w:hyperlink w:anchor="tab:cars">
        <w:r>
          <w:rPr>
            <w:rStyle w:val="Hyperlink"/>
          </w:rPr>
          <w:t xml:space="preserve">3</w:t>
        </w:r>
      </w:hyperlink>
      <w:r>
        <w:t xml:space="preserve">), an order of magnitude larger than the market-model</w:t>
      </w:r>
      <w:r>
        <w:t xml:space="preserve"> </w:t>
      </w:r>
      <w:r>
        <w:t xml:space="preserve">prediction. Second, and centrally,</w:t>
      </w:r>
      <w:r>
        <w:t xml:space="preserve"> </w:t>
      </w:r>
      <w:r>
        <w:rPr>
          <w:i/>
          <w:iCs/>
        </w:rPr>
        <w:t xml:space="preserve">uninsured-deposit exposure wins the horse race</w:t>
      </w:r>
      <w:r>
        <w:t xml:space="preserve">.</w:t>
      </w:r>
      <w:r>
        <w:t xml:space="preserve"> </w:t>
      </w:r>
      <w:r>
        <w:t xml:space="preserve">A one-standard-deviation increase in the uninsured-deposit ratio is associated with a</w:t>
      </w:r>
      <w:r>
        <w:t xml:space="preserve"> </w:t>
      </w:r>
      <w:r>
        <w:t xml:space="preserve">4.0–5.0-percentage-point larger CAR loss, with</w:t>
      </w:r>
      <w:r>
        <w:t xml:space="preserve"> </w:t>
      </w:r>
      <m:oMath>
        <m:r>
          <m:t>t</m:t>
        </m:r>
      </m:oMath>
      <w:r>
        <w:t xml:space="preserve">-statistics between</w:t>
      </w:r>
      <w:r>
        <w:t xml:space="preserve"> </w:t>
      </w:r>
      <m:oMath>
        <m:r>
          <m:rPr>
            <m:sty m:val="p"/>
          </m:rPr>
          <m:t>−</m:t>
        </m:r>
        <m:r>
          <m:t>2.6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3.1</m:t>
        </m:r>
      </m:oMath>
      <w:r>
        <w:t xml:space="preserve"> </w:t>
      </w:r>
      <w:r>
        <w:t xml:space="preserve">across specifications (Table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). The effect survives controlling for size and</w:t>
      </w:r>
      <w:r>
        <w:t xml:space="preserve"> </w:t>
      </w:r>
      <w:r>
        <w:t xml:space="preserve">is, if anything, slightly stronger when we drop the eight U.S. global systemically</w:t>
      </w:r>
      <w:r>
        <w:t xml:space="preserve"> </w:t>
      </w:r>
      <w:r>
        <w:t xml:space="preserve">important banks (G-SIBs). Third,</w:t>
      </w:r>
      <w:r>
        <w:t xml:space="preserve"> </w:t>
      </w:r>
      <w:r>
        <w:rPr>
          <w:i/>
          <w:iCs/>
        </w:rPr>
        <w:t xml:space="preserve">the securities-loss channel does not survive the</w:t>
      </w:r>
      <w:r>
        <w:rPr>
          <w:i/>
          <w:iCs/>
        </w:rPr>
        <w:t xml:space="preserve"> </w:t>
      </w:r>
      <w:r>
        <w:rPr>
          <w:i/>
          <w:iCs/>
        </w:rPr>
        <w:t xml:space="preserve">horse race on conventional terms</w:t>
      </w:r>
      <w:r>
        <w:t xml:space="preserve">: scaled unrealized losses are statistically insignificant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1.16</m:t>
        </m:r>
      </m:oMath>
      <w:r>
        <w:t xml:space="preserve">) once we condition on uninsured funding and size, whether we use total</w:t>
      </w:r>
      <w:r>
        <w:t xml:space="preserve"> </w:t>
      </w:r>
      <w:r>
        <w:t xml:space="preserve">(HTM</w:t>
      </w:r>
      <m:oMath>
        <m:r>
          <m:rPr>
            <m:sty m:val="p"/>
          </m:rPr>
          <m:t>+</m:t>
        </m:r>
      </m:oMath>
      <w:r>
        <w:t xml:space="preserve">AFS) or HTM-only losses. The market priced the run, not—or at least far less—the</w:t>
      </w:r>
      <w:r>
        <w:t xml:space="preserve"> </w:t>
      </w:r>
      <w:r>
        <w:t xml:space="preserve">mark-to-market hole.</w:t>
      </w:r>
    </w:p>
    <w:p>
      <w:pPr>
        <w:pStyle w:val="BodyText"/>
      </w:pPr>
      <w:r>
        <w:t xml:space="preserve">A cross-sectional event study with 165 banks invites two natural objections, and the</w:t>
      </w:r>
      <w:r>
        <w:t xml:space="preserve"> </w:t>
      </w:r>
      <w:r>
        <w:t xml:space="preserve">contribution of this paper beyond the basic horse race is to confront both head-on with</w:t>
      </w:r>
      <w:r>
        <w:t xml:space="preserve"> </w:t>
      </w:r>
      <w:r>
        <w:t xml:space="preserve">design-based methods rather than dismiss them. The first objection is that abnormal returns</w:t>
      </w:r>
      <w:r>
        <w:t xml:space="preserve"> </w:t>
      </w:r>
      <w:r>
        <w:t xml:space="preserve">are cross-sectionally correlated within a single crisis week, so heteroskedasticity-robust</w:t>
      </w:r>
      <w:r>
        <w:t xml:space="preserve"> </w:t>
      </w:r>
      <m:oMath>
        <m:r>
          <m:t>t</m:t>
        </m:r>
      </m:oMath>
      <w:r>
        <w:t xml:space="preserve">-statistics may overstate significance</w:t>
      </w:r>
      <w:r>
        <w:t xml:space="preserve"> </w:t>
      </w:r>
      <w:r>
        <w:t xml:space="preserve">. We therefore subject</w:t>
      </w:r>
      <w:r>
        <w:t xml:space="preserve"> </w:t>
      </w:r>
      <w:r>
        <w:t xml:space="preserve">the horse race to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 permute each exposure across banks</w:t>
      </w:r>
      <w:r>
        <w:t xml:space="preserve"> </w:t>
      </w:r>
      <w:r>
        <w:t xml:space="preserve">2</w:t>
      </w:r>
      <w:r>
        <w:t xml:space="preserve">,</w:t>
      </w:r>
      <w:r>
        <w:t xml:space="preserve">000 times, rebuild the regression, and compare the actual coefficient to the permutation</w:t>
      </w:r>
      <w:r>
        <w:t xml:space="preserve"> </w:t>
      </w:r>
      <w:r>
        <w:t xml:space="preserve">distribution (Table </w:t>
      </w:r>
      <w:hyperlink w:anchor="tab:ri">
        <w:r>
          <w:rPr>
            <w:rStyle w:val="Hyperlink"/>
          </w:rPr>
          <w:t xml:space="preserve">6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). The uninsured coefficient sits far</w:t>
      </w:r>
      <w:r>
        <w:t xml:space="preserve"> </w:t>
      </w:r>
      <w:r>
        <w:t xml:space="preserve">outside its permutation interval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); the securities coefficient is only marginal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0.04</m:t>
        </m:r>
      </m:oMath>
      <w:r>
        <w:t xml:space="preserve">). The second objection is that uninsured-heavy banks differ from other banks on</w:t>
      </w:r>
      <w:r>
        <w:t xml:space="preserve"> </w:t>
      </w:r>
      <w:r>
        <w:t xml:space="preserve">size and on their securities books, so a linear regression may be picking up those</w:t>
      </w:r>
      <w:r>
        <w:t xml:space="preserve"> </w:t>
      </w:r>
      <w:r>
        <w:t xml:space="preserve">correlated exposures. We therefore build a</w:t>
      </w:r>
      <w:r>
        <w:t xml:space="preserve"> </w:t>
      </w:r>
      <w:r>
        <w:rPr>
          <w:i/>
          <w:iCs/>
        </w:rPr>
        <w:t xml:space="preserve">matching estimator</w:t>
      </w:r>
      <w:r>
        <w:t xml:space="preserve">: we compare</w:t>
      </w:r>
      <w:r>
        <w:t xml:space="preserve"> </w:t>
      </w:r>
      <w:r>
        <w:t xml:space="preserve">high-uninsured to low-uninsured banks that have been nearest-neighbor matched on size and</w:t>
      </w:r>
      <w:r>
        <w:t xml:space="preserve"> </w:t>
      </w:r>
      <w:r>
        <w:t xml:space="preserve">on securities losses, an approach that does not impose the linear functional form</w:t>
      </w:r>
      <w:r>
        <w:t xml:space="preserve"> </w:t>
      </w:r>
      <w:r>
        <w:t xml:space="preserve">. The matched difference in CARs is</w:t>
      </w:r>
      <w:r>
        <w:t xml:space="preserve"> </w:t>
      </w:r>
      <m:oMath>
        <m:r>
          <m:rPr>
            <m:sty m:val="p"/>
          </m:rPr>
          <m:t>−</m:t>
        </m:r>
        <m:r>
          <m:t>5.4</m:t>
        </m:r>
      </m:oMath>
      <w:r>
        <w:t xml:space="preserve"> </w:t>
      </w:r>
      <w:r>
        <w:t xml:space="preserve">percentage points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2.43</m:t>
        </m:r>
      </m:oMath>
      <w:r>
        <w:t xml:space="preserve">),</w:t>
      </w:r>
      <w:r>
        <w:t xml:space="preserve"> </w:t>
      </w:r>
      <w:r>
        <w:t xml:space="preserve">essentially unchanged from the raw</w:t>
      </w:r>
      <w:r>
        <w:t xml:space="preserve"> </w:t>
      </w:r>
      <m:oMath>
        <m:r>
          <m:rPr>
            <m:sty m:val="p"/>
          </m:rPr>
          <m:t>−</m:t>
        </m:r>
        <m:r>
          <m:t>5.7</m:t>
        </m:r>
      </m:oMath>
      <w:r>
        <w:t xml:space="preserve">pp gap, while covariate balance improves sharply</w:t>
      </w:r>
      <w:r>
        <w:t xml:space="preserve"> </w:t>
      </w:r>
      <w:r>
        <w:t xml:space="preserve">(Table </w:t>
      </w:r>
      <w:hyperlink w:anchor="tab:matched">
        <w:r>
          <w:rPr>
            <w:rStyle w:val="Hyperlink"/>
          </w:rPr>
          <w:t xml:space="preserve">5</w:t>
        </w:r>
      </w:hyperlink>
      <w:r>
        <w:t xml:space="preserve">). We add a</w:t>
      </w:r>
      <w:r>
        <w:t xml:space="preserve"> </w:t>
      </w:r>
      <w:r>
        <w:rPr>
          <w:i/>
          <w:iCs/>
        </w:rPr>
        <w:t xml:space="preserve">pre-event placebo window</w:t>
      </w:r>
      <w:r>
        <w:t xml:space="preserve">: in the quiet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window, before the SVB announcement, banks were already falling together (the</w:t>
      </w:r>
      <w:r>
        <w:t xml:space="preserve"> </w:t>
      </w:r>
      <w:r>
        <w:t xml:space="preserve">Silvergate wind-down was underway), yet the</w:t>
      </w:r>
      <w:r>
        <w:t xml:space="preserve"> </w:t>
      </w:r>
      <w:r>
        <w:rPr>
          <w:i/>
          <w:iCs/>
        </w:rPr>
        <w:t xml:space="preserve">cross-sectional</w:t>
      </w:r>
      <w:r>
        <w:t xml:space="preserve"> </w:t>
      </w:r>
      <w:r>
        <w:t xml:space="preserve">uninsured gradient is</w:t>
      </w:r>
      <w:r>
        <w:t xml:space="preserve"> </w:t>
      </w:r>
      <w:r>
        <w:t xml:space="preserve">flat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0.37</m:t>
        </m:r>
      </m:oMath>
      <w:r>
        <w:t xml:space="preserve">; Table </w:t>
      </w:r>
      <w:hyperlink w:anchor="tab:placebo">
        <w:r>
          <w:rPr>
            <w:rStyle w:val="Hyperlink"/>
          </w:rPr>
          <w:t xml:space="preserve">7</w:t>
        </w:r>
      </w:hyperlink>
      <w:r>
        <w:t xml:space="preserve">). The uninsured gradient is specific to the run</w:t>
      </w:r>
      <w:r>
        <w:t xml:space="preserve"> </w:t>
      </w:r>
      <w:r>
        <w:t xml:space="preserve">week, not a pre-existing spread.</w:t>
      </w:r>
    </w:p>
    <w:p>
      <w:pPr>
        <w:pStyle w:val="BodyText"/>
      </w:pPr>
      <w:r>
        <w:t xml:space="preserve">Finally, we treat the fragile securities-loss result as a quantitative object rather than a</w:t>
      </w:r>
      <w:r>
        <w:t xml:space="preserve"> </w:t>
      </w:r>
      <w:r>
        <w:t xml:space="preserve">bare</w:t>
      </w:r>
      <w:r>
        <w:t xml:space="preserve"> </w:t>
      </w:r>
      <w:r>
        <w:t xml:space="preserve">“insignificant.”</w:t>
      </w:r>
      <w:r>
        <w:t xml:space="preserve"> </w:t>
      </w:r>
      <w:r>
        <w:t xml:space="preserve">A minimum-detectable-effect (MDE) analysis (Table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)</w:t>
      </w:r>
      <w:r>
        <w:t xml:space="preserve"> </w:t>
      </w:r>
      <w:r>
        <w:t xml:space="preserve">shows the design is well-powered for the run channel—the MDE at 80% power is about the</w:t>
      </w:r>
      <w:r>
        <w:t xml:space="preserve"> </w:t>
      </w:r>
      <w:r>
        <w:t xml:space="preserve">size of the estimated run effect itself—but only moderately powered for the smaller</w:t>
      </w:r>
      <w:r>
        <w:t xml:space="preserve"> </w:t>
      </w:r>
      <w:r>
        <w:t xml:space="preserve">mark-to-market channel, whose MDE is somewhat larger than the run effect. The honest reading</w:t>
      </w:r>
      <w:r>
        <w:t xml:space="preserve"> </w:t>
      </w:r>
      <w:r>
        <w:t xml:space="preserve">is therefore not</w:t>
      </w:r>
      <w:r>
        <w:t xml:space="preserve"> </w:t>
      </w:r>
      <w:r>
        <w:t xml:space="preserve">“mark-to-market losses did not matter”</w:t>
      </w:r>
      <w:r>
        <w:t xml:space="preserve"> </w:t>
      </w:r>
      <w:r>
        <w:t xml:space="preserve">but</w:t>
      </w:r>
      <w:r>
        <w:t xml:space="preserve"> </w:t>
      </w:r>
      <w:r>
        <w:t xml:space="preserve">“the market priced funding</w:t>
      </w:r>
      <w:r>
        <w:t xml:space="preserve"> </w:t>
      </w:r>
      <w:r>
        <w:t xml:space="preserve">fragility unambiguously and mark-to-market losses at most weakly, and our design can bound</w:t>
      </w:r>
      <w:r>
        <w:t xml:space="preserve"> </w:t>
      </w:r>
      <w:r>
        <w:t xml:space="preserve">but not sharply estimate the latter.”</w:t>
      </w:r>
    </w:p>
    <w:p>
      <w:pPr>
        <w:pStyle w:val="BodyText"/>
      </w:pPr>
      <w:r>
        <w:t xml:space="preserve">We make four contributions. First, relative to the theory of bank runs</w:t>
      </w:r>
      <w:r>
        <w:t xml:space="preserve"> </w:t>
      </w:r>
      <w:r>
        <w:t xml:space="preserve">, we provide clean asset-pricing evidence that the market’s</w:t>
      </w:r>
      <w:r>
        <w:t xml:space="preserve"> </w:t>
      </w:r>
      <w:r>
        <w:t xml:space="preserve">ex-ante measure of run vulnerability is the uninsured-deposit share. Second, relative to the</w:t>
      </w:r>
      <w:r>
        <w:t xml:space="preserve"> </w:t>
      </w:r>
      <w:r>
        <w:t xml:space="preserve">2023-fragility literature</w:t>
      </w:r>
      <w:r>
        <w:t xml:space="preserve"> </w:t>
      </w:r>
      <w:r>
        <w:t xml:space="preserve">, which documents that</w:t>
      </w:r>
      <w:r>
        <w:t xml:space="preserve"> </w:t>
      </w:r>
      <w:r>
        <w:t xml:space="preserve">uninsured deposits and unrealized losses</w:t>
      </w:r>
      <w:r>
        <w:t xml:space="preserve"> </w:t>
      </w:r>
      <w:r>
        <w:rPr>
          <w:i/>
          <w:iCs/>
        </w:rPr>
        <w:t xml:space="preserve">jointly</w:t>
      </w:r>
      <w:r>
        <w:t xml:space="preserve"> </w:t>
      </w:r>
      <w:r>
        <w:t xml:space="preserve">predicted deposit outflows and</w:t>
      </w:r>
      <w:r>
        <w:t xml:space="preserve"> </w:t>
      </w:r>
      <w:r>
        <w:t xml:space="preserve">failure, we show that in the</w:t>
      </w:r>
      <w:r>
        <w:t xml:space="preserve"> </w:t>
      </w:r>
      <w:r>
        <w:rPr>
          <w:i/>
          <w:iCs/>
        </w:rPr>
        <w:t xml:space="preserve">cross-section of equity returns</w:t>
      </w:r>
      <w:r>
        <w:t xml:space="preserve"> </w:t>
      </w:r>
      <w:r>
        <w:t xml:space="preserve">the two are not</w:t>
      </w:r>
      <w:r>
        <w:t xml:space="preserve"> </w:t>
      </w:r>
      <w:r>
        <w:t xml:space="preserve">co-equal: conditional on funding structure, mark-to-market losses add little. Third, we</w:t>
      </w:r>
      <w:r>
        <w:t xml:space="preserve"> </w:t>
      </w:r>
      <w:r>
        <w:t xml:space="preserve">demonstrate a template for making a small-sample cross-sectional event study credible</w:t>
      </w:r>
      <w:r>
        <w:t xml:space="preserve"> </w:t>
      </w:r>
      <w:r>
        <w:t xml:space="preserve">through matching, randomization inference, a placebo window, and an explicit power analysis.</w:t>
      </w:r>
      <w:r>
        <w:t xml:space="preserve"> </w:t>
      </w:r>
      <w:r>
        <w:t xml:space="preserve">Fourth, we are explicit about what a machine can and cannot do: three refinements that would</w:t>
      </w:r>
      <w:r>
        <w:t xml:space="preserve"> </w:t>
      </w:r>
      <w:r>
        <w:t xml:space="preserve">sharpen the test—hand-corrected multi-bank uninsured aggregation, a bank-specific-news</w:t>
      </w:r>
      <w:r>
        <w:t xml:space="preserve"> </w:t>
      </w:r>
      <w:r>
        <w:t xml:space="preserve">confound screen, and realized deposit outflows as a second outcome—are deliberately</w:t>
      </w:r>
      <w:r>
        <w:t xml:space="preserve"> </w:t>
      </w:r>
      <w:r>
        <w:t xml:space="preserve">reserved as the companion student contribution and are described in 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.</w:t>
      </w:r>
      <w:r>
        <w:t xml:space="preserve"> </w:t>
      </w:r>
      <w:r>
        <w:t xml:space="preserve">Section </w:t>
      </w:r>
      <w:hyperlink w:anchor="sec:b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develops hypotheses, 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</w:t>
      </w:r>
      <w:r>
        <w:t xml:space="preserve"> </w:t>
      </w:r>
      <w:r>
        <w:t xml:space="preserve">literature,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 and design,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main results, Section </w:t>
      </w:r>
      <w:hyperlink w:anchor="sec:desig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 design-based inference,</w:t>
      </w:r>
      <w:r>
        <w:t xml:space="preserve"> </w:t>
      </w:r>
      <w:r>
        <w:t xml:space="preserve">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heterogeneity, Section </w:t>
      </w:r>
      <w:hyperlink w:anchor="sec:powe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the power analysis,</w:t>
      </w:r>
      <w:r>
        <w:t xml:space="preserve"> </w:t>
      </w:r>
      <w:r>
        <w:t xml:space="preserve">Section </w:t>
      </w:r>
      <w:hyperlink w:anchor="sec:robust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additional robustness, and 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concludes.</w:t>
      </w:r>
    </w:p>
    <w:bookmarkEnd w:id="11"/>
    <w:bookmarkStart w:id="15" w:name="sec:bg"/>
    <w:p>
      <w:pPr>
        <w:pStyle w:val="Heading1"/>
      </w:pPr>
      <w:r>
        <w:t xml:space="preserve">Institutional Background and Hypotheses</w:t>
      </w:r>
    </w:p>
    <w:bookmarkStart w:id="12" w:name="the-episode."/>
    <w:p>
      <w:pPr>
        <w:pStyle w:val="Heading4"/>
      </w:pPr>
      <w:r>
        <w:t xml:space="preserve">The episode.</w:t>
      </w:r>
    </w:p>
    <w:p>
      <w:pPr>
        <w:pStyle w:val="FirstParagraph"/>
      </w:pPr>
      <w:r>
        <w:t xml:space="preserve">On the afternoon of Wednesday, March 8, 2023, SVB announced that it</w:t>
      </w:r>
      <w:r>
        <w:t xml:space="preserve"> </w:t>
      </w:r>
      <w:r>
        <w:t xml:space="preserve">had sold essentially its entire $21 billion available-for-sale securities portfolio at a</w:t>
      </w:r>
      <w:r>
        <w:t xml:space="preserve"> </w:t>
      </w:r>
      <w:r>
        <w:t xml:space="preserve">loss and would attempt a $2.25 billion capital raise. The disclosure crystallized a simple</w:t>
      </w:r>
      <w:r>
        <w:t xml:space="preserve"> </w:t>
      </w:r>
      <w:r>
        <w:t xml:space="preserve">arithmetic that applied, in varying degrees, to the whole industry: a bank that had funded</w:t>
      </w:r>
      <w:r>
        <w:t xml:space="preserve"> </w:t>
      </w:r>
      <w:r>
        <w:t xml:space="preserve">long-duration securities with deposits during the zero-rate era now held those securities at</w:t>
      </w:r>
      <w:r>
        <w:t xml:space="preserve"> </w:t>
      </w:r>
      <w:r>
        <w:t xml:space="preserve">a deep unrealized loss, and if enough depositors withdrew, the bank would be forced to</w:t>
      </w:r>
      <w:r>
        <w:t xml:space="preserve"> </w:t>
      </w:r>
      <w:r>
        <w:t xml:space="preserve">realize the loss and could fail. Over March 9–10 SVB’s uninsured depositors withdrew at</w:t>
      </w:r>
      <w:r>
        <w:t xml:space="preserve"> </w:t>
      </w:r>
      <w:r>
        <w:t xml:space="preserve">scale; the FDIC took the bank into receivership on Friday, March 10; and contagion spread to</w:t>
      </w:r>
      <w:r>
        <w:t xml:space="preserve"> </w:t>
      </w:r>
      <w:r>
        <w:t xml:space="preserve">Signature Bank (closed March 12) and other regional banks through Monday, March 13</w:t>
      </w:r>
      <w:r>
        <w:t xml:space="preserve"> </w:t>
      </w:r>
      <w:r>
        <w:t xml:space="preserve">. We take day 0 to be March 8 (the announcement, after the close) and</w:t>
      </w:r>
      <w:r>
        <w:t xml:space="preserve"> </w:t>
      </w:r>
      <w:r>
        <w:t xml:space="preserve">cumulate abnormal returns through March 13.</w:t>
      </w:r>
    </w:p>
    <w:bookmarkEnd w:id="12"/>
    <w:bookmarkStart w:id="13" w:name="two-exposures-two-hypotheses."/>
    <w:p>
      <w:pPr>
        <w:pStyle w:val="Heading4"/>
      </w:pPr>
      <w:r>
        <w:t xml:space="preserve">Two exposures, two hypotheses.</w:t>
      </w:r>
    </w:p>
    <w:p>
      <w:pPr>
        <w:pStyle w:val="FirstParagraph"/>
      </w:pPr>
      <w:r>
        <w:t xml:space="preserve">A bank financed by uninsured deposits faces a</w:t>
      </w:r>
      <w:r>
        <w:t xml:space="preserve"> </w:t>
      </w:r>
      <w:r>
        <w:t xml:space="preserve">coordination problem: because uninsured claims are not protected, depositors have an</w:t>
      </w:r>
      <w:r>
        <w:t xml:space="preserve"> </w:t>
      </w:r>
      <w:r>
        <w:t xml:space="preserve">incentive to withdraw first if they fear others will</w:t>
      </w:r>
      <w:r>
        <w:t xml:space="preserve"> </w:t>
      </w:r>
      <w:r>
        <w:t xml:space="preserve">.</w:t>
      </w:r>
      <w:r>
        <w:t xml:space="preserve"> </w:t>
      </w:r>
      <w:r>
        <w:t xml:space="preserve">Equity holders, anticipating fire-sale liquidation and franchise destruction, should mark</w:t>
      </w:r>
      <w:r>
        <w:t xml:space="preserve"> </w:t>
      </w:r>
      <w:r>
        <w:t xml:space="preserve">down banks with more uninsured funding when run risk becomes salient. This motivates the</w:t>
      </w:r>
      <w:r>
        <w:t xml:space="preserve"> </w:t>
      </w:r>
      <w:r>
        <w:t xml:space="preserve">run-channel hypothesis:</w:t>
      </w:r>
    </w:p>
    <w:p>
      <w:pPr>
        <w:pStyle w:val="BlockText"/>
      </w:pPr>
      <w:r>
        <w:rPr>
          <w:b/>
          <w:bCs/>
        </w:rPr>
        <w:t xml:space="preserve">H1 (Run channel).</w:t>
      </w:r>
      <w:r>
        <w:t xml:space="preserve"> </w:t>
      </w:r>
      <w:r>
        <w:t xml:space="preserve">CARs in the SVB window are decreasing in the 2022Q4</w:t>
      </w:r>
      <w:r>
        <w:t xml:space="preserve"> </w:t>
      </w:r>
      <w:r>
        <w:t xml:space="preserve">uninsured-deposit ratio.</w:t>
      </w:r>
    </w:p>
    <w:p>
      <w:pPr>
        <w:pStyle w:val="FirstParagraph"/>
      </w:pPr>
      <w:r>
        <w:t xml:space="preserve">Alternatively, if the market’s concern is economic insolvency from interest-rate risk, then</w:t>
      </w:r>
      <w:r>
        <w:t xml:space="preserve"> </w:t>
      </w:r>
      <w:r>
        <w:t xml:space="preserve">banks with larger unrealized securities losses—HTM losses in particular, which are not</w:t>
      </w:r>
      <w:r>
        <w:t xml:space="preserve"> </w:t>
      </w:r>
      <w:r>
        <w:t xml:space="preserve">marked through regulatory capital—should fall most. This motivates the competing</w:t>
      </w:r>
      <w:r>
        <w:t xml:space="preserve"> </w:t>
      </w:r>
      <w:r>
        <w:t xml:space="preserve">mark-to-market hypothesis:</w:t>
      </w:r>
    </w:p>
    <w:p>
      <w:pPr>
        <w:pStyle w:val="BlockText"/>
      </w:pPr>
      <w:r>
        <w:rPr>
          <w:b/>
          <w:bCs/>
        </w:rPr>
        <w:t xml:space="preserve">H2 (Mark-to-market channel).</w:t>
      </w:r>
      <w:r>
        <w:t xml:space="preserve"> </w:t>
      </w:r>
      <w:r>
        <w:t xml:space="preserve">CARs are decreasing in unrealized securities losses</w:t>
      </w:r>
      <w:r>
        <w:t xml:space="preserve"> </w:t>
      </w:r>
      <w:r>
        <w:t xml:space="preserve">scaled by equity.</w:t>
      </w:r>
    </w:p>
    <w:p>
      <w:pPr>
        <w:pStyle w:val="FirstParagraph"/>
      </w:pPr>
      <w:r>
        <w:t xml:space="preserve">H1 and H2 are not mutually exclusive—the theory of</w:t>
      </w:r>
      <w:r>
        <w:t xml:space="preserve"> </w:t>
      </w:r>
      <w:r>
        <w:t xml:space="preserve"> </w:t>
      </w:r>
      <w:r>
        <w:t xml:space="preserve">is precisely that</w:t>
      </w:r>
      <w:r>
        <w:t xml:space="preserve"> </w:t>
      </w:r>
      <w:r>
        <w:t xml:space="preserve">they interact—but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horse race, which exposure retains explanatory</w:t>
      </w:r>
      <w:r>
        <w:t xml:space="preserve"> </w:t>
      </w:r>
      <w:r>
        <w:t xml:space="preserve">power when both are included, discriminates between them. The central empirical question is</w:t>
      </w:r>
      <w:r>
        <w:t xml:space="preserve"> </w:t>
      </w:r>
      <w:r>
        <w:t xml:space="preserve">which exposure the equity market treated as the binding constraint in the days when the run</w:t>
      </w:r>
      <w:r>
        <w:t xml:space="preserve"> </w:t>
      </w:r>
      <w:r>
        <w:t xml:space="preserve">was actually happening.</w:t>
      </w:r>
    </w:p>
    <w:bookmarkEnd w:id="13"/>
    <w:bookmarkStart w:id="14" w:name="why-the-distinction-matters-for-policy."/>
    <w:p>
      <w:pPr>
        <w:pStyle w:val="Heading4"/>
      </w:pPr>
      <w:r>
        <w:t xml:space="preserve">Why the distinction matters for policy.</w:t>
      </w:r>
    </w:p>
    <w:p>
      <w:pPr>
        <w:pStyle w:val="FirstParagraph"/>
      </w:pPr>
      <w:r>
        <w:t xml:space="preserve">The two hypotheses point to different</w:t>
      </w:r>
      <w:r>
        <w:t xml:space="preserve"> </w:t>
      </w:r>
      <w:r>
        <w:t xml:space="preserve">regulatory fixes. If the mark-to-market channel dominates, the remedy is accounting and</w:t>
      </w:r>
      <w:r>
        <w:t xml:space="preserve"> </w:t>
      </w:r>
      <w:r>
        <w:t xml:space="preserve">capital treatment of the securities book—for example, flowing AFS and HTM unrealized</w:t>
      </w:r>
      <w:r>
        <w:t xml:space="preserve"> </w:t>
      </w:r>
      <w:r>
        <w:t xml:space="preserve">losses through regulatory capital, or restricting the reclassification of securities into</w:t>
      </w:r>
      <w:r>
        <w:t xml:space="preserve"> </w:t>
      </w:r>
      <w:r>
        <w:t xml:space="preserve">HTM</w:t>
      </w:r>
      <w:r>
        <w:t xml:space="preserve"> </w:t>
      </w:r>
      <w:r>
        <w:t xml:space="preserve">. If the run channel dominates, the remedy is on the liability</w:t>
      </w:r>
      <w:r>
        <w:t xml:space="preserve"> </w:t>
      </w:r>
      <w:r>
        <w:t xml:space="preserve">side—deposit-insurance design, limits on uninsured-funding concentration, and liquidity</w:t>
      </w:r>
      <w:r>
        <w:t xml:space="preserve"> </w:t>
      </w:r>
      <w:r>
        <w:t xml:space="preserve">requirements calibrated to run-off speed</w:t>
      </w:r>
      <w:r>
        <w:t xml:space="preserve"> </w:t>
      </w:r>
      <w:r>
        <w:t xml:space="preserve">. Distinguishing the two in the</w:t>
      </w:r>
      <w:r>
        <w:t xml:space="preserve"> </w:t>
      </w:r>
      <w:r>
        <w:t xml:space="preserve">cross-section of market reactions is thus directly policy-relevant, and it is the object of</w:t>
      </w:r>
      <w:r>
        <w:t xml:space="preserve"> </w:t>
      </w:r>
      <w:r>
        <w:t xml:space="preserve">this paper.</w:t>
      </w:r>
    </w:p>
    <w:bookmarkEnd w:id="14"/>
    <w:bookmarkEnd w:id="15"/>
    <w:bookmarkStart w:id="16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theory and measurement of</w:t>
      </w:r>
      <w: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runs and uninsured funding</w:t>
      </w:r>
      <w:r>
        <w:t xml:space="preserve">.</w:t>
      </w:r>
      <w:r>
        <w:t xml:space="preserve"> </w:t>
      </w:r>
      <w:r>
        <w:t xml:space="preserve"> </w:t>
      </w:r>
      <w:r>
        <w:t xml:space="preserve">formalized the maturity-transformation</w:t>
      </w:r>
      <w:r>
        <w:t xml:space="preserve"> </w:t>
      </w:r>
      <w:r>
        <w:t xml:space="preserve">fragility that makes demandable deposits run-prone, and</w:t>
      </w:r>
      <w:r>
        <w:t xml:space="preserve"> </w:t>
      </w:r>
      <w:r>
        <w:t xml:space="preserve"> </w:t>
      </w:r>
      <w:r>
        <w:t xml:space="preserve">sharpened the</w:t>
      </w:r>
      <w:r>
        <w:t xml:space="preserve"> </w:t>
      </w:r>
      <w:r>
        <w:t xml:space="preserve">comparative statics of the run probability in a global-games setting. Empirically,</w:t>
      </w:r>
      <w:r>
        <w:t xml:space="preserve"> </w:t>
      </w:r>
      <w:r>
        <w:t xml:space="preserve"> </w:t>
      </w:r>
      <w:r>
        <w:t xml:space="preserve">estimate a structural model of deposit competition in which uninsured</w:t>
      </w:r>
      <w:r>
        <w:t xml:space="preserve"> </w:t>
      </w:r>
      <w:r>
        <w:t xml:space="preserve">deposits are the fragile margin, and</w:t>
      </w:r>
      <w:r>
        <w:t xml:space="preserve"> </w:t>
      </w:r>
      <w:r>
        <w:t xml:space="preserve"> </w:t>
      </w:r>
      <w:r>
        <w:t xml:space="preserve">show that the deposit franchise</w:t>
      </w:r>
      <w:r>
        <w:t xml:space="preserve"> </w:t>
      </w:r>
      <w:r>
        <w:t xml:space="preserve">insulates banks from rate risk precisely because insured, sticky deposits are rate-insensitive</w:t>
      </w:r>
      <w:r>
        <w:t xml:space="preserve"> </w:t>
      </w:r>
      <w:r>
        <w:t xml:space="preserve">—which by contradistinction identifies uninsured deposits as the exposed liability.</w:t>
      </w:r>
      <w:r>
        <w:t xml:space="preserve"> </w:t>
      </w:r>
      <w:r>
        <w:t xml:space="preserve"> </w:t>
      </w:r>
      <w:r>
        <w:t xml:space="preserve">return to this margin directly after 2023, arguing that uninsured</w:t>
      </w:r>
      <w:r>
        <w:t xml:space="preserve"> </w:t>
      </w:r>
      <w:r>
        <w:t xml:space="preserve">deposits are the locus of banking-system fragility. Our contribution to this strand is to</w:t>
      </w:r>
      <w:r>
        <w:t xml:space="preserve"> </w:t>
      </w:r>
      <w:r>
        <w:t xml:space="preserve">show that the equity market’s ex-ante pricing of run vulnerability loads on exactly the</w:t>
      </w:r>
      <w:r>
        <w:t xml:space="preserve"> </w:t>
      </w:r>
      <w:r>
        <w:t xml:space="preserve">uninsured-deposit share this literature identifies as fragile.</w:t>
      </w:r>
    </w:p>
    <w:p>
      <w:pPr>
        <w:pStyle w:val="BodyText"/>
      </w:pPr>
      <w:r>
        <w:t xml:space="preserve">The second strand is the fast-growing</w:t>
      </w:r>
      <w:r>
        <w:t xml:space="preserve"> </w:t>
      </w:r>
      <w:r>
        <w:rPr>
          <w:i/>
          <w:iCs/>
        </w:rPr>
        <w:t xml:space="preserve">2023 banking-crisis literature</w:t>
      </w:r>
      <w:r>
        <w:t xml:space="preserve">.</w:t>
      </w:r>
      <w:r>
        <w:t xml:space="preserve"> </w:t>
      </w:r>
      <w:r>
        <w:t xml:space="preserve"> </w:t>
      </w:r>
      <w:r>
        <w:t xml:space="preserve">document that the marked-to-market value of U.S. bank assets fell sharply during the 2022</w:t>
      </w:r>
      <w:r>
        <w:t xml:space="preserve"> </w:t>
      </w:r>
      <w:r>
        <w:t xml:space="preserve">tightening and that banks with large unrealized losses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large uninsured-deposit</w:t>
      </w:r>
      <w:r>
        <w:t xml:space="preserve"> </w:t>
      </w:r>
      <w:r>
        <w:t xml:space="preserve">funding were jointly the most exposed to a run and to insolvency;</w:t>
      </w:r>
      <w:r>
        <w:t xml:space="preserve"> </w:t>
      </w:r>
      <w:r>
        <w:t xml:space="preserve"> </w:t>
      </w:r>
      <w:r>
        <w:t xml:space="preserve">provides a narrative and taxonomy of the panic; and</w:t>
      </w:r>
      <w:r>
        <w:t xml:space="preserve"> </w:t>
      </w:r>
      <w:r>
        <w:t xml:space="preserve"> </w:t>
      </w:r>
      <w:r>
        <w:t xml:space="preserve">studies the strategic</w:t>
      </w:r>
      <w:r>
        <w:t xml:space="preserve"> </w:t>
      </w:r>
      <w:r>
        <w:t xml:space="preserve">reclassification of securities into HTM that let banks avoid marking losses through capital.</w:t>
      </w:r>
      <w:r>
        <w:t xml:space="preserve"> </w:t>
      </w:r>
      <w:r>
        <w:t xml:space="preserve">A parallel literature documents the mechanics of the run itself: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contagion across banks, and</w:t>
      </w:r>
      <w:r>
        <w:t xml:space="preserve"> </w:t>
      </w:r>
      <w:r>
        <w:t xml:space="preserve"> </w:t>
      </w:r>
      <w:r>
        <w:t xml:space="preserve">show that social media accelerated the</w:t>
      </w:r>
      <w:r>
        <w:t xml:space="preserve"> </w:t>
      </w:r>
      <w:r>
        <w:t xml:space="preserve">deposit flight. Where this literature typically treats unrealized losses and uninsured</w:t>
      </w:r>
      <w:r>
        <w:t xml:space="preserve"> </w:t>
      </w:r>
      <w:r>
        <w:t xml:space="preserve">deposits as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predictors of failure and outflows, we ask the sharper</w:t>
      </w:r>
      <w:r>
        <w:t xml:space="preserve"> </w:t>
      </w:r>
      <w:r>
        <w:t xml:space="preserve">cross-sectional question—conditional on funding structure, does the mark-to-market hole add</w:t>
      </w:r>
      <w:r>
        <w:t xml:space="preserve"> </w:t>
      </w:r>
      <w:r>
        <w:t xml:space="preserve">explanatory power for</w:t>
      </w:r>
      <w:r>
        <w:t xml:space="preserve"> </w:t>
      </w:r>
      <w:r>
        <w:rPr>
          <w:i/>
          <w:iCs/>
        </w:rPr>
        <w:t xml:space="preserve">equity returns</w:t>
      </w:r>
      <w:r>
        <w:t xml:space="preserve">?—and find that it does not, or does so only</w:t>
      </w:r>
      <w:r>
        <w:t xml:space="preserve"> </w:t>
      </w:r>
      <w:r>
        <w:t xml:space="preserve">weakly.</w:t>
      </w:r>
    </w:p>
    <w:p>
      <w:pPr>
        <w:pStyle w:val="BodyText"/>
      </w:pPr>
      <w:r>
        <w:t xml:space="preserve">The third strand is</w:t>
      </w:r>
      <w:r>
        <w:t xml:space="preserve"> </w:t>
      </w:r>
      <w:r>
        <w:rPr>
          <w:i/>
          <w:iCs/>
        </w:rPr>
        <w:t xml:space="preserve">event-study and design-based inference methodology</w:t>
      </w:r>
      <w:r>
        <w:t xml:space="preserve">.</w:t>
      </w:r>
      <w:r>
        <w:t xml:space="preserve"> </w:t>
      </w:r>
      <w:r>
        <w:t xml:space="preserve"> </w:t>
      </w:r>
      <w:r>
        <w:t xml:space="preserve">is the canonical reference for the market-model event study we use.</w:t>
      </w:r>
      <w:r>
        <w:t xml:space="preserve"> </w:t>
      </w:r>
      <w:r>
        <w:t xml:space="preserve">A recurring concern in single-event studies is that abnormal returns are cross-sectionally</w:t>
      </w:r>
      <w:r>
        <w:t xml:space="preserve"> </w:t>
      </w:r>
      <w:r>
        <w:t xml:space="preserve">correlated, which invalidates the usual independence assumptions and inflates test statistics</w:t>
      </w:r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shows more broadly that randomization (Fisherian)</w:t>
      </w:r>
      <w:r>
        <w:t xml:space="preserve"> </w:t>
      </w:r>
      <w:r>
        <w:t xml:space="preserve">inference frequently overturns significance that conventional standard errors report. We use</w:t>
      </w:r>
      <w:r>
        <w:t xml:space="preserve"> </w:t>
      </w:r>
      <w:r>
        <w:t xml:space="preserve">these tools not as decoration but as the core of our identification: the run channel survives</w:t>
      </w:r>
      <w:r>
        <w:t xml:space="preserve"> </w:t>
      </w:r>
      <w:r>
        <w:t xml:space="preserve">randomization inference and a matching estimator</w:t>
      </w:r>
      <w:r>
        <w:t xml:space="preserve"> </w:t>
      </w:r>
      <w:r>
        <w:t xml:space="preserve">, while the mark-to-market</w:t>
      </w:r>
      <w:r>
        <w:t xml:space="preserve"> </w:t>
      </w:r>
      <w:r>
        <w:t xml:space="preserve">channel is fragile to them. Finally, on the interpretation of the weaker channel, we follow</w:t>
      </w:r>
      <w:r>
        <w:t xml:space="preserve"> </w:t>
      </w:r>
      <w:r>
        <w:t xml:space="preserve">, who argues that a statistically insignificant estimate should be read</w:t>
      </w:r>
      <w:r>
        <w:t xml:space="preserve"> </w:t>
      </w:r>
      <w:r>
        <w:t xml:space="preserve">through its confidence interval and power rather than treated as proof of no effect; our</w:t>
      </w:r>
      <w:r>
        <w:t xml:space="preserve"> </w:t>
      </w:r>
      <w:r>
        <w:t xml:space="preserve">minimum-detectable-effect analysis states the mark-to-market result as a bound rather than a</w:t>
      </w:r>
      <w:r>
        <w:t xml:space="preserve"> </w:t>
      </w:r>
      <w:r>
        <w:t xml:space="preserve">bare null.</w:t>
      </w:r>
    </w:p>
    <w:bookmarkEnd w:id="16"/>
    <w:bookmarkStart w:id="21" w:name="sec:data"/>
    <w:p>
      <w:pPr>
        <w:pStyle w:val="Heading1"/>
      </w:pPr>
      <w:r>
        <w:t xml:space="preserve">Data and Research Design</w:t>
      </w:r>
    </w:p>
    <w:bookmarkStart w:id="17" w:name="sample."/>
    <w:p>
      <w:pPr>
        <w:pStyle w:val="Heading4"/>
      </w:pPr>
      <w:r>
        <w:t xml:space="preserve">Sample.</w:t>
      </w:r>
    </w:p>
    <w:p>
      <w:pPr>
        <w:pStyle w:val="FirstParagraph"/>
      </w:pPr>
      <w:r>
        <w:t xml:space="preserve">We start from all common shares (CRSP share codes 10, 11) on the NYSE,</w:t>
      </w:r>
      <w:r>
        <w:t xml:space="preserve"> </w:t>
      </w:r>
      <w:r>
        <w:t xml:space="preserve">AMEX, or Nasdaq with an SIC code in the depository/holding-bank range (6020–6079, 6712)</w:t>
      </w:r>
      <w:r>
        <w:t xml:space="preserve"> </w:t>
      </w:r>
      <w:r>
        <w:t xml:space="preserve">active in the SVB window, yielding 246 bank stocks with computable CARs. We merge each to its</w:t>
      </w:r>
      <w:r>
        <w:t xml:space="preserve"> </w:t>
      </w:r>
      <w:r>
        <w:t xml:space="preserve">regulatory filer and require 2022Q4 balance-sheet data and a valid estimation window, leaving</w:t>
      </w:r>
      <w:r>
        <w:t xml:space="preserve"> </w:t>
      </w:r>
      <w:r>
        <w:t xml:space="preserve">165 banks; the uninsured-deposit ratio is available for 157 of them. The sample is</w:t>
      </w:r>
      <w:r>
        <w:t xml:space="preserve"> </w:t>
      </w:r>
      <w:r>
        <w:t xml:space="preserve">overwhelmingly bank and thrift holding companies (142 bank holding companies, 15 thrift</w:t>
      </w:r>
      <w:r>
        <w:t xml:space="preserve"> </w:t>
      </w:r>
      <w:r>
        <w:t xml:space="preserve">holding companies, and 8 standalone banks or non-member institutions).</w:t>
      </w:r>
    </w:p>
    <w:bookmarkEnd w:id="17"/>
    <w:bookmarkStart w:id="18" w:name="balance-sheet-exposures."/>
    <w:p>
      <w:pPr>
        <w:pStyle w:val="Heading4"/>
      </w:pPr>
      <w:r>
        <w:t xml:space="preserve">Balance-sheet exposures.</w:t>
      </w:r>
    </w:p>
    <w:p>
      <w:pPr>
        <w:pStyle w:val="FirstParagraph"/>
      </w:pPr>
      <w:r>
        <w:t xml:space="preserve">Bank fundamentals are filed at two levels, and getting</w:t>
      </w:r>
      <w:r>
        <w:t xml:space="preserve"> </w:t>
      </w:r>
      <w:r>
        <w:t xml:space="preserve">the aggregation right is central to the exercise. Assets, equity, and securities are reported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consolidated</w:t>
      </w:r>
      <w:r>
        <w:t xml:space="preserve"> </w:t>
      </w:r>
      <w:r>
        <w:t xml:space="preserve">FR Y-9C at the holding-company level; we take total assets</w:t>
      </w:r>
      <w:r>
        <w:t xml:space="preserve"> </w:t>
      </w:r>
      <w:r>
        <w:t xml:space="preserve">(BHCK2170), equity (BHCK3210), HTM amortized cost/fair value (BHCK1754/1771), and AFS</w:t>
      </w:r>
      <w:r>
        <w:t xml:space="preserve"> </w:t>
      </w:r>
      <w:r>
        <w:t xml:space="preserve">amortized cost/fair value (BHCK1772/1773), and compute the</w:t>
      </w:r>
      <w:r>
        <w:t xml:space="preserve"> </w:t>
      </w:r>
      <w:r>
        <w:rPr>
          <w:i/>
          <w:iCs/>
        </w:rPr>
        <w:t xml:space="preserve">securities unrealized loss</w:t>
      </w:r>
      <w:r>
        <w:t xml:space="preserve"> </w:t>
      </w:r>
      <w:r>
        <w:t xml:space="preserve">as (amortized cost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fair value), scaled by equity. Summing subsidiary Call Reports would</w:t>
      </w:r>
      <w:r>
        <w:t xml:space="preserve"> </w:t>
      </w:r>
      <w:r>
        <w:t xml:space="preserve">double-count multi-tier holding companies—for example, aggregating subsidiaries pushes New</w:t>
      </w:r>
      <w:r>
        <w:t xml:space="preserve"> </w:t>
      </w:r>
      <w:r>
        <w:t xml:space="preserve">York Community Bancorp to $270B versus its true consolidated $90.1B—so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sum for the consolidated quantities. Estimated uninsured deposits (RCON5597) are reported</w:t>
      </w:r>
      <w:r>
        <w:t xml:space="preserve"> </w:t>
      </w:r>
      <w:r>
        <w:t xml:space="preserve">only in bank-level Call Reports, so for the baseline we take the holding company’s</w:t>
      </w:r>
      <w:r>
        <w:t xml:space="preserve"> </w:t>
      </w:r>
      <w:r>
        <w:rPr>
          <w:i/>
          <w:iCs/>
        </w:rPr>
        <w:t xml:space="preserve">lead</w:t>
      </w:r>
      <w:r>
        <w:t xml:space="preserve"> </w:t>
      </w:r>
      <w:r>
        <w:t xml:space="preserve">(largest-asset) subsidiary bank. Correctly aggregating uninsured deposits across</w:t>
      </w:r>
      <w:r>
        <w:t xml:space="preserve"> </w:t>
      </w:r>
      <w:r>
        <w:t xml:space="preserve">the subsidiaries of multi-bank holding companies is a hand-verification task reserved for the</w:t>
      </w:r>
      <w:r>
        <w:t xml:space="preserve"> </w:t>
      </w:r>
      <w:r>
        <w:t xml:space="preserve">companion student contribution (Section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); it is deliberately not attempted</w:t>
      </w:r>
      <w:r>
        <w:t xml:space="preserve"> </w:t>
      </w:r>
      <w:r>
        <w:t xml:space="preserve">here. The</w:t>
      </w:r>
      <w:r>
        <w:t xml:space="preserve"> </w:t>
      </w:r>
      <w:r>
        <w:rPr>
          <w:i/>
          <w:iCs/>
        </w:rPr>
        <w:t xml:space="preserve">uninsured-deposit ratio</w:t>
      </w:r>
      <w:r>
        <w:t xml:space="preserve"> </w:t>
      </w:r>
      <w:r>
        <w:t xml:space="preserve">is RCON5597 divided by consolidated assets, and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event-study."/>
    <w:p>
      <w:pPr>
        <w:pStyle w:val="Heading4"/>
      </w:pPr>
      <w:r>
        <w:t xml:space="preserve">Event study.</w:t>
      </w:r>
    </w:p>
    <w:p>
      <w:pPr>
        <w:pStyle w:val="FirstParagraph"/>
      </w:pPr>
      <w:r>
        <w:t xml:space="preserve">Day 0 is 2023-03-08. We estimate a market model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over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trading-day window</w:t>
      </w:r>
      <w:r>
        <w:t xml:space="preserve"> </w:t>
      </w:r>
      <w:r>
        <w:t xml:space="preserve">against the CRSP value-weighted index, and cumulate abnormal returns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∈</m:t>
            </m:r>
            <m:r>
              <m:t>W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event windows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. Our primary window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(March 8 close through March 13); we</w:t>
      </w:r>
      <w:r>
        <w:t xml:space="preserve"> </w:t>
      </w:r>
      <w:r>
        <w:t xml:space="preserve">report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, and a pre-event placebo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robustness. Predictors are winsorized at 1/99 and standardized, so a coefficient reads as</w:t>
      </w:r>
      <w:r>
        <w:t xml:space="preserve"> </w:t>
      </w:r>
      <w:r>
        <w:t xml:space="preserve">the effect of a one-standard-deviation increase in CAR points. Standard errors are</w:t>
      </w:r>
      <w:r>
        <w:t xml:space="preserve"> </w:t>
      </w:r>
      <w:r>
        <w:t xml:space="preserve">heteroskedasticity-robust (HC1), and Section </w:t>
      </w:r>
      <w:hyperlink w:anchor="sec:desig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supplements them with</w:t>
      </w:r>
      <w:r>
        <w:t xml:space="preserve"> </w:t>
      </w:r>
      <w:r>
        <w:t xml:space="preserve">design-based inference.</w:t>
      </w:r>
    </w:p>
    <w:bookmarkEnd w:id="19"/>
    <w:bookmarkStart w:id="20" w:name="specification."/>
    <w:p>
      <w:pPr>
        <w:pStyle w:val="Heading4"/>
      </w:pPr>
      <w:r>
        <w:t xml:space="preserve">Specification.</w:t>
      </w:r>
    </w:p>
    <w:p>
      <w:pPr>
        <w:pStyle w:val="FirstParagraph"/>
      </w:pPr>
      <w:r>
        <w:t xml:space="preserve">The core cross-sectional regression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CAR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rPr>
                      <m:nor/>
                      <m:sty m:val="p"/>
                    </m:rPr>
                    <m:t>Uninsured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rPr>
                      <m:nor/>
                      <m:sty m:val="p"/>
                    </m:rPr>
                    <m:t>SecLoss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3</m:t>
              </m:r>
            </m:sub>
          </m:sSub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rPr>
                      <m:nor/>
                      <m:sty m:val="p"/>
                    </m:rPr>
                    <m:t>Size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tildes denote winsorized, standardized exposures. H1 predicts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H2</w:t>
      </w:r>
      <w:r>
        <w:t xml:space="preserve"> </w:t>
      </w:r>
      <w:r>
        <w:t xml:space="preserve">predicts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; the horse race asks which survives when both are present.</w:t>
      </w:r>
      <w:r>
        <w:t xml:space="preserve"> </w:t>
      </w:r>
      <w:r>
        <w:t xml:space="preserve">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summary statistics and Table </w:t>
      </w:r>
      <w:hyperlink w:anchor="tab:cor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the correlation</w:t>
      </w:r>
      <w:r>
        <w:t xml:space="preserve"> </w:t>
      </w:r>
      <w:r>
        <w:t xml:space="preserve">matrix. The median bank has a 32% uninsured-deposit ratio and securities losses of about</w:t>
      </w:r>
      <w:r>
        <w:t xml:space="preserve"> </w:t>
      </w:r>
      <w:r>
        <w:t xml:space="preserve">22% of equity; uninsured exposure and securities losses are only modestly correlated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0.23</m:t>
        </m:r>
      </m:oMath>
      <w:r>
        <w:t xml:space="preserve">), so the horse race is not undermined by collinearity, and matching on the</w:t>
      </w:r>
      <w:r>
        <w:t xml:space="preserve"> </w:t>
      </w:r>
      <w:r>
        <w:t xml:space="preserve">securities book while comparing on uninsured exposure has adequate common support.</w:t>
      </w:r>
    </w:p>
    <w:bookmarkEnd w:id="20"/>
    <w:bookmarkEnd w:id="21"/>
    <w:bookmarkStart w:id="24" w:name="sec:res"/>
    <w:p>
      <w:pPr>
        <w:pStyle w:val="Heading1"/>
      </w:pPr>
      <w:r>
        <w:t xml:space="preserve">Main Results</w:t>
      </w:r>
    </w:p>
    <w:bookmarkStart w:id="22" w:name="the-shock."/>
    <w:p>
      <w:pPr>
        <w:pStyle w:val="Heading4"/>
      </w:pPr>
      <w:r>
        <w:t xml:space="preserve">The shock.</w:t>
      </w:r>
    </w:p>
    <w:p>
      <w:pPr>
        <w:pStyle w:val="FirstParagraph"/>
      </w:pPr>
      <w:r>
        <w:t xml:space="preserve">Table </w:t>
      </w:r>
      <w:hyperlink w:anchor="tab:car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window was large and negative across</w:t>
      </w:r>
      <w:r>
        <w:t xml:space="preserve"> </w:t>
      </w:r>
      <w:r>
        <w:t xml:space="preserve">banks: a mean CAR of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14.1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15.3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, all with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12</m:t>
        </m:r>
      </m:oMath>
      <w:r>
        <w:t xml:space="preserve">.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window is</w:t>
      </w:r>
      <w:r>
        <w:t xml:space="preserve"> </w:t>
      </w:r>
      <m:oMath>
        <m:r>
          <m:rPr>
            <m:sty m:val="p"/>
          </m:rPr>
          <m:t>−</m:t>
        </m:r>
        <m:r>
          <m:t>2.7</m:t>
        </m:r>
        <m:r>
          <m:rPr>
            <m:sty m:val="p"/>
          </m:rPr>
          <m:t>%</m:t>
        </m:r>
      </m:oMath>
      <w:r>
        <w:t xml:space="preserve">—non-trivial, because</w:t>
      </w:r>
      <w:r>
        <w:t xml:space="preserve"> </w:t>
      </w:r>
      <w:r>
        <w:t xml:space="preserve">the Silvergate wind-down was unfolding that week—but roughly one-fifth the event-window</w:t>
      </w:r>
      <w:r>
        <w:t xml:space="preserve"> </w:t>
      </w:r>
      <w:r>
        <w:t xml:space="preserve">loss. The industry-wide fall is the backdrop; the cross-section is where the two hypotheses</w:t>
      </w:r>
      <w:r>
        <w:t xml:space="preserve"> </w:t>
      </w:r>
      <w:r>
        <w:t xml:space="preserve">are tested.</w:t>
      </w:r>
    </w:p>
    <w:bookmarkEnd w:id="22"/>
    <w:bookmarkStart w:id="23" w:name="the-horse-race."/>
    <w:p>
      <w:pPr>
        <w:pStyle w:val="Heading4"/>
      </w:pPr>
      <w:r>
        <w:t xml:space="preserve">The horse race.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the core result. In column (1),</w:t>
      </w:r>
      <w:r>
        <w:t xml:space="preserve"> </w:t>
      </w:r>
      <w:r>
        <w:t xml:space="preserve">uninsured exposure alone explains 14% of the cross-sectional variation in CARs, with a</w:t>
      </w:r>
      <w:r>
        <w:t xml:space="preserve"> </w:t>
      </w:r>
      <w:r>
        <w:t xml:space="preserve">one-SD effect of</w:t>
      </w:r>
      <w:r>
        <w:t xml:space="preserve"> </w:t>
      </w:r>
      <m:oMath>
        <m:r>
          <m:rPr>
            <m:sty m:val="p"/>
          </m:rPr>
          <m:t>−</m:t>
        </m:r>
        <m:r>
          <m:t>5.0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2.55</m:t>
        </m:r>
      </m:oMath>
      <w:r>
        <w:t xml:space="preserve">). Securities losses alone (column 2) are insignificant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1.57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0.06</m:t>
        </m:r>
      </m:oMath>
      <w:r>
        <w:t xml:space="preserve">). With both included (column 3) the uninsured coefficient</w:t>
      </w:r>
      <w:r>
        <w:t xml:space="preserve"> </w:t>
      </w:r>
      <w:r>
        <w:t xml:space="preserve">strengthens (</w:t>
      </w:r>
      <m:oMath>
        <m:r>
          <m:rPr>
            <m:sty m:val="p"/>
          </m:rPr>
          <m:t>−</m:t>
        </m:r>
        <m:r>
          <m:t>4.6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2.92</m:t>
        </m:r>
      </m:oMath>
      <w:r>
        <w:t xml:space="preserve">) while securities losses fall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1.09</m:t>
        </m:r>
      </m:oMath>
      <w:r>
        <w:t xml:space="preserve">. Adding size</w:t>
      </w:r>
      <w:r>
        <w:t xml:space="preserve"> </w:t>
      </w:r>
      <w:r>
        <w:t xml:space="preserve">(column 4) leaves uninsured at</w:t>
      </w:r>
      <w:r>
        <w:t xml:space="preserve"> </w:t>
      </w:r>
      <m:oMath>
        <m:r>
          <m:rPr>
            <m:sty m:val="p"/>
          </m:rPr>
          <m:t>−</m:t>
        </m:r>
        <m:r>
          <m:t>4.2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3.05</m:t>
        </m:r>
      </m:oMath>
      <w:r>
        <w:t xml:space="preserve">); excluding G-SIBs (column 5) gives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3.09</m:t>
        </m:r>
      </m:oMath>
      <w:r>
        <w:t xml:space="preserve">) and the highest fit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0.21</m:t>
        </m:r>
      </m:oMath>
      <w:r>
        <w:t xml:space="preserve">). H1 is supported throughout; H2 is</w:t>
      </w:r>
      <w:r>
        <w:t xml:space="preserve"> </w:t>
      </w:r>
      <w:r>
        <w:t xml:space="preserve">not supported on conventional terms once we condition on funding and size.</w:t>
      </w:r>
      <w:r>
        <w:t xml:space="preserve"> </w:t>
      </w:r>
      <w:r>
        <w:t xml:space="preserve">Figure </w:t>
      </w:r>
      <w:hyperlink w:anchor="fig:bi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pattern is monotone: banks in the top uninsured-exposure</w:t>
      </w:r>
      <w:r>
        <w:t xml:space="preserve"> </w:t>
      </w:r>
      <w:r>
        <w:t xml:space="preserve">deciles fell roughly twice as far as those in the bottom, and Figure </w:t>
      </w:r>
      <w:hyperlink w:anchor="fig:quar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the same gradient across quartiles. The point estimate on securities losses is consistently</w:t>
      </w:r>
      <w:r>
        <w:t xml:space="preserve"> </w:t>
      </w:r>
      <w:r>
        <w:t xml:space="preserve">negative and about half the size of the uninsured coefficient; we return in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to what the design can and cannot say about a channel of that</w:t>
      </w:r>
      <w:r>
        <w:t xml:space="preserve"> </w:t>
      </w:r>
      <w:r>
        <w:t xml:space="preserve">magnitude.</w:t>
      </w:r>
    </w:p>
    <w:bookmarkEnd w:id="23"/>
    <w:bookmarkEnd w:id="24"/>
    <w:bookmarkStart w:id="28" w:name="sec:design"/>
    <w:p>
      <w:pPr>
        <w:pStyle w:val="Heading1"/>
      </w:pPr>
      <w:r>
        <w:t xml:space="preserve">Design-Based Inference: Matching and Randomization</w:t>
      </w:r>
    </w:p>
    <w:p>
      <w:pPr>
        <w:pStyle w:val="FirstParagraph"/>
      </w:pPr>
      <w:r>
        <w:t xml:space="preserve">A cross-sectional event study of 165 banks in a single crisis week is exactly the setting in</w:t>
      </w:r>
      <w:r>
        <w:t xml:space="preserve"> </w:t>
      </w:r>
      <w:r>
        <w:t xml:space="preserve">which robust</w:t>
      </w:r>
      <w:r>
        <w:t xml:space="preserve"> </w:t>
      </w:r>
      <m:oMath>
        <m:r>
          <m:t>t</m:t>
        </m:r>
      </m:oMath>
      <w:r>
        <w:t xml:space="preserve">-statistics can mislead—abnormal returns are cross-sectionally correlated</w:t>
      </w:r>
      <w:r>
        <w:t xml:space="preserve"> </w:t>
      </w:r>
      <w:r>
        <w:t xml:space="preserve">, and the exposures of interest are correlated with size and with each</w:t>
      </w:r>
      <w:r>
        <w:t xml:space="preserve"> </w:t>
      </w:r>
      <w:r>
        <w:t xml:space="preserve">other. We therefore stress the horse race with three checks that do not rely on the</w:t>
      </w:r>
      <w:r>
        <w:t xml:space="preserve"> </w:t>
      </w:r>
      <w:r>
        <w:t xml:space="preserve">parametric standard error.</w:t>
      </w:r>
    </w:p>
    <w:bookmarkStart w:id="25" w:name="matching-estimator."/>
    <w:p>
      <w:pPr>
        <w:pStyle w:val="Heading4"/>
      </w:pPr>
      <w:r>
        <w:t xml:space="preserve">Matching estimator.</w:t>
      </w:r>
    </w:p>
    <w:p>
      <w:pPr>
        <w:pStyle w:val="FirstParagraph"/>
      </w:pPr>
      <w:r>
        <w:t xml:space="preserve">If the uninsured effect merely reflects the fact that</w:t>
      </w:r>
      <w:r>
        <w:t xml:space="preserve"> </w:t>
      </w:r>
      <w:r>
        <w:t xml:space="preserve">high-uninsured banks are larger or hold worse securities books, then comparing high- and</w:t>
      </w:r>
      <w:r>
        <w:t xml:space="preserve"> </w:t>
      </w:r>
      <w:r>
        <w:t xml:space="preserve">low-uninsured banks with those covariates balanced should erase it. We split banks at the</w:t>
      </w:r>
      <w:r>
        <w:t xml:space="preserve"> </w:t>
      </w:r>
      <w:r>
        <w:t xml:space="preserve">median uninsured ratio and nearest-neighbor match each high-uninsured bank to a low-uninsured</w:t>
      </w:r>
      <w:r>
        <w:t xml:space="preserve"> </w:t>
      </w:r>
      <w:r>
        <w:t xml:space="preserve">bank on standardized size and securities losses (1:1, without replacement, 0.5-SD caliper),</w:t>
      </w:r>
      <w:r>
        <w:t xml:space="preserve"> </w:t>
      </w:r>
      <w:r>
        <w:t xml:space="preserve">yielding 54 matched pairs</w:t>
      </w:r>
      <w:r>
        <w:t xml:space="preserve"> </w:t>
      </w:r>
      <w:r>
        <w:t xml:space="preserve">. Table </w:t>
      </w:r>
      <w:hyperlink w:anchor="tab:matched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results.</w:t>
      </w:r>
      <w:r>
        <w:t xml:space="preserve"> </w:t>
      </w:r>
      <w:r>
        <w:t xml:space="preserve">The raw high</w:t>
      </w:r>
      <m:oMath>
        <m:r>
          <m:rPr>
            <m:sty m:val="p"/>
          </m:rPr>
          <m:t>−</m:t>
        </m:r>
      </m:oMath>
      <w:r>
        <w:t xml:space="preserve">low difference in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5.7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2.74</m:t>
        </m:r>
      </m:oMath>
      <w:r>
        <w:t xml:space="preserve">); after matching, which</w:t>
      </w:r>
      <w:r>
        <w:t xml:space="preserve"> </w:t>
      </w:r>
      <w:r>
        <w:t xml:space="preserve">cuts the size gap from 0.36 to 0.04 standardized units and the securities-loss gap from 0.33</w:t>
      </w:r>
      <w:r>
        <w:t xml:space="preserve"> </w:t>
      </w:r>
      <w:r>
        <w:t xml:space="preserve">to 0.06, the difference is</w:t>
      </w:r>
      <w:r>
        <w:t xml:space="preserve"> </w:t>
      </w:r>
      <m:oMath>
        <m:r>
          <m:rPr>
            <m:sty m:val="p"/>
          </m:rPr>
          <m:t>−</m:t>
        </m:r>
        <m:r>
          <m:t>5.4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2.43</m:t>
        </m:r>
      </m:oMath>
      <w:r>
        <w:t xml:space="preserve">). The run effect is a comparison of otherwise</w:t>
      </w:r>
      <w:r>
        <w:t xml:space="preserve"> </w:t>
      </w:r>
      <w:r>
        <w:t xml:space="preserve">similar banks that differ in their uninsured funding, not an artifact of size or of the</w:t>
      </w:r>
      <w:r>
        <w:t xml:space="preserve"> </w:t>
      </w:r>
      <w:r>
        <w:t xml:space="preserve">securities book. Reassuringly, the same matched pairs show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difference in the</w:t>
      </w:r>
      <w:r>
        <w:t xml:space="preserve"> </w:t>
      </w:r>
      <w:r>
        <w:t xml:space="preserve">pre-event placebo window (</w:t>
      </w:r>
      <m:oMath>
        <m:r>
          <m:rPr>
            <m:sty m:val="p"/>
          </m:rPr>
          <m:t>+</m:t>
        </m:r>
        <m:r>
          <m:t>0.4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0.97</m:t>
        </m:r>
      </m:oMath>
      <w:r>
        <w:t xml:space="preserve">): matched high- and low-uninsured banks moved</w:t>
      </w:r>
      <w:r>
        <w:t xml:space="preserve"> </w:t>
      </w:r>
      <w:r>
        <w:t xml:space="preserve">together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run and diverged only during it.</w:t>
      </w:r>
    </w:p>
    <w:bookmarkEnd w:id="25"/>
    <w:bookmarkStart w:id="26" w:name="randomization-inference."/>
    <w:p>
      <w:pPr>
        <w:pStyle w:val="Heading4"/>
      </w:pPr>
      <w:r>
        <w:t xml:space="preserve">Randomization inference.</w:t>
      </w:r>
    </w:p>
    <w:p>
      <w:pPr>
        <w:pStyle w:val="FirstParagraph"/>
      </w:pPr>
      <w:r>
        <w:t xml:space="preserve">Table </w:t>
      </w:r>
      <w:hyperlink w:anchor="tab:ri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</w:t>
      </w:r>
      <w:r>
        <w:t xml:space="preserve"> </w:t>
      </w:r>
      <w:r>
        <w:t xml:space="preserve">design-based inference from 2</w:t>
      </w:r>
      <w:r>
        <w:t xml:space="preserve">,</w:t>
      </w:r>
      <w:r>
        <w:t xml:space="preserve">000 permutations of each exposure across banks. We permute</w:t>
      </w:r>
      <w:r>
        <w:t xml:space="preserve"> </w:t>
      </w:r>
      <w:r>
        <w:t xml:space="preserve">the (predetermined) uninsured ratio across banks, refit equation </w:t>
      </w:r>
      <w:hyperlink w:anchor="eq:xsec">
        <w:r>
          <w:rPr>
            <w:rStyle w:val="Hyperlink"/>
          </w:rPr>
          <w:t xml:space="preserve">[eq:xsec]</w:t>
        </w:r>
      </w:hyperlink>
      <w:r>
        <w:t xml:space="preserve">, and</w:t>
      </w:r>
      <w:r>
        <w:t xml:space="preserve"> </w:t>
      </w:r>
      <w:r>
        <w:t xml:space="preserve">collect the coefficient; the randomization</w:t>
      </w:r>
      <w:r>
        <w:t xml:space="preserve"> </w:t>
      </w:r>
      <m:oMath>
        <m:r>
          <m:t>p</m:t>
        </m:r>
      </m:oMath>
      <w:r>
        <w:t xml:space="preserve">-value is the share of permutations whose</w:t>
      </w:r>
      <w:r>
        <w:t xml:space="preserve"> </w:t>
      </w:r>
      <w:r>
        <w:t xml:space="preserve">coefficient is at least as extreme as the actual one. For the uninsured channel the actual</w:t>
      </w:r>
      <w:r>
        <w:t xml:space="preserve"> </w:t>
      </w:r>
      <w:r>
        <w:t xml:space="preserve">coefficient (</w:t>
      </w:r>
      <m:oMath>
        <m:r>
          <m:rPr>
            <m:sty m:val="p"/>
          </m:rPr>
          <m:t>−</m:t>
        </m:r>
        <m:r>
          <m:t>0.042</m:t>
        </m:r>
      </m:oMath>
      <w:r>
        <w:t xml:space="preserve">) lies far outside the permutation 95% interval</w:t>
      </w:r>
      <w:r>
        <w:t xml:space="preserve"> </w:t>
      </w:r>
      <w:r>
        <w:t xml:space="preserve">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0.020</m:t>
        </m:r>
        <m:r>
          <m:rPr>
            <m:sty m:val="p"/>
          </m:rPr>
          <m:t>]</m:t>
        </m:r>
      </m:oMath>
      <w:r>
        <w:t xml:space="preserve">), giving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: the run result is not an artifact of cross-sectional</w:t>
      </w:r>
      <w:r>
        <w:t xml:space="preserve"> </w:t>
      </w:r>
      <w:r>
        <w:t xml:space="preserve">correlation or of HC1 asymptotics. For the securities channel the actual coefficient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0.020</m:t>
        </m:r>
      </m:oMath>
      <w:r>
        <w:t xml:space="preserve">) sits essentially at the edge of its permutation interval,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</m:t>
        </m:r>
      </m:oMath>
      <w:r>
        <w:t xml:space="preserve">—marginal, and</w:t>
      </w:r>
      <w:r>
        <w:t xml:space="preserve"> </w:t>
      </w:r>
      <w:r>
        <w:t xml:space="preserve">notably weaker than the run channel by any design-based reading. The securities channel is the</w:t>
      </w:r>
      <w:r>
        <w:t xml:space="preserve"> </w:t>
      </w:r>
      <w:r>
        <w:t xml:space="preserve">one place where randomization inference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conservative than the robust standard</w:t>
      </w:r>
      <w:r>
        <w:t xml:space="preserve"> </w:t>
      </w:r>
      <w:r>
        <w:t xml:space="preserve">error: its HC1 standard error (</w:t>
      </w:r>
      <m:oMath>
        <m:r>
          <m:t>0.018</m:t>
        </m:r>
      </m:oMath>
      <w:r>
        <w:t xml:space="preserve">) is</w:t>
      </w:r>
      <w:r>
        <w:t xml:space="preserve"> </w:t>
      </w:r>
      <m:oMath>
        <m:r>
          <m:t>1.8</m:t>
        </m:r>
      </m:oMath>
      <w:r>
        <w:t xml:space="preserve"> </w:t>
      </w:r>
      <w:r>
        <w:t xml:space="preserve">times the permutation standard deviation</w:t>
      </w:r>
      <w:r>
        <w:t xml:space="preserve"> </w:t>
      </w:r>
      <w:r>
        <w:t xml:space="preserve">(</w:t>
      </w:r>
      <m:oMath>
        <m:r>
          <m:t>0.010</m:t>
        </m:r>
      </m:oMath>
      <w:r>
        <w:t xml:space="preserve">). This gap is not collinearity—uninsured and securities losses are only weakly</w:t>
      </w:r>
      <w:r>
        <w:t xml:space="preserve"> </w:t>
      </w:r>
      <w:r>
        <w:t xml:space="preserve">correlated (</w:t>
      </w:r>
      <m:oMath>
        <m:r>
          <m:t>ρ</m:t>
        </m:r>
        <m:r>
          <m:rPr>
            <m:sty m:val="p"/>
          </m:rPr>
          <m:t>=</m:t>
        </m:r>
        <m:r>
          <m:t>0.23</m:t>
        </m:r>
      </m:oMath>
      <w:r>
        <w:t xml:space="preserve">)—but heteroskedasticity: bank CARs are enormously dispersed (SD</w:t>
      </w:r>
      <w:r>
        <w:t xml:space="preserve"> </w:t>
      </w:r>
      <m:oMath>
        <m:r>
          <m:t>13</m:t>
        </m:r>
        <m:r>
          <m:rPr>
            <m:sty m:val="p"/>
          </m:rPr>
          <m:t>%</m:t>
        </m:r>
      </m:oMath>
      <w:r>
        <w:t xml:space="preserve">), so HC1 inflates the standard error to absorb that dispersion while the permutation</w:t>
      </w:r>
      <w:r>
        <w:t xml:space="preserve"> </w:t>
      </w:r>
      <w:r>
        <w:t xml:space="preserve">null assumes exchangeability and is therefore tighter. We accordingly treat HC1 as the</w:t>
      </w:r>
      <w:r>
        <w:t xml:space="preserve"> </w:t>
      </w:r>
      <w:r>
        <w:t xml:space="preserve">conservative, preferred inference for the mark-to-market channel and read its randomization</w:t>
      </w:r>
      <w:r>
        <w:t xml:space="preserve"> </w:t>
      </w:r>
      <m:oMath>
        <m:r>
          <m:t>p</m:t>
        </m:r>
      </m:oMath>
      <w:r>
        <w:t xml:space="preserve">-value as an upper bound on that channel’s significance, not as evidence of an effect.</w:t>
      </w:r>
      <w:r>
        <w:t xml:space="preserve"> </w:t>
      </w:r>
      <w:r>
        <w:t xml:space="preserve">Randomization inference thus corroborates the asymmetry the horse race reports: the run channel</w:t>
      </w:r>
      <w:r>
        <w:t xml:space="preserve"> </w:t>
      </w:r>
      <w:r>
        <w:t xml:space="preserve">is unambiguous under both methods; the mark-to-market channel is, at best, weak.</w:t>
      </w:r>
    </w:p>
    <w:bookmarkEnd w:id="26"/>
    <w:bookmarkStart w:id="27" w:name="placebo-window."/>
    <w:p>
      <w:pPr>
        <w:pStyle w:val="Heading4"/>
      </w:pPr>
      <w:r>
        <w:t xml:space="preserve">Placebo window.</w:t>
      </w:r>
    </w:p>
    <w:p>
      <w:pPr>
        <w:pStyle w:val="FirstParagraph"/>
      </w:pPr>
      <w:r>
        <w:t xml:space="preserve">Table </w:t>
      </w:r>
      <w:hyperlink w:anchor="tab:placebo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runs equation </w:t>
      </w:r>
      <w:hyperlink w:anchor="eq:xsec">
        <w:r>
          <w:rPr>
            <w:rStyle w:val="Hyperlink"/>
          </w:rPr>
          <w:t xml:space="preserve">[eq:xsec]</w:t>
        </w:r>
      </w:hyperlink>
      <w:r>
        <w:t xml:space="preserve"> </w:t>
      </w:r>
      <w:r>
        <w:t xml:space="preserve">with the</w:t>
      </w:r>
      <w:r>
        <w:t xml:space="preserve"> </w:t>
      </w:r>
      <w:r>
        <w:t xml:space="preserve">pre-event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CAR as the dependent variable. Even though banks were already falling in</w:t>
      </w:r>
      <w:r>
        <w:t xml:space="preserve"> </w:t>
      </w:r>
      <w:r>
        <w:t xml:space="preserve">that window (the placebo mean CAR is</w:t>
      </w:r>
      <w:r>
        <w:t xml:space="preserve"> </w:t>
      </w:r>
      <m:oMath>
        <m:r>
          <m:rPr>
            <m:sty m:val="p"/>
          </m:rPr>
          <m:t>−</m:t>
        </m:r>
        <m:r>
          <m:t>2.7</m:t>
        </m:r>
        <m:r>
          <m:rPr>
            <m:sty m:val="p"/>
          </m:rPr>
          <m:t>%</m:t>
        </m:r>
      </m:oMath>
      <w:r>
        <w:t xml:space="preserve">; the Silvergate wind-down had begun), the</w:t>
      </w:r>
      <w:r>
        <w:t xml:space="preserve"> </w:t>
      </w:r>
      <w:r>
        <w:rPr>
          <w:i/>
          <w:iCs/>
        </w:rPr>
        <w:t xml:space="preserve">cross-sectional</w:t>
      </w:r>
      <w:r>
        <w:t xml:space="preserve"> </w:t>
      </w:r>
      <w:r>
        <w:t xml:space="preserve">uninsured gradient is flat and insignificant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0.37</m:t>
        </m:r>
      </m:oMath>
      <w:r>
        <w:t xml:space="preserve">), as are the</w:t>
      </w:r>
      <w:r>
        <w:t xml:space="preserve"> </w:t>
      </w:r>
      <w:r>
        <w:t xml:space="preserve">securities-loss and size gradients. Banks fell</w:t>
      </w:r>
      <w:r>
        <w:t xml:space="preserve"> </w:t>
      </w:r>
      <w:r>
        <w:rPr>
          <w:i/>
          <w:iCs/>
        </w:rPr>
        <w:t xml:space="preserve">together</w:t>
      </w:r>
      <w:r>
        <w:t xml:space="preserve"> </w:t>
      </w:r>
      <w:r>
        <w:t xml:space="preserve">before the SVB announcement,</w:t>
      </w:r>
      <w:r>
        <w:t xml:space="preserve"> </w:t>
      </w:r>
      <w:r>
        <w:t xml:space="preserve">regardless of their uninsured funding; the uninsured gradient appears only in the run week.</w:t>
      </w:r>
      <w:r>
        <w:t xml:space="preserve"> </w:t>
      </w:r>
      <w:r>
        <w:t xml:space="preserve">This is a clean falsification: the run channel is specific to the event, not a pre-existing</w:t>
      </w:r>
      <w:r>
        <w:t xml:space="preserve"> </w:t>
      </w:r>
      <w:r>
        <w:t xml:space="preserve">spread that our window mechanically captures.</w:t>
      </w:r>
    </w:p>
    <w:bookmarkEnd w:id="27"/>
    <w:bookmarkEnd w:id="28"/>
    <w:bookmarkStart w:id="29" w:name="sec:het"/>
    <w:p>
      <w:pPr>
        <w:pStyle w:val="Heading1"/>
      </w:pPr>
      <w:r>
        <w:t xml:space="preserve">Heterogeneity</w:t>
      </w:r>
    </w:p>
    <w:p>
      <w:pPr>
        <w:pStyle w:val="FirstParagraph"/>
      </w:pPr>
      <w:r>
        <w:t xml:space="preserve">If the run channel is the market pricing genuine run vulnerability, it should be present</w:t>
      </w:r>
      <w:r>
        <w:t xml:space="preserve"> </w:t>
      </w:r>
      <w:r>
        <w:t xml:space="preserve">across observable subgroups and, plausibly, sharper where the run mechanism is more</w:t>
      </w:r>
      <w:r>
        <w:t xml:space="preserve"> </w:t>
      </w:r>
      <w:r>
        <w:t xml:space="preserve">dangerous. Table </w:t>
      </w:r>
      <w:hyperlink w:anchor="tab:hetero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interacts both channels with four observable 2022Q4</w:t>
      </w:r>
      <w:r>
        <w:t xml:space="preserve"> </w:t>
      </w:r>
      <w:r>
        <w:t xml:space="preserve">moderators—above-median size, above-median securities losses, above-median HTM losses, and</w:t>
      </w:r>
      <w:r>
        <w:t xml:space="preserve"> </w:t>
      </w:r>
      <w:r>
        <w:t xml:space="preserve">a thrift-holding-company indicator—reporting the base (low-moderator) coefficient and the</w:t>
      </w:r>
      <w:r>
        <w:t xml:space="preserve"> </w:t>
      </w:r>
      <w:r>
        <w:t xml:space="preserve">interaction for each channel. Three patterns stand out and all point the same way. First, the</w:t>
      </w:r>
      <w:r>
        <w:t xml:space="preserve"> </w:t>
      </w:r>
      <w:r>
        <w:t xml:space="preserve">run channel is present in every subgroup: the base uninsured coefficient is negative and</w:t>
      </w:r>
      <w:r>
        <w:t xml:space="preserve"> </w:t>
      </w:r>
      <w:r>
        <w:t xml:space="preserve">significant across the board. Second, the run channel is</w:t>
      </w:r>
      <w:r>
        <w:t xml:space="preserve"> </w:t>
      </w:r>
      <w:r>
        <w:rPr>
          <w:i/>
          <w:iCs/>
        </w:rPr>
        <w:t xml:space="preserve">amplified</w:t>
      </w:r>
      <w:r>
        <w:t xml:space="preserve"> </w:t>
      </w:r>
      <w:r>
        <w:t xml:space="preserve">exactly where the</w:t>
      </w:r>
      <w:r>
        <w:t xml:space="preserve"> </w:t>
      </w:r>
      <w:r>
        <w:t xml:space="preserve">mark-to-market hole is deepest—for banks with above-median HTM losses the uninsured</w:t>
      </w:r>
      <w:r>
        <w:t xml:space="preserve"> </w:t>
      </w:r>
      <w:r>
        <w:t xml:space="preserve">interaction is an additional</w:t>
      </w:r>
      <w:r>
        <w:t xml:space="preserve"> </w:t>
      </w:r>
      <m:oMath>
        <m:r>
          <m:rPr>
            <m:sty m:val="p"/>
          </m:rPr>
          <m:t>−</m:t>
        </m:r>
        <m:r>
          <m:t>6.9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2.40</m:t>
        </m:r>
      </m:oMath>
      <w:r>
        <w:t xml:space="preserve">)—consistent with the theory of</w:t>
      </w:r>
      <w:r>
        <w:t xml:space="preserve"> </w:t>
      </w:r>
      <w:r>
        <w:t xml:space="preserve"> </w:t>
      </w:r>
      <w:r>
        <w:t xml:space="preserve">that uninsured funding is most dangerous when it sits atop a large</w:t>
      </w:r>
      <w:r>
        <w:t xml:space="preserve"> </w:t>
      </w:r>
      <w:r>
        <w:t xml:space="preserve">unrealized loss, so that a run forces the loss to be realized. Third, the effect is not a</w:t>
      </w:r>
      <w:r>
        <w:t xml:space="preserve"> </w:t>
      </w:r>
      <w:r>
        <w:t xml:space="preserve">thrift-versus-bank artifact: the thrift interaction is essentially zero (</w:t>
      </w:r>
      <m:oMath>
        <m:r>
          <m:rPr>
            <m:sty m:val="p"/>
          </m:rPr>
          <m:t>+</m:t>
        </m:r>
        <m:r>
          <m:t>0.6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0.31</m:t>
        </m:r>
      </m:oMath>
      <w:r>
        <w:t xml:space="preserve">). Crucially, these moderators are all observable balance-sheet characteristics; we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interact the run channel with hand-collected variables such as</w:t>
      </w:r>
      <w:r>
        <w:t xml:space="preserve"> </w:t>
      </w:r>
      <w:r>
        <w:t xml:space="preserve">bank-specific-news exposure or realized deposit outflows, which are reserved for the student</w:t>
      </w:r>
      <w:r>
        <w:t xml:space="preserve"> </w:t>
      </w:r>
      <w:r>
        <w:t xml:space="preserve">contribution and are chosen precisely to be orthogonal to that reserved test.</w:t>
      </w:r>
    </w:p>
    <w:bookmarkEnd w:id="29"/>
    <w:bookmarkStart w:id="30" w:name="sec:power"/>
    <w:p>
      <w:pPr>
        <w:pStyle w:val="Heading1"/>
      </w:pPr>
      <w:r>
        <w:t xml:space="preserve">Is the Mark-to-Market Null Informative? Power and Minimum Detectable Effects</w:t>
      </w:r>
    </w:p>
    <w:p>
      <w:pPr>
        <w:pStyle w:val="FirstParagraph"/>
      </w:pPr>
      <w:r>
        <w:t xml:space="preserve">The honest question raised by the horse race is whether the weak securities-loss result means</w:t>
      </w:r>
      <w:r>
        <w:t xml:space="preserve"> </w:t>
      </w:r>
      <w:r>
        <w:t xml:space="preserve">“mark-to-market losses did not matter”</w:t>
      </w:r>
      <w:r>
        <w:t xml:space="preserve"> </w:t>
      </w:r>
      <w:r>
        <w:t xml:space="preserve">or merely</w:t>
      </w:r>
      <w:r>
        <w:t xml:space="preserve"> </w:t>
      </w:r>
      <w:r>
        <w:t xml:space="preserve">“our design could not detect a</w:t>
      </w:r>
      <w:r>
        <w:t xml:space="preserve"> </w:t>
      </w:r>
      <w:r>
        <w:t xml:space="preserve">mark-to-market effect.”</w:t>
      </w:r>
      <w:r>
        <w:t xml:space="preserve"> </w:t>
      </w:r>
      <w:r>
        <w:t xml:space="preserve">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answers it directly. For each predictor we</w:t>
      </w:r>
      <w:r>
        <w:t xml:space="preserve"> </w:t>
      </w:r>
      <w:r>
        <w:t xml:space="preserve">report the minimum detectable effect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</w:t>
      </w:r>
      <w:r>
        <w:t xml:space="preserve"> </w:t>
      </w:r>
      <w:r>
        <w:t xml:space="preserve">expressed in CAR points, as a share of the cross-firm CAR standard deviation, and relative to</w:t>
      </w:r>
      <w:r>
        <w:t xml:space="preserve"> </w:t>
      </w:r>
      <w:r>
        <w:t xml:space="preserve">the estimated run effect. The design is well-powered for the run channel: its MDE is</w:t>
      </w:r>
      <w:r>
        <w:t xml:space="preserve"> </w:t>
      </w:r>
      <m:oMath>
        <m:r>
          <m:t>0.038</m:t>
        </m:r>
      </m:oMath>
      <w:r>
        <w:t xml:space="preserve">,</w:t>
      </w:r>
      <w:r>
        <w:t xml:space="preserve"> </w:t>
      </w:r>
      <w:r>
        <w:t xml:space="preserve">about 92% of the estimated run effect, so an effect that size was very likely to be</w:t>
      </w:r>
      <w:r>
        <w:t xml:space="preserve"> </w:t>
      </w:r>
      <w:r>
        <w:t xml:space="preserve">detected—and was. For the securities channel the MDE is</w:t>
      </w:r>
      <w:r>
        <w:t xml:space="preserve"> </w:t>
      </w:r>
      <m:oMath>
        <m:r>
          <m:t>0.049</m:t>
        </m:r>
      </m:oMath>
      <w:r>
        <w:t xml:space="preserve">, about</w:t>
      </w:r>
      <w:r>
        <w:t xml:space="preserve"> </w:t>
      </w:r>
      <m:oMath>
        <m:r>
          <m:t>1.18</m:t>
        </m:r>
      </m:oMath>
      <w:r>
        <w:t xml:space="preserve"> </w:t>
      </w:r>
      <w:r>
        <w:t xml:space="preserve">times the run</w:t>
      </w:r>
      <w:r>
        <w:t xml:space="preserve"> </w:t>
      </w:r>
      <w:r>
        <w:t xml:space="preserve">effect. The implication is twofold and stated as a bound, following</w:t>
      </w:r>
      <w:r>
        <w:t xml:space="preserve"> </w:t>
      </w:r>
      <w:r>
        <w:t xml:space="preserve">. On</w:t>
      </w:r>
      <w:r>
        <w:t xml:space="preserve"> </w:t>
      </w:r>
      <w:r>
        <w:t xml:space="preserve">the one hand, had the market priced mark-to-market losses</w:t>
      </w:r>
      <w:r>
        <w:t xml:space="preserve"> </w:t>
      </w:r>
      <w:r>
        <w:rPr>
          <w:i/>
          <w:iCs/>
        </w:rPr>
        <w:t xml:space="preserve">as strongly as</w:t>
      </w:r>
      <w:r>
        <w:t xml:space="preserve"> </w:t>
      </w:r>
      <w:r>
        <w:t xml:space="preserve">it priced</w:t>
      </w:r>
      <w:r>
        <w:t xml:space="preserve"> </w:t>
      </w:r>
      <w:r>
        <w:t xml:space="preserve">funding fragility, our design would probably have detected it; it did not, so a mark-to-market</w:t>
      </w:r>
      <w:r>
        <w:t xml:space="preserve"> </w:t>
      </w:r>
      <w:r>
        <w:t xml:space="preserve">channel of run-channel magnitude is ruled out. On the other hand, the design is only</w:t>
      </w:r>
      <w:r>
        <w:t xml:space="preserve"> </w:t>
      </w:r>
      <w:r>
        <w:t xml:space="preserve">moderately powered for a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securities effect, so we cannot rule out a modest</w:t>
      </w:r>
      <w:r>
        <w:t xml:space="preserve"> </w:t>
      </w:r>
      <w:r>
        <w:t xml:space="preserve">mark-to-market contribution of roughly half the run-channel size—which is, in fact, the</w:t>
      </w:r>
      <w:r>
        <w:t xml:space="preserve"> </w:t>
      </w:r>
      <w:r>
        <w:t xml:space="preserve">point estimate we obtain. The null is therefore informative about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importance of the two channels, and we are careful not to overclaim that mark-to-market</w:t>
      </w:r>
      <w:r>
        <w:t xml:space="preserve"> </w:t>
      </w:r>
      <w:r>
        <w:t xml:space="preserve">losses were priced at exactly zero.</w:t>
      </w:r>
    </w:p>
    <w:bookmarkEnd w:id="30"/>
    <w:bookmarkStart w:id="31" w:name="sec:robust"/>
    <w:p>
      <w:pPr>
        <w:pStyle w:val="Heading1"/>
      </w:pPr>
      <w:r>
        <w:t xml:space="preserve">Additional 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collects three further specifications. First, replacing total</w:t>
      </w:r>
      <w:r>
        <w:t xml:space="preserve"> </w:t>
      </w:r>
      <w:r>
        <w:t xml:space="preserve">securities losses with</w:t>
      </w:r>
      <w:r>
        <w:t xml:space="preserve"> </w:t>
      </w:r>
      <w:r>
        <w:rPr>
          <w:i/>
          <w:iCs/>
        </w:rPr>
        <w:t xml:space="preserve">HTM-only</w:t>
      </w:r>
      <w:r>
        <w:t xml:space="preserve"> </w:t>
      </w:r>
      <w:r>
        <w:t xml:space="preserve">losses—the losses that are hidden from regulatory</w:t>
      </w:r>
      <w:r>
        <w:t xml:space="preserve"> </w:t>
      </w:r>
      <w:r>
        <w:t xml:space="preserve">capital and thus the sharpest test of the mark-to-market story—leaves the uninsured channel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−</m:t>
        </m:r>
        <m:r>
          <m:t>4.0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3.13</m:t>
        </m:r>
      </m:oMath>
      <w:r>
        <w:t xml:space="preserve">) and the HTM channel insignificant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1.48</m:t>
        </m:r>
      </m:oMath>
      <w:r>
        <w:t xml:space="preserve">). Second and third,</w:t>
      </w:r>
      <w:r>
        <w:t xml:space="preserve"> </w:t>
      </w:r>
      <w:r>
        <w:t xml:space="preserve">using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or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as the dependent variable preserves the uninsured effect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3.11</m:t>
        </m:r>
      </m:oMath>
      <w:r>
        <w:t xml:space="preserve"> </w:t>
      </w:r>
      <w:r>
        <w:t xml:space="preserve">respectively) while securities losses remain insignificant. The run</w:t>
      </w:r>
      <w:r>
        <w:t xml:space="preserve"> </w:t>
      </w:r>
      <w:r>
        <w:t xml:space="preserve">result is not an artifact of the securities-loss definition or of the choice of event window.</w:t>
      </w:r>
      <w:r>
        <w:t xml:space="preserve"> </w:t>
      </w:r>
      <w:r>
        <w:t xml:space="preserve">Column (5) of 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already established that dropping the eight G-SIBs, if</w:t>
      </w:r>
      <w:r>
        <w:t xml:space="preserve"> </w:t>
      </w:r>
      <w:r>
        <w:t xml:space="preserve">anything, strengthens the run channel, so the result is not driven by the largest banks.</w:t>
      </w:r>
    </w:p>
    <w:bookmarkEnd w:id="31"/>
    <w:bookmarkStart w:id="54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Across publicly-traded U.S. banks, the March 2023 equity collapse loaded on</w:t>
      </w:r>
      <w:r>
        <w:t xml:space="preserve"> </w:t>
      </w:r>
      <w:r>
        <w:t xml:space="preserve">uninsured-deposit funding fragility far more than on hidden securities losses, once size is</w:t>
      </w:r>
      <w:r>
        <w:t xml:space="preserve"> </w:t>
      </w:r>
      <w:r>
        <w:t xml:space="preserve">held fixed. The run channel is large (</w:t>
      </w:r>
      <m:oMath>
        <m:r>
          <m:rPr>
            <m:sty m:val="p"/>
          </m:rPr>
          <m:t>−</m:t>
        </m:r>
        <m:r>
          <m:t>4.2</m:t>
        </m:r>
      </m:oMath>
      <w:r>
        <w:t xml:space="preserve">pp per SD), monotone, and robust to every design</w:t>
      </w:r>
      <w:r>
        <w:t xml:space="preserve"> </w:t>
      </w:r>
      <w:r>
        <w:t xml:space="preserve">we impose: a covariate-balanced matching estimator, randomization inference on 2</w:t>
      </w:r>
      <w:r>
        <w:t xml:space="preserve">,</w:t>
      </w:r>
      <w:r>
        <w:t xml:space="preserve">000</w:t>
      </w:r>
      <w:r>
        <w:t xml:space="preserve"> </w:t>
      </w:r>
      <w:r>
        <w:t xml:space="preserve">permutations, a clean pre-event placebo window, and G-SIB exclusion. The mark-to-market</w:t>
      </w:r>
      <w:r>
        <w:t xml:space="preserve"> </w:t>
      </w:r>
      <w:r>
        <w:t xml:space="preserve">channel is, by contrast, fragile: insignificant under robust inference, only marginal under</w:t>
      </w:r>
      <w:r>
        <w:t xml:space="preserve"> </w:t>
      </w:r>
      <w:r>
        <w:t xml:space="preserve">randomization inference, and about half the magnitude of the run channel—and a power</w:t>
      </w:r>
      <w:r>
        <w:t xml:space="preserve"> </w:t>
      </w:r>
      <w:r>
        <w:t xml:space="preserve">analysis shows our design can rule out a mark-to-market effect as large as the run channel</w:t>
      </w:r>
      <w:r>
        <w:t xml:space="preserve"> </w:t>
      </w:r>
      <w:r>
        <w:t xml:space="preserve">but not a modest one. The market behaved, in the crisis week, primarily as a run-risk pricer.</w:t>
      </w:r>
      <w:r>
        <w:t xml:space="preserve"> </w:t>
      </w:r>
      <w:r>
        <w:t xml:space="preserve">The policy implication mirrors the subsequent regulatory debate: deposit-insurance design and</w:t>
      </w:r>
      <w:r>
        <w:t xml:space="preserve"> </w:t>
      </w:r>
      <w:r>
        <w:t xml:space="preserve">uninsured-funding concentration, more than mark-to-market accounting of the securities book,</w:t>
      </w:r>
      <w:r>
        <w:t xml:space="preserve"> </w:t>
      </w:r>
      <w:r>
        <w:t xml:space="preserve">are what the equity market treated as making some banks fragile.</w:t>
      </w:r>
    </w:p>
    <w:p>
      <w:pPr>
        <w:pStyle w:val="BodyText"/>
      </w:pPr>
      <w:r>
        <w:t xml:space="preserve">We are explicit about three limitations, each of which is the object of a reserved</w:t>
      </w:r>
      <w:r>
        <w:t xml:space="preserve"> </w:t>
      </w:r>
      <w:r>
        <w:t xml:space="preserve">hand-collection task in the companion student contribution, and none of which we attempt with</w:t>
      </w:r>
      <w:r>
        <w:t xml:space="preserve"> </w:t>
      </w:r>
      <w:r>
        <w:t xml:space="preserve">the automated data here. First, our baseline uses the</w:t>
      </w:r>
      <w:r>
        <w:t xml:space="preserve"> </w:t>
      </w:r>
      <w:r>
        <w:rPr>
          <w:i/>
          <w:iCs/>
        </w:rPr>
        <w:t xml:space="preserve">lead</w:t>
      </w:r>
      <w:r>
        <w:t xml:space="preserve"> </w:t>
      </w:r>
      <w:r>
        <w:t xml:space="preserve">subsidiary bank’s uninsured</w:t>
      </w:r>
      <w:r>
        <w:t xml:space="preserve"> </w:t>
      </w:r>
      <w:r>
        <w:t xml:space="preserve">deposits; correctly aggregating RCON5597 across the subsidiaries of multi-bank holding</w:t>
      </w:r>
      <w:r>
        <w:t xml:space="preserve"> </w:t>
      </w:r>
      <w:r>
        <w:t xml:space="preserve">companies, read by hand from each subsidiary’s Call Report, would sharpen the key regressor</w:t>
      </w:r>
      <w:r>
        <w:t xml:space="preserve"> </w:t>
      </w:r>
      <w:r>
        <w:t xml:space="preserve">and is the first reserved task. Second, some banks had</w:t>
      </w:r>
      <w:r>
        <w:t xml:space="preserve"> </w:t>
      </w:r>
      <w:r>
        <w:rPr>
          <w:i/>
          <w:iCs/>
        </w:rPr>
        <w:t xml:space="preserve">bank-specific</w:t>
      </w:r>
      <w:r>
        <w:t xml:space="preserve"> </w:t>
      </w:r>
      <w:r>
        <w:t xml:space="preserve">news during</w:t>
      </w:r>
      <w:r>
        <w:t xml:space="preserve"> </w:t>
      </w:r>
      <w:r>
        <w:t xml:space="preserve">March 8–13 (a capital raise, a downgrade, an idiosyncratic deposit-flight report) that could</w:t>
      </w:r>
      <w:r>
        <w:t xml:space="preserve"> </w:t>
      </w:r>
      <w:r>
        <w:t xml:space="preserve">confound the market-model abnormal return; hand-building a news-flag screen and re-running with</w:t>
      </w:r>
      <w:r>
        <w:t xml:space="preserve"> </w:t>
      </w:r>
      <w:r>
        <w:t xml:space="preserve">confounded banks excluded is the second reserved task. Third, the ultimate test of the run</w:t>
      </w:r>
      <w:r>
        <w:t xml:space="preserve"> </w:t>
      </w:r>
      <w:r>
        <w:t xml:space="preserve">hypothesis is whether uninsured exposure predicted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deposit outflows, not only</w:t>
      </w:r>
      <w:r>
        <w:t xml:space="preserve"> </w:t>
      </w:r>
      <w:r>
        <w:t xml:space="preserve">stock reactions; hand-coding actual Q1-2023 deposit runs from 10-Qs and press coverage, as a</w:t>
      </w:r>
      <w:r>
        <w:t xml:space="preserve"> </w:t>
      </w:r>
      <w:r>
        <w:t xml:space="preserve">second outcome, is the third reserved task. Each is a genuine research contribution that turns</w:t>
      </w:r>
      <w:r>
        <w:t xml:space="preserve"> </w:t>
      </w:r>
      <w:r>
        <w:t xml:space="preserve">this observable-data horse race into a sharper, hand-verified test, and each is deliberately</w:t>
      </w:r>
      <w:r>
        <w:t xml:space="preserve"> </w:t>
      </w:r>
      <w:r>
        <w:t xml:space="preserve">left for the student rather than approximated here. Extending the design to the full</w:t>
      </w:r>
      <w:r>
        <w:t xml:space="preserve"> </w:t>
      </w:r>
      <w:r>
        <w:t xml:space="preserve">2022–2023 tightening path is left to future work.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Choi, D., Goldsmith-Pinkham, P., Yorulmazer, T., 2023.</w:t>
      </w:r>
      <w:r>
        <w:t xml:space="preserve"> </w:t>
      </w:r>
      <w:r>
        <w:t xml:space="preserve">Contagion effects of the Silicon Valley Bank run. NBER Working Paper 31772.</w:t>
      </w:r>
      <w:r>
        <w:t xml:space="preserve"> </w:t>
      </w:r>
      <w:r>
        <w:t xml:space="preserve">Cookson, J.A., Fox, C., Gil-Bazo, J., Imbet, J.F.,</w:t>
      </w:r>
      <w:r>
        <w:t xml:space="preserve"> </w:t>
      </w:r>
      <w:r>
        <w:t xml:space="preserve">Schiller, C., 2023. Social media as a bank run catalyst. Working paper.</w:t>
      </w:r>
      <w:r>
        <w:t xml:space="preserve"> </w:t>
      </w:r>
      <w:r>
        <w:t xml:space="preserve">Diamond, D.W., Dybvig, P.H., 1983.</w:t>
      </w:r>
      <w:r>
        <w:t xml:space="preserve"> </w:t>
      </w:r>
      <w:r>
        <w:t xml:space="preserve">Bank runs, deposit insurance, and liquidity. Journal of Political Economy 91, 401–419.</w:t>
      </w:r>
      <w:r>
        <w:t xml:space="preserve"> </w:t>
      </w:r>
      <w:r>
        <w:t xml:space="preserve">Drechsler, I., Savov, A., Schnabl, P., 2021.</w:t>
      </w:r>
      <w:r>
        <w:t xml:space="preserve"> </w:t>
      </w:r>
      <w:r>
        <w:t xml:space="preserve">Banking on deposits: maturity transformation without interest rate risk. Journal of Finance 76, 1091–1143.</w:t>
      </w:r>
      <w:r>
        <w:t xml:space="preserve"> </w:t>
      </w:r>
      <w:r>
        <w:t xml:space="preserve">Drechsler, I., Savov, A., Schnabl, P., Wang, O., 2023.</w:t>
      </w:r>
      <w:r>
        <w:t xml:space="preserve"> </w:t>
      </w:r>
      <w:r>
        <w:t xml:space="preserve">Banking on uninsured deposits. NBER Working Paper 31138.</w:t>
      </w:r>
      <w:r>
        <w:t xml:space="preserve"> </w:t>
      </w:r>
      <w:r>
        <w:t xml:space="preserve">Egan, M., Hortaçsu, A., Matvos, G., 2017.</w:t>
      </w:r>
      <w:r>
        <w:t xml:space="preserve"> </w:t>
      </w:r>
      <w:r>
        <w:t xml:space="preserve">Deposit competition and financial fragility. American Economic Review 107, 169–216.</w:t>
      </w:r>
      <w:r>
        <w:t xml:space="preserve"> </w:t>
      </w:r>
      <w:r>
        <w:t xml:space="preserve">Flannery, M.J., Sorescu, S.M., 1996.</w:t>
      </w:r>
      <w:r>
        <w:t xml:space="preserve"> </w:t>
      </w:r>
      <w:r>
        <w:t xml:space="preserve">Evidence of bank market discipline in subordinated debenture yields. Journal of Finance 51, 1347–1377.</w:t>
      </w:r>
      <w:r>
        <w:t xml:space="preserve"> </w:t>
      </w:r>
      <w:r>
        <w:t xml:space="preserve">Goldstein, I., Pauzner, A., 2005.</w:t>
      </w:r>
      <w:r>
        <w:t xml:space="preserve"> </w:t>
      </w:r>
      <w:r>
        <w:t xml:space="preserve">Demand-deposit contracts and the probability of bank runs. Journal of Finance 60, 1293–1327.</w:t>
      </w:r>
      <w:r>
        <w:t xml:space="preserve"> </w:t>
      </w:r>
      <w:r>
        <w:t xml:space="preserve">Granja, J., 2023. Bank fragility and reclassification of</w:t>
      </w:r>
      <w:r>
        <w:t xml:space="preserve"> </w:t>
      </w:r>
      <w:r>
        <w:t xml:space="preserve">securities into held-to-maturity. Working paper, University of Chicago Booth School of Business.</w:t>
      </w:r>
      <w:r>
        <w:t xml:space="preserve"> </w:t>
      </w:r>
      <w:r>
        <w:t xml:space="preserve">Imbens, G.W., 2004. Nonparametric estimation of average</w:t>
      </w:r>
      <w:r>
        <w:t xml:space="preserve"> </w:t>
      </w:r>
      <w:r>
        <w:t xml:space="preserve">treatment effects under exogeneity: a review. Review of Economics and Statistics 86, 4–29.</w:t>
      </w:r>
      <w:r>
        <w:t xml:space="preserve"> </w:t>
      </w:r>
      <w:r>
        <w:t xml:space="preserve">Jiang, E.X., Matvos, G., Piskorski, T., Seru, A., 2024.</w:t>
      </w:r>
      <w:r>
        <w:t xml:space="preserve"> </w:t>
      </w:r>
      <w:r>
        <w:t xml:space="preserve">Monetary tightening and U.S. bank fragility in 2023: mark-to-market losses and uninsured depositor runs.</w:t>
      </w:r>
      <w:r>
        <w:t xml:space="preserve"> </w:t>
      </w:r>
      <w:r>
        <w:t xml:space="preserve">Journal of Financial Economics 159, 103899.</w:t>
      </w:r>
      <w:r>
        <w:t xml:space="preserve"> </w:t>
      </w:r>
      <w:r>
        <w:t xml:space="preserve">Kolari, J.W., Pynnönen, S., 2010. Event</w:t>
      </w:r>
      <w:r>
        <w:t xml:space="preserve"> </w:t>
      </w:r>
      <w:r>
        <w:t xml:space="preserve">study testing with cross-sectional correlation of abnormal returns. Review of Financial Studies 23, 3996–4025.</w:t>
      </w:r>
      <w:r>
        <w:t xml:space="preserve"> </w:t>
      </w:r>
      <w:r>
        <w:t xml:space="preserve">MacKinlay, A.C., 1997. Event studies in economics and</w:t>
      </w:r>
      <w:r>
        <w:t xml:space="preserve"> </w:t>
      </w:r>
      <w:r>
        <w:t xml:space="preserve">finance. Journal of Economic Literature 35, 13–39.</w:t>
      </w:r>
      <w:r>
        <w:t xml:space="preserve"> </w:t>
      </w:r>
      <w:r>
        <w:t xml:space="preserve">Metrick, A., 2024. The failure of Silicon Valley Bank and</w:t>
      </w:r>
      <w:r>
        <w:t xml:space="preserve"> </w:t>
      </w:r>
      <w:r>
        <w:t xml:space="preserve">the panic of 2023. Journal of Economic Perspectives 38, 133–152.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32" w:name="tab:sumstats"/>
    <w:p>
      <w:pPr>
        <w:pStyle w:val="TableCaption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-0.1559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Uninsured deposits/Assets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unreal. loss/Equity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 unreal. loss/Equity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15.6331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16.2785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17.4665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2022Q4 exposures and SVB-window CARs for 165</w:t>
      </w:r>
      <w:r>
        <w:t xml:space="preserve"> </w:t>
      </w:r>
      <w:r>
        <w:t xml:space="preserve">banks (uninsured ratio available for 157). Ratios from FR Y-9C (consolidated assets, equity,</w:t>
      </w:r>
      <w:r>
        <w:t xml:space="preserve"> </w:t>
      </w:r>
      <w:r>
        <w:t xml:space="preserve">securities) and Call Reports (estimated uninsured deposits RCON5597, lead subsidiary bank).</w:t>
      </w:r>
    </w:p>
    <w:bookmarkStart w:id="33" w:name="tab:corr"/>
    <w:p>
      <w:pPr>
        <w:pStyle w:val="TableCaption"/>
      </w:pPr>
      <w:r>
        <w:t xml:space="preserve">Correlation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relation matrix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Uninsured/Assets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Sec. loss/Eq.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HTM loss/Eq.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Pearson correlations among the primary outcome</w:t>
      </w:r>
      <w:r>
        <w:t xml:space="preserve"> </w:t>
      </w:r>
      <w:r>
        <w:t xml:space="preserve">(CAR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) and the predetermined 2022Q4 exposures. Uninsured exposure and securities losses</w:t>
      </w:r>
      <w:r>
        <w:t xml:space="preserve"> </w:t>
      </w:r>
      <w:r>
        <w:t xml:space="preserve">are only modestly correlated (</w:t>
      </w:r>
      <m:oMath>
        <m:r>
          <m:t>ρ</m:t>
        </m:r>
        <m:r>
          <m:rPr>
            <m:sty m:val="p"/>
          </m:rPr>
          <m:t>=</m:t>
        </m:r>
        <m:r>
          <m:t>0.23</m:t>
        </m:r>
      </m:oMath>
      <w:r>
        <w:t xml:space="preserve">).</w:t>
      </w:r>
    </w:p>
    <w:bookmarkStart w:id="34" w:name="tab:cars"/>
    <w:p>
      <w:pPr>
        <w:pStyle w:val="TableCaption"/>
      </w:pPr>
      <w:r>
        <w:t xml:space="preserve">Cumulative abnormal returns by window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mulative abnormal returns by window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CAR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[-1,+3]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[-6,-2] 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Market-model CARs, day 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2023-03-08,</w:t>
      </w:r>
      <w:r>
        <w:t xml:space="preserve"> </w:t>
      </w:r>
      <w:r>
        <w:t xml:space="preserve">estimation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the CRSP value-weighted index.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a pre-event</w:t>
      </w:r>
      <w:r>
        <w:t xml:space="preserve"> </w:t>
      </w:r>
      <w:r>
        <w:t xml:space="preserve">placebo window.</w:t>
      </w:r>
    </w:p>
    <w:bookmarkStart w:id="35" w:name="tab:main"/>
    <w:p>
      <w:pPr>
        <w:pStyle w:val="TableCaption"/>
      </w:pPr>
      <w:r>
        <w:t xml:space="preserve">Cross-sectional horse race: what explains the collapse?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sectional horse race: what explains the collapse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Uninsured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Sec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Both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+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 No GSIB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 </w:t>
            </w:r>
            <w:r>
              <w:t xml:space="preserve">Uninsured deposits /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-0.0495**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-0.0455***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unreal. loss / Equity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(-1.57)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-0.0241**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-0.0365**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0.209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. Predictors winsorized 1/99</w:t>
      </w:r>
      <w:r>
        <w:t xml:space="preserve"> </w:t>
      </w:r>
      <w:r>
        <w:t xml:space="preserve">and standardized (coefficients are the effect of a one-SD increase, in CAR points).</w:t>
      </w:r>
      <w:r>
        <w:t xml:space="preserve"> </w:t>
      </w:r>
      <w:r>
        <w:t xml:space="preserve">Column (5) excludes the eight U.S. G-SIBs. HC1-robust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matched"/>
    <w:p>
      <w:pPr>
        <w:pStyle w:val="TableCaption"/>
      </w:pPr>
      <w:r>
        <w:t xml:space="preserve">Matching estimator: high- versus low-uninsured banks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ching estimator: high- versus low-uninsured bank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Diff. in CAR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o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difference (all 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78/79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-0.0539**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54/54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difference (placebo)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[-6,-2]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54/54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Covariate balance (std. mean diff., high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i/>
                <w:iCs/>
              </w:rPr>
              <w:t xml:space="preserve">low uninsured):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Pre-match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Post-match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+0.357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loss/Equity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+0.332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 loss/Equity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+0.235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+0.129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High (low)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above (below) the median</w:t>
      </w:r>
      <w:r>
        <w:t xml:space="preserve"> </w:t>
      </w:r>
      <w:r>
        <w:t xml:space="preserve">uninsured-deposit ratio. High-uninsured banks are nearest-neighbor matched 1:1 without</w:t>
      </w:r>
      <w:r>
        <w:t xml:space="preserve"> </w:t>
      </w:r>
      <w:r>
        <w:t xml:space="preserve">replacement to low-uninsured banks on standardized size and securities losses (0.5-SD caliper),</w:t>
      </w:r>
      <w:r>
        <w:t xml:space="preserve"> </w:t>
      </w:r>
      <w:r>
        <w:t xml:space="preserve">yielding 54 pairs.</w:t>
      </w:r>
      <w:r>
        <w:t xml:space="preserve"> </w:t>
      </w:r>
      <w:r>
        <w:t xml:space="preserve">“Diff. in CAR”</w:t>
      </w:r>
      <w:r>
        <w:t xml:space="preserve"> </w:t>
      </w:r>
      <w:r>
        <w:t xml:space="preserve">is the high</w:t>
      </w:r>
      <m:oMath>
        <m:r>
          <m:rPr>
            <m:sty m:val="p"/>
          </m:rPr>
          <m:t>−</m:t>
        </m:r>
      </m:oMath>
      <w:r>
        <w:t xml:space="preserve">low difference in mean CAR; Welch</w:t>
      </w:r>
      <w:r>
        <w:t xml:space="preserve"> </w:t>
      </w:r>
      <m:oMath>
        <m:r>
          <m:t>t</m:t>
        </m:r>
      </m:oMath>
      <w:r>
        <w:t xml:space="preserve">-stat in</w:t>
      </w:r>
      <w:r>
        <w:t xml:space="preserve"> </w:t>
      </w:r>
      <w:r>
        <w:t xml:space="preserve">parentheses. Balance rows report the standardized high</w:t>
      </w:r>
      <m:oMath>
        <m:r>
          <m:rPr>
            <m:sty m:val="p"/>
          </m:rPr>
          <m:t>−</m:t>
        </m:r>
      </m:oMath>
      <w:r>
        <w:t xml:space="preserve">low mean difference on the matching</w:t>
      </w:r>
      <w:r>
        <w:t xml:space="preserve"> </w:t>
      </w:r>
      <w:r>
        <w:t xml:space="preserve">covariates, before and after matching.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7" w:name="tab:ri"/>
    <w:p>
      <w:pPr>
        <w:pStyle w:val="TableCaption"/>
      </w:pPr>
      <w:r>
        <w:t xml:space="preserve">Randomization inference (2</w:t>
      </w:r>
      <w:r>
        <w:t xml:space="preserve">,</w:t>
      </w:r>
      <w:r>
        <w:t xml:space="preserve">000 permutations of exposure)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2,000 permutations of exposure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 (DV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CAR[0,+3])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Uninsured deposits /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[-0.0204, +0.0198]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unreal. loss / 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[-0.0204, +0.0176]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0.0380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exposure is permuted across banks 2</w:t>
      </w:r>
      <w:r>
        <w:t xml:space="preserve">,</w:t>
      </w:r>
      <w:r>
        <w:t xml:space="preserve">000</w:t>
      </w:r>
      <w:r>
        <w:t xml:space="preserve"> </w:t>
      </w:r>
      <w:r>
        <w:t xml:space="preserve">times and equation </w:t>
      </w:r>
      <w:hyperlink w:anchor="eq:xsec">
        <w:r>
          <w:rPr>
            <w:rStyle w:val="Hyperlink"/>
          </w:rPr>
          <w:t xml:space="preserve">[eq:xsec]</w:t>
        </w:r>
      </w:hyperlink>
      <w:r>
        <w:t xml:space="preserve"> </w:t>
      </w:r>
      <w:r>
        <w:t xml:space="preserve">refit (DV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). The permutation 95% interval is</w:t>
      </w:r>
      <w:r>
        <w:t xml:space="preserve"> </w:t>
      </w:r>
      <w:r>
        <w:t xml:space="preserve">the 2.5th–97.5th percentile of the placebo coefficients; the RI</w:t>
      </w:r>
      <w:r>
        <w:t xml:space="preserve"> </w:t>
      </w:r>
      <m:oMath>
        <m:r>
          <m:t>p</m:t>
        </m:r>
      </m:oMath>
      <w:r>
        <w:t xml:space="preserve">-value is the share of</w:t>
      </w:r>
      <w:r>
        <w:t xml:space="preserve"> </w:t>
      </w:r>
      <w:r>
        <w:t xml:space="preserve">permutations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</w:t>
      </w:r>
    </w:p>
    <w:bookmarkStart w:id="38" w:name="tab:placebo"/>
    <w:p>
      <w:pPr>
        <w:pStyle w:val="TableCaption"/>
      </w:pPr>
      <w:r>
        <w:t xml:space="preserve">Placebo-window falsification (DV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pre-event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acebo-window falsification (DV = pre-event CAR[-6,-2]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 (DV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placebo CAR[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Uninsured deposits /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unreal. loss / 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0.015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Equation </w:t>
      </w:r>
      <w:hyperlink w:anchor="eq:xsec">
        <w:r>
          <w:rPr>
            <w:rStyle w:val="Hyperlink"/>
          </w:rPr>
          <w:t xml:space="preserve">[eq:xsec]</w:t>
        </w:r>
      </w:hyperlink>
      <w:r>
        <w:t xml:space="preserve"> </w:t>
      </w:r>
      <w:r>
        <w:t xml:space="preserve">estimated on the</w:t>
      </w:r>
      <w:r>
        <w:t xml:space="preserve"> </w:t>
      </w:r>
      <w:r>
        <w:t xml:space="preserve">pre-event placebo window. Although banks were already falling in this window (mean placebo CAR</w:t>
      </w:r>
      <w:r>
        <w:t xml:space="preserve"> </w:t>
      </w:r>
      <m:oMath>
        <m:r>
          <m:rPr>
            <m:sty m:val="p"/>
          </m:rPr>
          <m:t>−</m:t>
        </m:r>
        <m:r>
          <m:t>2.7</m:t>
        </m:r>
        <m:r>
          <m:rPr>
            <m:sty m:val="p"/>
          </m:rPr>
          <m:t>%</m:t>
        </m:r>
      </m:oMath>
      <w:r>
        <w:t xml:space="preserve">; the Silvergate wind-down was underway), the cross-sectional uninsured gradient is flat.</w:t>
      </w:r>
      <w:r>
        <w:t xml:space="preserve"> </w:t>
      </w:r>
      <w:r>
        <w:t xml:space="preserve">HC1-robust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9" w:name="tab:hetero"/>
    <w:p>
      <w:pPr>
        <w:pStyle w:val="TableCaption"/>
      </w:pPr>
      <w:r>
        <w:t xml:space="preserve">Heterogeneity of the two channels by observable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two channels by observable modera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Run channel (uninsured)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MTM channel (securities)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(2022Q4)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bank (above-median 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-0.0176**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-0.0412*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securities loss (above-median)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-0.0214**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HTM loss (above-median)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-0.0099**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-0.0690**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Thrift holding company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-0.0436***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. Each row is a separate</w:t>
      </w:r>
      <w:r>
        <w:t xml:space="preserve"> </w:t>
      </w:r>
      <w:r>
        <w:t xml:space="preserve">regression interacting both channels with an observable 2022Q4 moderator indicator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(above-median assets; above-median securities loss; above-median HTM loss; thrift holding</w:t>
      </w:r>
      <w:r>
        <w:t xml:space="preserve"> </w:t>
      </w:r>
      <w:r>
        <w:t xml:space="preserve">company).</w:t>
      </w:r>
      <w:r>
        <w:t xml:space="preserve"> </w:t>
      </w:r>
      <w:r>
        <w:t xml:space="preserve">“Base”</w:t>
      </w:r>
      <w:r>
        <w:t xml:space="preserve"> </w:t>
      </w:r>
      <w:r>
        <w:t xml:space="preserve">is the channel coefficient in the low-</w:t>
      </w:r>
      <m:oMath>
        <m:r>
          <m:t>M</m:t>
        </m:r>
      </m:oMath>
      <w:r>
        <w:t xml:space="preserve"> </w:t>
      </w:r>
      <w:r>
        <w:t xml:space="preserve">group;</w:t>
      </w:r>
      <w:r>
        <w:t xml:space="preserve"> </w:t>
      </w:r>
      <w:r>
        <w:t xml:space="preserve">“</w:t>
      </w:r>
      <m:oMath>
        <m:r>
          <m:rPr>
            <m:sty m:val="p"/>
          </m:rPr>
          <m:t>×</m:t>
        </m:r>
        <m:r>
          <m:t>M</m:t>
        </m:r>
      </m:oMath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t xml:space="preserve">additional effect for high-</w:t>
      </w:r>
      <m:oMath>
        <m:r>
          <m:t>M</m:t>
        </m:r>
      </m:oMath>
      <w:r>
        <w:t xml:space="preserve"> </w:t>
      </w:r>
      <w:r>
        <w:t xml:space="preserve">banks. Size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included. HC1-robust inference;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0" w:name="tab:power"/>
    <w:p>
      <w:pPr>
        <w:pStyle w:val="TableCaption"/>
      </w:pPr>
      <w:r>
        <w:t xml:space="preserve">Minimum detectable effects (80% power)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(80% power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CAR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vs. run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Uninsured deposits /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unreal. loss / 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4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From the preferred horse race (Table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r>
        <w:t xml:space="preserve">column 4 without the G-SIB exclusion). MDE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expressed in CAR points, as a percentage of the cross-firm CAR</w:t>
      </w:r>
      <w:r>
        <w:t xml:space="preserve"> </w:t>
      </w:r>
      <w:r>
        <w:t xml:space="preserve">standard deviation, and relative to the estimated run-channel (uninsured) effect.</w:t>
      </w:r>
    </w:p>
    <w:bookmarkStart w:id="41" w:name="tab:robust"/>
    <w:p>
      <w:pPr>
        <w:pStyle w:val="TableCaption"/>
      </w:pPr>
      <w:r>
        <w:t xml:space="preserve">Robustness: HTM-only losses and alternative windows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: HTM-only losses and alternative window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HTM-only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DV=CAR[0,+1]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DV=CAR[-1,+3]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Uninsured / 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-0.0135**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-0.0427***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(-3.13)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loss / Equity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 loss / Equity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-0.0102*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-0.0304**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</w:t>
            </w:r>
          </w:p>
        </w:tc>
      </w:tr>
    </w:tbl>
    <w:bookmarkEnd w:id="4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Predictors winsorized 1/99 and standardized.</w:t>
      </w:r>
      <w:r>
        <w:t xml:space="preserve"> </w:t>
      </w:r>
      <w:r>
        <w:t xml:space="preserve">Column 1 replaces total securities losses with HTM-only losses; columns 2–3 change the</w:t>
      </w:r>
      <w:r>
        <w:t xml:space="preserve"> </w:t>
      </w:r>
      <w:r>
        <w:t xml:space="preserve">dependent-variable window. HC1-robust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5" w:name="fig:bin"/>
    <w:p>
      <w:pPr>
        <w:pStyle w:val="CaptionedFigure"/>
      </w:pPr>
      <w:r>
        <w:drawing>
          <wp:inline>
            <wp:extent cx="4160520" cy="288251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1_uninsured_binscatter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SVB-window CAR versus 2022Q4 uninsured-deposit exposure. Gray points are banks;</w:t>
      </w:r>
      <w:r>
        <w:t xml:space="preserve"> </w:t>
      </w:r>
      <w:r>
        <w:t xml:space="preserve">red points are decile means; the line is the OLS fit.</w:t>
      </w:r>
    </w:p>
    <w:bookmarkEnd w:id="45"/>
    <w:bookmarkStart w:id="49" w:name="fig:quart"/>
    <w:p>
      <w:pPr>
        <w:pStyle w:val="CaptionedFigure"/>
      </w:pPr>
      <w:r>
        <w:drawing>
          <wp:inline>
            <wp:extent cx="3627120" cy="259208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2_uninsured_quartiles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59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SVB-window CAR by uninsured-deposit quartile. Higher uninsured exposure maps</w:t>
      </w:r>
      <w:r>
        <w:t xml:space="preserve"> </w:t>
      </w:r>
      <w:r>
        <w:t xml:space="preserve">monotonically into a larger equity loss.</w:t>
      </w:r>
    </w:p>
    <w:bookmarkEnd w:id="49"/>
    <w:bookmarkStart w:id="53" w:name="fig:ri"/>
    <w:p>
      <w:pPr>
        <w:pStyle w:val="CaptionedFigure"/>
      </w:pPr>
      <w:r>
        <w:drawing>
          <wp:inline>
            <wp:extent cx="4267200" cy="255693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3_randinf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 for the run (uninsured) channel. Histogram of the placebo</w:t>
      </w:r>
      <w:r>
        <w:t xml:space="preserve"> </w:t>
      </w:r>
      <w:r>
        <w:t xml:space="preserve">uninsured coefficient under 2</w:t>
      </w:r>
      <w:r>
        <w:t xml:space="preserve">,</w:t>
      </w:r>
      <w:r>
        <w:t xml:space="preserve">000 permutations of exposure across banks; the vertical line</w:t>
      </w:r>
      <w:r>
        <w:t xml:space="preserve"> </w:t>
      </w:r>
      <w:r>
        <w:t xml:space="preserve">is the actual coefficient, which lies far outside the permutation distribution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Zhang: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data are from WRDS (CRSP daily stock and index files;</w:t>
      </w:r>
      <w:r>
        <w:t xml:space="preserve"> </w:t>
      </w:r>
      <w:r>
        <w:t xml:space="preserve">the FR Y-9C consolidated holding-company and Call Report bank-regulatory libraries); every</w:t>
      </w:r>
      <w:r>
        <w:t xml:space="preserve"> </w:t>
      </w:r>
      <w:r>
        <w:t xml:space="preserve">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 the ASSIP 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df" /><Relationship Type="http://schemas.openxmlformats.org/officeDocument/2006/relationships/image" Id="rId46" Target="media/rId46.pdf" /><Relationship Type="http://schemas.openxmlformats.org/officeDocument/2006/relationships/image" Id="rId50" Target="media/rId50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Cracked a Bank in March 2023? Uninsured Deposits versus Hidden Bond Losses in the SVB Window</dc:title>
  <dc:creator>Aaron Lu Zhang; Lei Gao</dc:creator>
  <cp:keywords/>
  <dcterms:created xsi:type="dcterms:W3CDTF">2026-07-25T07:11:25Z</dcterms:created>
  <dcterms:modified xsi:type="dcterms:W3CDTF">2026-07-25T07:11:25Z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When Silicon Valley Bank collapsed in March 2023, two narratives competed: that banks failed because of unrealized losses on long-duration securities, and that they failed because uninsured depositors ran. We separate the two in the cross-section of bank equity returns. Using 165 publicly-traded U.S. banks, we compute market-model cumulative abnormal returns (CARs) over the SVB window (March 8–13, 2023) and relate them to two predetermined 2022Q4 balance-sheet exposures built from bank-regulatory filings: the ratio of estimated uninsured deposits to assets, and unrealized securities losses scaled by equity. The average bank lost 14.1% over the window (t=-13.7). In the cross-section, a one-standard-deviation increase in the uninsured-deposit ratio is associated with a 4.2-percentage-point larger equity loss (t=-3.05), robust to controlling for size and to excluding the eight U.S. global systemically important banks. The run channel survives every design we throw at it: a covariate-balanced matching estimator (-5.4pp, t=-2.43), randomization inference on 2,000 permutations of exposure (p&lt;0.001), and a clean pre-event placebo window in which the uninsured gradient is flat (t=-0.37) even though banks were already falling together. The securities-loss (mark-to-market) channel is, by contrast, fragile: it is insignificant under conventional robust inference in the horse race (t=-1.16), only marginal under randomization inference (p=0.04), and about half the magnitude of the run channel. A minimum-detectable-effect analysis shows the design is well-powered for the run channel and can bound—though not sharply pin down—the smaller mark-to-market channel. The market priced run risk far more than mark-to-market risk. Three hand-collected refinements—correctly aggregated multi-bank uninsured deposits, a bank-specific-news confound screen, and realized deposit outflows as a second outcome—are reserved as the companion student contribution. JEL: G21, G14, G01, E58. Keywords: bank runs, uninsured deposits, unrealized losses, SVB, event study, randomization inference, statistical power.</vt:lpwstr>
  </property>
  <property fmtid="{D5CDD505-2E9C-101B-9397-08002B2CF9AE}" pid="3" name="date">
    <vt:lpwstr>July 2026</vt:lpwstr>
  </property>
</Properties>
</file>