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df" ContentType="application/pdf"/>
  <Override PartName="/word/media/rId60.pdf" ContentType="application/pdf"/>
  <Override PartName="/word/media/rId64.pdf" ContentType="application/pdf"/>
  <Override PartName="/word/media/rId6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Did the 2025 Half-Cent Tick and Access-Fee Cut Tighten Spreads?</w:t>
      </w:r>
      <w:r>
        <w:br/>
      </w:r>
      <w:r>
        <w:rPr>
          <w:b/>
          <w:bCs/>
        </w:rPr>
        <w:t xml:space="preserve">A Daily-Data Difference-in-Differences, and Why It Cannot Yet Answer the Question</w:t>
      </w:r>
    </w:p>
    <w:p>
      <w:pPr>
        <w:pStyle w:val="Author"/>
      </w:pPr>
      <w:r>
        <w:t xml:space="preserve">Kushal Borra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On November 3, 2025, the SEC’s amendments to Regulation NMS took effect: a</w:t>
      </w:r>
      <w:r>
        <w:t xml:space="preserve"> </w:t>
      </w:r>
      <w:r>
        <w:t xml:space="preserve">$0.005 (</w:t>
      </w:r>
      <w:r>
        <w:t xml:space="preserve">“half-cent”</w:t>
      </w:r>
      <w:r>
        <w:t xml:space="preserve">) minimum pricing increment for tick-constrained NMS stocks and a</w:t>
      </w:r>
      <w:r>
        <w:t xml:space="preserve"> </w:t>
      </w:r>
      <w:r>
        <w:t xml:space="preserve">cut in the Rule 610 access-fee cap from $0.0030 to $0.0010 per share. We ask whether</w:t>
      </w:r>
      <w:r>
        <w:t xml:space="preserve"> </w:t>
      </w:r>
      <w:r>
        <w:t xml:space="preserve">tick-constrained (treated) stocks’ quoted spreads narrowed relative to wide-spread</w:t>
      </w:r>
      <w:r>
        <w:t xml:space="preserve"> </w:t>
      </w:r>
      <w:r>
        <w:t xml:space="preserve">(control) stocks. Because WRDS TAQ intraday NBBO is not available on our account, we use</w:t>
      </w:r>
      <w:r>
        <w:t xml:space="preserve"> </w:t>
      </w:r>
      <w:r>
        <w:t xml:space="preserve">the brief’s sanctioned fallback—the CRSP daily</w:t>
      </w:r>
      <w:r>
        <w:t xml:space="preserve"> </w:t>
      </w:r>
      <w:r>
        <w:rPr>
          <w:i/>
          <w:iCs/>
        </w:rPr>
        <w:t xml:space="preserve">closing</w:t>
      </w:r>
      <w:r>
        <w:t xml:space="preserve"> </w:t>
      </w:r>
      <w:r>
        <w:t xml:space="preserve">consolidated NBBO</w:t>
      </w:r>
      <w:r>
        <w:t xml:space="preserve"> </w:t>
      </w:r>
      <w:r>
        <w:t xml:space="preserve">(a Chung–Zhang-style daily spread proxy)—for 150 NMS common stocks (75 tick-constrained,</w:t>
      </w:r>
      <w:r>
        <w:t xml:space="preserve"> </w:t>
      </w:r>
      <w:r>
        <w:t xml:space="preserve">75 wide) over four weeks before and after the compliance date (5</w:t>
      </w:r>
      <w:r>
        <w:t xml:space="preserve">,</w:t>
      </w:r>
      <w:r>
        <w:t xml:space="preserve">820 stock-days). The</w:t>
      </w:r>
      <w:r>
        <w:t xml:space="preserve"> </w:t>
      </w:r>
      <w:r>
        <w:t xml:space="preserve">difference-in-differences (DiD) estimate for the relative quoted spread is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 </w:t>
      </w:r>
      <w:r>
        <w:t xml:space="preserve">basis</w:t>
      </w:r>
      <w:r>
        <w:t xml:space="preserve"> </w:t>
      </w:r>
      <w:r>
        <w:t xml:space="preserve">points (</w:t>
      </w:r>
      <m:oMath>
        <m:r>
          <m:t>t</m:t>
        </m:r>
        <m:r>
          <m:rPr>
            <m:sty m:val="p"/>
          </m:rPr>
          <m:t>=</m:t>
        </m:r>
        <m:r>
          <m:t>4.2</m:t>
        </m:r>
      </m:oMath>
      <w:r>
        <w:t xml:space="preserve">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2.9</m:t>
        </m:r>
      </m:oMath>
      <w:r>
        <w:t xml:space="preserve"> </w:t>
      </w:r>
      <w:r>
        <w:t xml:space="preserve">double-clustered)—the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sign, driven entirely by</w:t>
      </w:r>
      <w:r>
        <w:t xml:space="preserve"> </w:t>
      </w:r>
      <w:r>
        <w:t xml:space="preserve">wide-spread controls narrowing more than treated names. We do not interpret this as a</w:t>
      </w:r>
      <w:r>
        <w:t xml:space="preserve"> </w:t>
      </w:r>
      <w:r>
        <w:t xml:space="preserve">treatment effect, because the design fails its own identifying checks: a placebo</w:t>
      </w:r>
      <w:r>
        <w:t xml:space="preserve"> </w:t>
      </w:r>
      <w:r>
        <w:t xml:space="preserve">“event”</w:t>
      </w:r>
      <w:r>
        <w:t xml:space="preserve"> </w:t>
      </w:r>
      <w:r>
        <w:t xml:space="preserve">inside the pre-period is large and significant (</w:t>
      </w:r>
      <m:oMath>
        <m:r>
          <m:rPr>
            <m:sty m:val="p"/>
          </m:rPr>
          <m:t>−</m:t>
        </m:r>
        <m:r>
          <m:t>0.77</m:t>
        </m:r>
      </m:oMath>
      <w:r>
        <w:t xml:space="preserve"> bps,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</m:t>
        </m:r>
      </m:oMath>
      <w:r>
        <w:t xml:space="preserve">) and the</w:t>
      </w:r>
      <w:r>
        <w:t xml:space="preserve"> </w:t>
      </w:r>
      <w:r>
        <w:t xml:space="preserve">event-study shows non-parallel pre-trends. More fundamentally, the daily close is</w:t>
      </w:r>
      <w:r>
        <w:t xml:space="preserve"> </w:t>
      </w:r>
      <w:r>
        <w:rPr>
          <w:i/>
          <w:iCs/>
        </w:rPr>
        <w:t xml:space="preserve">censored to the penny grid</w:t>
      </w:r>
      <w:r>
        <w:t xml:space="preserve"> </w:t>
      </w:r>
      <w:r>
        <w:t xml:space="preserve">for exactly the stocks the reform targets:</w:t>
      </w:r>
      <w:r>
        <w:t xml:space="preserve"> </w:t>
      </w:r>
      <w:r>
        <w:rPr>
          <w:b/>
          <w:bCs/>
        </w:rPr>
        <w:t xml:space="preserve">0.0%</w:t>
      </w:r>
      <w:r>
        <w:t xml:space="preserve"> </w:t>
      </w:r>
      <w:r>
        <w:t xml:space="preserve">of treated stock-days show a sub-penny closing spread either before or</w:t>
      </w:r>
      <w:r>
        <w:t xml:space="preserve"> </w:t>
      </w:r>
      <w:r>
        <w:t xml:space="preserve">after the reform, and the share pinned at exactly $0.01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from 81% to 89%.</w:t>
      </w:r>
      <w:r>
        <w:t xml:space="preserve"> </w:t>
      </w:r>
      <w:r>
        <w:t xml:space="preserve">Both treated and control dollar spreads fell from October to November (treated</w:t>
      </w:r>
      <w:r>
        <w:t xml:space="preserve"> </w:t>
      </w:r>
      <m:oMath>
        <m:r>
          <m:rPr>
            <m:sty m:val="p"/>
          </m:rPr>
          <m:t>−</m:t>
        </m:r>
        <m:r>
          <m:t>10.7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control</w:t>
      </w:r>
      <w:r>
        <w:t xml:space="preserve"> </w:t>
      </w:r>
      <m:oMath>
        <m:r>
          <m:rPr>
            <m:sty m:val="p"/>
          </m:rPr>
          <m:t>−</m:t>
        </m:r>
        <m:r>
          <m:t>22.6</m:t>
        </m:r>
        <m:r>
          <m:rPr>
            <m:sty m:val="p"/>
          </m:rPr>
          <m:t>%</m:t>
        </m:r>
      </m:oMath>
      <w:r>
        <w:t xml:space="preserve">; both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a market-wide move the daily design cannot separate</w:t>
      </w:r>
      <w:r>
        <w:t xml:space="preserve"> </w:t>
      </w:r>
      <w:r>
        <w:t xml:space="preserve">from the reform. Four extensions turn this from</w:t>
      </w:r>
      <w:r>
        <w:t xml:space="preserve"> </w:t>
      </w:r>
      <w:r>
        <w:t xml:space="preserve">“we found nothing”</w:t>
      </w:r>
      <w:r>
        <w:t xml:space="preserve"> </w:t>
      </w:r>
      <w:r>
        <w:t xml:space="preserve">into an informative,</w:t>
      </w:r>
      <w:r>
        <w:t xml:space="preserve"> </w:t>
      </w:r>
      <w:r>
        <w:t xml:space="preserve">design-based null.</w:t>
      </w:r>
      <w:r>
        <w:t xml:space="preserve"> </w:t>
      </w:r>
      <w:r>
        <w:rPr>
          <w:i/>
          <w:iCs/>
        </w:rPr>
        <w:t xml:space="preserve">Heterogeneity:</w:t>
      </w:r>
      <w:r>
        <w:t xml:space="preserve"> </w:t>
      </w:r>
      <w:r>
        <w:t xml:space="preserve">no observable subgroup (by volatility, volume,</w:t>
      </w:r>
      <w:r>
        <w:t xml:space="preserve"> </w:t>
      </w:r>
      <w:r>
        <w:t xml:space="preserve">listing venue, or industry) shows the predicted narrowing—the wrong sign is uniform.</w:t>
      </w:r>
      <w:r>
        <w:t xml:space="preserve"> </w:t>
      </w:r>
      <w:r>
        <w:rPr>
          <w:i/>
          <w:iCs/>
        </w:rPr>
        <w:t xml:space="preserve">Overlap:</w:t>
      </w:r>
      <w:r>
        <w:t xml:space="preserve"> </w:t>
      </w:r>
      <w:r>
        <w:t xml:space="preserve">treated and control stocks are balanced on volatility and relative spread</w:t>
      </w:r>
      <w:r>
        <w:t xml:space="preserve"> </w:t>
      </w:r>
      <w:r>
        <w:t xml:space="preserve">but differ by a normalized</w:t>
      </w:r>
      <w:r>
        <w:t xml:space="preserve"> </w:t>
      </w:r>
      <m:oMath>
        <m:r>
          <m:t>2.4</m:t>
        </m:r>
      </m:oMath>
      <w:r>
        <w:t xml:space="preserve"> </w:t>
      </w:r>
      <w:r>
        <w:t xml:space="preserve">standard deviations in log price and</w:t>
      </w:r>
      <w:r>
        <w:t xml:space="preserve"> </w:t>
      </w:r>
      <m:oMath>
        <m:r>
          <m:t>1.1</m:t>
        </m:r>
      </m:oMath>
      <w:r>
        <w:t xml:space="preserve"> </w:t>
      </w:r>
      <w:r>
        <w:t xml:space="preserve">in log volume,</w:t>
      </w:r>
      <w:r>
        <w:t xml:space="preserve"> </w:t>
      </w:r>
      <w:r>
        <w:t xml:space="preserve">so the wide-spread controls are not a counterfactual—motivating a price-matched control.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(500 permutations of treatment) places the actual estimate</w:t>
      </w:r>
      <w:r>
        <w:t xml:space="preserve"> </w:t>
      </w:r>
      <w:r>
        <w:t xml:space="preserve">far outside the permutation distribution (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), confirming it reflects the systematic</w:t>
      </w:r>
      <w:r>
        <w:t xml:space="preserve"> </w:t>
      </w:r>
      <w:r>
        <w:t xml:space="preserve">price/liquidity structure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stocks are treated, not the reform.</w:t>
      </w:r>
      <w:r>
        <w:t xml:space="preserve"> </w:t>
      </w:r>
      <w:r>
        <w:rPr>
          <w:i/>
          <w:iCs/>
        </w:rPr>
        <w:t xml:space="preserve">Power:</w:t>
      </w:r>
      <w:r>
        <w:t xml:space="preserve"> </w:t>
      </w:r>
      <w:r>
        <w:t xml:space="preserve">at 80% power the design detects a</w:t>
      </w:r>
      <w:r>
        <w:t xml:space="preserve"> </w:t>
      </w:r>
      <m:oMath>
        <m:r>
          <m:t>0.49</m:t>
        </m:r>
      </m:oMath>
      <w:r>
        <w:t xml:space="preserve"> bps narrowing, below the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1.0</m:t>
        </m:r>
      </m:oMath>
      <w:r>
        <w:t xml:space="preserve"> bps a</w:t>
      </w:r>
      <w:r>
        <w:t xml:space="preserve"> </w:t>
      </w:r>
      <w:r>
        <w:t xml:space="preserve">half-cent move would produce at the median treated price—so the effect would be</w:t>
      </w:r>
      <w:r>
        <w:t xml:space="preserve"> </w:t>
      </w:r>
      <w:r>
        <w:t xml:space="preserve">detectable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daily close could take half-cent values, which the censoring table</w:t>
      </w:r>
      <w:r>
        <w:t xml:space="preserve"> </w:t>
      </w:r>
      <w:r>
        <w:t xml:space="preserve">shows it never does. We report a transparent, measurement-limited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and specify</w:t>
      </w:r>
      <w:r>
        <w:t xml:space="preserve"> </w:t>
      </w:r>
      <w:r>
        <w:t xml:space="preserve">the TAQ intraday test required to answer the question.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G14, G18, G12, G28.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tick size, minimum pricing increment, access fees, bid–ask spread,</w:t>
      </w:r>
      <w:r>
        <w:t xml:space="preserve"> </w:t>
      </w:r>
      <w:r>
        <w:t xml:space="preserve">Regulation NMS, difference-in-differences, randomization inference, statistical power,</w:t>
      </w:r>
      <w:r>
        <w:t xml:space="preserve"> </w:t>
      </w:r>
      <w:r>
        <w:t xml:space="preserve">market microstructure.</w:t>
      </w:r>
    </w:p>
    <w:bookmarkStart w:id="15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size of the</w:t>
      </w:r>
      <w:r>
        <w:t xml:space="preserve"> </w:t>
      </w:r>
      <w:r>
        <w:t xml:space="preserve">“tick”</w:t>
      </w:r>
      <w:r>
        <w:t xml:space="preserve">—the minimum increment in which securities may be quoted—is one</w:t>
      </w:r>
      <w:r>
        <w:t xml:space="preserve"> </w:t>
      </w:r>
      <w:r>
        <w:t xml:space="preserve">of the oldest and most consequential design parameters of an equity market. Since</w:t>
      </w:r>
      <w:r>
        <w:t xml:space="preserve"> </w:t>
      </w:r>
      <w:r>
        <w:t xml:space="preserve">decimalization in 2001, U.S. NMS stocks priced at or above $1 have quoted in whole</w:t>
      </w:r>
      <w:r>
        <w:t xml:space="preserve"> </w:t>
      </w:r>
      <w:r>
        <w:t xml:space="preserve">pennies. For actively traded, lower-priced stocks the penny is often</w:t>
      </w:r>
      <w:r>
        <w:t xml:space="preserve"> </w:t>
      </w:r>
      <w:r>
        <w:rPr>
          <w:i/>
          <w:iCs/>
        </w:rPr>
        <w:t xml:space="preserve">binding</w:t>
      </w:r>
      <w:r>
        <w:t xml:space="preserve">: the</w:t>
      </w:r>
      <w:r>
        <w:t xml:space="preserve"> </w:t>
      </w:r>
      <w:r>
        <w:t xml:space="preserve">quoted bid–ask spread sits at exactly $0.01 for most of the day because market makers</w:t>
      </w:r>
      <w:r>
        <w:t xml:space="preserve"> </w:t>
      </w:r>
      <w:r>
        <w:t xml:space="preserve">would quote tighter if the rules let them</w:t>
      </w:r>
      <w:r>
        <w:t xml:space="preserve"> </w:t>
      </w:r>
      <w:r>
        <w:t xml:space="preserve">. These stocks are</w:t>
      </w:r>
      <w:r>
        <w:t xml:space="preserve"> </w:t>
      </w:r>
      <w:r>
        <w:t xml:space="preserve">called</w:t>
      </w:r>
      <w:r>
        <w:t xml:space="preserve"> </w:t>
      </w:r>
      <w:r>
        <w:rPr>
          <w:i/>
          <w:iCs/>
        </w:rPr>
        <w:t xml:space="preserve">tick-constrained</w:t>
      </w:r>
      <w:r>
        <w:t xml:space="preserve">. On September 18, 2024 the Securities and Exchange</w:t>
      </w:r>
      <w:r>
        <w:t xml:space="preserve"> </w:t>
      </w:r>
      <w:r>
        <w:t xml:space="preserve">Commission adopted amendments to Regulation NMS that, effective November 3, 2025, create a</w:t>
      </w:r>
      <w:r>
        <w:t xml:space="preserve"> </w:t>
      </w:r>
      <w:r>
        <w:rPr>
          <w:i/>
          <w:iCs/>
        </w:rPr>
        <w:t xml:space="preserve">variable</w:t>
      </w:r>
      <w:r>
        <w:t xml:space="preserve"> </w:t>
      </w:r>
      <w:r>
        <w:t xml:space="preserve">minimum increment: NMS stocks whose time-weighted average quoted spread</w:t>
      </w:r>
      <w:r>
        <w:t xml:space="preserve"> </w:t>
      </w:r>
      <w:r>
        <w:t xml:space="preserve">falls at or below $0.015 may quote in $0.005 half-cents, while all other stocks remain on</w:t>
      </w:r>
      <w:r>
        <w:t xml:space="preserve"> </w:t>
      </w:r>
      <w:r>
        <w:t xml:space="preserve">the penny</w:t>
      </w:r>
      <w:r>
        <w:t xml:space="preserve"> </w:t>
      </w:r>
      <w:r>
        <w:t xml:space="preserve">. The same rulemaking cut the Rule 610 access-fee cap from</w:t>
      </w:r>
      <w:r>
        <w:t xml:space="preserve"> </w:t>
      </w:r>
      <w:r>
        <w:t xml:space="preserve">$0.0030 to $0.0010 per share. The stated goal is tighter spreads and lower trading costs</w:t>
      </w:r>
      <w:r>
        <w:t xml:space="preserve"> </w:t>
      </w:r>
      <w:r>
        <w:t xml:space="preserve">for tick-constrained stocks.</w:t>
      </w:r>
    </w:p>
    <w:p>
      <w:pPr>
        <w:pStyle w:val="BodyText"/>
      </w:pPr>
      <w:r>
        <w:t xml:space="preserve">This paper asks the natural first question:</w:t>
      </w:r>
      <w:r>
        <w:t xml:space="preserve"> </w:t>
      </w:r>
      <w:r>
        <w:rPr>
          <w:i/>
          <w:iCs/>
        </w:rPr>
        <w:t xml:space="preserve">did quoted spreads actually narrow for</w:t>
      </w:r>
      <w:r>
        <w:rPr>
          <w:i/>
          <w:iCs/>
        </w:rPr>
        <w:t xml:space="preserve"> </w:t>
      </w:r>
      <w:r>
        <w:rPr>
          <w:i/>
          <w:iCs/>
        </w:rPr>
        <w:t xml:space="preserve">tick-constrained stocks after November 3, 2025, relative to stocks the reform did not</w:t>
      </w:r>
      <w:r>
        <w:rPr>
          <w:i/>
          <w:iCs/>
        </w:rPr>
        <w:t xml:space="preserve"> </w:t>
      </w:r>
      <w:r>
        <w:rPr>
          <w:i/>
          <w:iCs/>
        </w:rPr>
        <w:t xml:space="preserve">bind?</w:t>
      </w:r>
      <w:r>
        <w:t xml:space="preserve"> </w:t>
      </w:r>
      <w:r>
        <w:t xml:space="preserve">We set up a difference-in-differences (DiD) comparison of 150 NMS common stocks—75</w:t>
      </w:r>
      <w:r>
        <w:t xml:space="preserve"> </w:t>
      </w:r>
      <w:r>
        <w:t xml:space="preserve">tick-constrained (treated) and 75 wide-spread (control)—over the four weeks either side of</w:t>
      </w:r>
      <w:r>
        <w:t xml:space="preserve"> </w:t>
      </w:r>
      <w:r>
        <w:t xml:space="preserve">the compliance date. Our headline is not the answer we hoped to give, and the value of the</w:t>
      </w:r>
      <w:r>
        <w:t xml:space="preserve"> </w:t>
      </w:r>
      <w:r>
        <w:t xml:space="preserve">paper is in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honestly rather than manufacturing a result.</w:t>
      </w:r>
    </w:p>
    <w:bookmarkStart w:id="11" w:name="preview-of-results."/>
    <w:p>
      <w:pPr>
        <w:pStyle w:val="Heading4"/>
      </w:pPr>
      <w:r>
        <w:t xml:space="preserve">Preview of results.</w:t>
      </w:r>
    </w:p>
    <w:p>
      <w:pPr>
        <w:pStyle w:val="FirstParagraph"/>
      </w:pPr>
      <w:r>
        <w:t xml:space="preserve">First, the DiD point estimate for the relative quoted</w:t>
      </w:r>
      <w:r>
        <w:t xml:space="preserve"> </w:t>
      </w:r>
      <w:r>
        <w:t xml:space="preserve">spread is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 </w:t>
      </w:r>
      <w:r>
        <w:t xml:space="preserve">basis points (bps), statistically significant (</w:t>
      </w:r>
      <m:oMath>
        <m:r>
          <m:t>t</m:t>
        </m:r>
        <m:r>
          <m:rPr>
            <m:sty m:val="p"/>
          </m:rPr>
          <m:t>=</m:t>
        </m:r>
        <m:r>
          <m:t>4.2</m:t>
        </m:r>
      </m:oMath>
      <w:r>
        <w:t xml:space="preserve"> </w:t>
      </w:r>
      <w:r>
        <w:t xml:space="preserve">clustered by</w:t>
      </w:r>
      <w:r>
        <w:t xml:space="preserve"> </w:t>
      </w:r>
      <w:r>
        <w:t xml:space="preserve">stock;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2.9</m:t>
        </m:r>
      </m:oMath>
      <w:r>
        <w:t xml:space="preserve"> </w:t>
      </w:r>
      <w:r>
        <w:t xml:space="preserve">double-clustered by stock and day), and stable across specifications with</w:t>
      </w:r>
      <w:r>
        <w:t xml:space="preserve"> </w:t>
      </w:r>
      <w:r>
        <w:t xml:space="preserve">stock and day fixed effects and price/volume controls (Table </w:t>
      </w:r>
      <w:hyperlink w:anchor="tab:did_main">
        <w:r>
          <w:rPr>
            <w:rStyle w:val="Hyperlink"/>
          </w:rPr>
          <w:t xml:space="preserve">3</w:t>
        </w:r>
      </w:hyperlink>
      <w:r>
        <w:t xml:space="preserve">). The</w:t>
      </w:r>
      <w:r>
        <w:t xml:space="preserve"> </w:t>
      </w:r>
      <w:r>
        <w:t xml:space="preserve">positive sign means treated stocks’ spreads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narrow relative to controls—if</w:t>
      </w:r>
      <w:r>
        <w:t xml:space="preserve"> </w:t>
      </w:r>
      <w:r>
        <w:t xml:space="preserve">anything they widened in relative terms. Second, and decisively, this DiD does not identify</w:t>
      </w:r>
      <w:r>
        <w:t xml:space="preserve"> </w:t>
      </w:r>
      <w:r>
        <w:t xml:space="preserve">a causal effect: a placebo test that assigns a fake</w:t>
      </w:r>
      <w:r>
        <w:t xml:space="preserve"> </w:t>
      </w:r>
      <w:r>
        <w:t xml:space="preserve">“event”</w:t>
      </w:r>
      <w:r>
        <w:t xml:space="preserve"> </w:t>
      </w:r>
      <w:r>
        <w:t xml:space="preserve">inside the pre-period yields a</w:t>
      </w:r>
      <w:r>
        <w:t xml:space="preserve"> </w:t>
      </w:r>
      <w:r>
        <w:t xml:space="preserve">large, significant coefficient of</w:t>
      </w:r>
      <w:r>
        <w:t xml:space="preserve"> </w:t>
      </w:r>
      <m:oMath>
        <m:r>
          <m:rPr>
            <m:sty m:val="p"/>
          </m:rPr>
          <m:t>−</m:t>
        </m:r>
        <m:r>
          <m:t>0.77</m:t>
        </m:r>
      </m:oMath>
      <w:r>
        <w:t xml:space="preserve"> bps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</m:t>
        </m:r>
      </m:oMath>
      <w:r>
        <w:t xml:space="preserve">; Table </w:t>
      </w:r>
      <w:hyperlink w:anchor="tab:placebo">
        <w:r>
          <w:rPr>
            <w:rStyle w:val="Hyperlink"/>
          </w:rPr>
          <w:t xml:space="preserve">6</w:t>
        </w:r>
      </w:hyperlink>
      <w:r>
        <w:t xml:space="preserve">), and the</w:t>
      </w:r>
      <w:r>
        <w:t xml:space="preserve"> </w:t>
      </w:r>
      <w:r>
        <w:t xml:space="preserve">event-study (Figure </w:t>
      </w:r>
      <w:hyperlink w:anchor="fig:eventstudy">
        <w:r>
          <w:rPr>
            <w:rStyle w:val="Hyperlink"/>
          </w:rPr>
          <w:t xml:space="preserve">2</w:t>
        </w:r>
      </w:hyperlink>
      <w:r>
        <w:t xml:space="preserve">) shows the treated–control gap wandering</w:t>
      </w:r>
      <w:r>
        <w:t xml:space="preserve"> </w:t>
      </w:r>
      <w:r>
        <w:t xml:space="preserve">significantly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November 3. The parallel-trends assumption fails, so the DiD is</w:t>
      </w:r>
      <w:r>
        <w:t xml:space="preserve"> </w:t>
      </w:r>
      <w:r>
        <w:t xml:space="preserve">uninformative about causation. Third, we trace the failure to two forces. (i) The control</w:t>
      </w:r>
      <w:r>
        <w:t xml:space="preserve"> </w:t>
      </w:r>
      <w:r>
        <w:t xml:space="preserve">group (high-priced mega-caps, median price $262) is not a valid counterfactual for</w:t>
      </w:r>
      <w:r>
        <w:t xml:space="preserve"> </w:t>
      </w:r>
      <w:r>
        <w:t xml:space="preserve">treated stocks (median price $44): their prices and spreads move on different macro betas.</w:t>
      </w:r>
      <w:r>
        <w:t xml:space="preserve"> </w:t>
      </w:r>
      <w:r>
        <w:t xml:space="preserve">(ii) More fundamentally, the daily</w:t>
      </w:r>
      <w:r>
        <w:t xml:space="preserve"> </w:t>
      </w:r>
      <w:r>
        <w:rPr>
          <w:i/>
          <w:iCs/>
        </w:rPr>
        <w:t xml:space="preserve">closing</w:t>
      </w:r>
      <w:r>
        <w:t xml:space="preserve"> </w:t>
      </w:r>
      <w:r>
        <w:t xml:space="preserve">quote is censored to the penny grid for</w:t>
      </w:r>
      <w:r>
        <w:t xml:space="preserve"> </w:t>
      </w:r>
      <w:r>
        <w:t xml:space="preserve">the treated stocks:</w:t>
      </w:r>
      <w:r>
        <w:t xml:space="preserve"> </w:t>
      </w:r>
      <w:r>
        <w:rPr>
          <w:b/>
          <w:bCs/>
        </w:rPr>
        <w:t xml:space="preserve">0.0%</w:t>
      </w:r>
      <w:r>
        <w:t xml:space="preserve"> </w:t>
      </w:r>
      <w:r>
        <w:t xml:space="preserve">of treated stock-days show a sub-penny closing spread</w:t>
      </w:r>
      <w:r>
        <w:t xml:space="preserve"> </w:t>
      </w:r>
      <w:r>
        <w:t xml:space="preserve">either before or after the reform (Table </w:t>
      </w:r>
      <w:hyperlink w:anchor="tab:censoring">
        <w:r>
          <w:rPr>
            <w:rStyle w:val="Hyperlink"/>
          </w:rPr>
          <w:t xml:space="preserve">8</w:t>
        </w:r>
      </w:hyperlink>
      <w:r>
        <w:t xml:space="preserve">, Figure </w:t>
      </w:r>
      <w:hyperlink w:anchor="fig:censoring">
        <w:r>
          <w:rPr>
            <w:rStyle w:val="Hyperlink"/>
          </w:rPr>
          <w:t xml:space="preserve">3</w:t>
        </w:r>
      </w:hyperlink>
      <w:r>
        <w:t xml:space="preserve">),</w:t>
      </w:r>
      <w:r>
        <w:t xml:space="preserve"> </w:t>
      </w:r>
      <w:r>
        <w:t xml:space="preserve">and the share pinned at exactly one cent actually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from 81.3% to 89.1%. The</w:t>
      </w:r>
      <w:r>
        <w:t xml:space="preserve"> </w:t>
      </w:r>
      <w:r>
        <w:t xml:space="preserve">half-cent margin on which the rule operates is an</w:t>
      </w:r>
      <w:r>
        <w:t xml:space="preserve"> </w:t>
      </w:r>
      <w:r>
        <w:rPr>
          <w:i/>
          <w:iCs/>
        </w:rPr>
        <w:t xml:space="preserve">intraday</w:t>
      </w:r>
      <w:r>
        <w:t xml:space="preserve"> </w:t>
      </w:r>
      <w:r>
        <w:t xml:space="preserve">phenomenon that a</w:t>
      </w:r>
      <w:r>
        <w:t xml:space="preserve"> </w:t>
      </w:r>
      <w:r>
        <w:t xml:space="preserve">once-a-day closing snapshot cannot resolve. Fourth, as description (not causal inference),</w:t>
      </w:r>
      <w:r>
        <w:t xml:space="preserve"> </w:t>
      </w:r>
      <w:r>
        <w:t xml:space="preserve">both groups’ dollar spreads fell from October to November—treated by</w:t>
      </w:r>
      <w:r>
        <w:t xml:space="preserve"> </w:t>
      </w:r>
      <m:oMath>
        <m:r>
          <m:rPr>
            <m:sty m:val="p"/>
          </m:rPr>
          <m:t>−</m:t>
        </m:r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1.33</m:t>
        </m:r>
        <m:r>
          <m:rPr>
            <m:sty m:val="p"/>
          </m:rPr>
          <m:t>→</m:t>
        </m:r>
        <m:r>
          <m:t>1.19</m:t>
        </m:r>
      </m:oMath>
      <w:r>
        <w:t xml:space="preserve"> </w:t>
      </w:r>
      <w:r>
        <w:t xml:space="preserve">cents, paired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) and control by</w:t>
      </w:r>
      <w:r>
        <w:t xml:space="preserve"> </w:t>
      </w:r>
      <m:oMath>
        <m:r>
          <m:rPr>
            <m:sty m:val="p"/>
          </m:rPr>
          <m:t>−</m:t>
        </m:r>
        <m:r>
          <m:t>22.6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20.3</m:t>
        </m:r>
        <m:r>
          <m:rPr>
            <m:sty m:val="p"/>
          </m:rPr>
          <m:t>→</m:t>
        </m:r>
        <m:r>
          <m:t>15.7</m:t>
        </m:r>
      </m:oMath>
      <w:r>
        <w:t xml:space="preserve"> </w:t>
      </w:r>
      <w:r>
        <w:t xml:space="preserve">cents,</w:t>
      </w:r>
      <w:r>
        <w:t xml:space="preserve"> </w:t>
      </w:r>
      <w:r>
        <w:t xml:space="preserve">paired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</m:t>
        </m:r>
      </m:oMath>
      <w:r>
        <w:t xml:space="preserve">; Table </w:t>
      </w:r>
      <w:hyperlink w:anchor="tab:withingroup">
        <w:r>
          <w:rPr>
            <w:rStyle w:val="Hyperlink"/>
          </w:rPr>
          <w:t xml:space="preserve">7</w:t>
        </w:r>
      </w:hyperlink>
      <w:r>
        <w:t xml:space="preserve">)—a broad late-2025 tightening the daily</w:t>
      </w:r>
      <w:r>
        <w:t xml:space="preserve"> </w:t>
      </w:r>
      <w:r>
        <w:t xml:space="preserve">design cannot attribute to the reform.</w:t>
      </w:r>
    </w:p>
    <w:bookmarkEnd w:id="11"/>
    <w:bookmarkStart w:id="12" w:name="beyond-we-found-nothing."/>
    <w:p>
      <w:pPr>
        <w:pStyle w:val="Heading4"/>
      </w:pPr>
      <w:r>
        <w:t xml:space="preserve">Beyond</w:t>
      </w:r>
      <w:r>
        <w:t xml:space="preserve"> </w:t>
      </w:r>
      <w:r>
        <w:t xml:space="preserve">“we found nothing.”</w:t>
      </w:r>
    </w:p>
    <w:p>
      <w:pPr>
        <w:pStyle w:val="FirstParagraph"/>
      </w:pPr>
      <w:r>
        <w:t xml:space="preserve">A paper that reported a wrong-signed coefficient and</w:t>
      </w:r>
      <w:r>
        <w:t xml:space="preserve"> </w:t>
      </w:r>
      <w:r>
        <w:t xml:space="preserve">stopped would be uninformative. We take four further steps, each using only observable data</w:t>
      </w:r>
      <w:r>
        <w:t xml:space="preserve"> </w:t>
      </w:r>
      <w:r>
        <w:t xml:space="preserve">and each a design-based statement a referee can check. First,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 </w:t>
      </w:r>
      <w:r>
        <w:t xml:space="preserve">(Table </w:t>
      </w:r>
      <w:hyperlink w:anchor="tab:hetero">
        <w:r>
          <w:rPr>
            <w:rStyle w:val="Hyperlink"/>
          </w:rPr>
          <w:t xml:space="preserve">9</w:t>
        </w:r>
      </w:hyperlink>
      <w:r>
        <w:t xml:space="preserve">): we interact the DiD with four pre-rule moderators that vary within</w:t>
      </w:r>
      <w:r>
        <w:t xml:space="preserve"> </w:t>
      </w:r>
      <w:r>
        <w:t xml:space="preserve">both arms—September return volatility, dollar volume, Nasdaq listing, and financial</w:t>
      </w:r>
      <w:r>
        <w:t xml:space="preserve"> </w:t>
      </w:r>
      <w:r>
        <w:t xml:space="preserve">industry—and find the DiD is positive and significant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subgroup with</w:t>
      </w:r>
      <w:r>
        <w:t xml:space="preserve"> </w:t>
      </w:r>
      <w:r>
        <w:t xml:space="preserve">uniformly insignificant interactions; no observable stratum shows the narrowing H1 predicts,</w:t>
      </w:r>
      <w:r>
        <w:t xml:space="preserve"> </w:t>
      </w:r>
      <w:r>
        <w:t xml:space="preserve">so the null is not an average that hides a real effect somewhere. Second, an</w:t>
      </w:r>
      <w:r>
        <w:t xml:space="preserve"> </w:t>
      </w:r>
      <w:r>
        <w:rPr>
          <w:i/>
          <w:iCs/>
        </w:rPr>
        <w:t xml:space="preserve">overlap</w:t>
      </w:r>
      <w:r>
        <w:rPr>
          <w:i/>
          <w:iCs/>
        </w:rPr>
        <w:t xml:space="preserve"> </w:t>
      </w:r>
      <w:r>
        <w:rPr>
          <w:i/>
          <w:iCs/>
        </w:rPr>
        <w:t xml:space="preserve">diagnostic</w:t>
      </w:r>
      <w:r>
        <w:t xml:space="preserve"> </w:t>
      </w:r>
      <w:r>
        <w:t xml:space="preserve">(Table </w:t>
      </w:r>
      <w:hyperlink w:anchor="tab:overlap">
        <w:r>
          <w:rPr>
            <w:rStyle w:val="Hyperlink"/>
          </w:rPr>
          <w:t xml:space="preserve">10</w:t>
        </w:r>
      </w:hyperlink>
      <w:r>
        <w:t xml:space="preserve">): normalized differences show the two groups are balanced</w:t>
      </w:r>
      <w:r>
        <w:t xml:space="preserve"> </w:t>
      </w:r>
      <w:r>
        <w:t xml:space="preserve">on volatility (</w:t>
      </w:r>
      <m:oMath>
        <m:r>
          <m:t>0.06</m:t>
        </m:r>
      </m:oMath>
      <w:r>
        <w:t xml:space="preserve">) and relative spread (</w:t>
      </w:r>
      <m:oMath>
        <m:r>
          <m:t>0.11</m:t>
        </m:r>
      </m:oMath>
      <w:r>
        <w:t xml:space="preserve">) but wildly imbalanced on log price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2.42</m:t>
        </m:r>
      </m:oMath>
      <w:r>
        <w:t xml:space="preserve">) and log dollar volume (</w:t>
      </w:r>
      <m:oMath>
        <m:r>
          <m:rPr>
            <m:sty m:val="p"/>
          </m:rPr>
          <m:t>−</m:t>
        </m:r>
        <m:r>
          <m:t>1.15</m:t>
        </m:r>
      </m:oMath>
      <w:r>
        <w:t xml:space="preserve">)—roughly ten times the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rule-of-thumb—so the</w:t>
      </w:r>
      <w:r>
        <w:t xml:space="preserve"> </w:t>
      </w:r>
      <w:r>
        <w:t xml:space="preserve">wide-spread controls are structurally not a counterfactual, and only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control stocks even</w:t>
      </w:r>
      <w:r>
        <w:t xml:space="preserve"> </w:t>
      </w:r>
      <w:r>
        <w:t xml:space="preserve">fall inside the treated price range. This is what a valid design must fix, and it motivates the</w:t>
      </w:r>
      <w:r>
        <w:t xml:space="preserve"> </w:t>
      </w:r>
      <w:r>
        <w:t xml:space="preserve">student’s price-and-volatility-matched control (deliberately reserved, Section </w:t>
      </w:r>
      <w:hyperlink w:anchor="sec:conc">
        <w:r>
          <w:rPr>
            <w:rStyle w:val="Hyperlink"/>
          </w:rPr>
          <w:t xml:space="preserve">9</w:t>
        </w:r>
      </w:hyperlink>
      <w:r>
        <w:t xml:space="preserve">).</w:t>
      </w:r>
      <w:r>
        <w:t xml:space="preserve"> </w:t>
      </w:r>
      <w:r>
        <w:t xml:space="preserve">Third, we show the wrong-signed DiD survives every reasonable redefinition of the observable</w:t>
      </w:r>
      <w:r>
        <w:t xml:space="preserve"> </w:t>
      </w:r>
      <w:r>
        <w:t xml:space="preserve">screen (Table </w:t>
      </w:r>
      <w:hyperlink w:anchor="tab:altdef">
        <w:r>
          <w:rPr>
            <w:rStyle w:val="Hyperlink"/>
          </w:rPr>
          <w:t xml:space="preserve">11</w:t>
        </w:r>
      </w:hyperlink>
      <w:r>
        <w:t xml:space="preserve">) and, under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with 500 permutations</w:t>
      </w:r>
      <w:r>
        <w:t xml:space="preserve"> </w:t>
      </w:r>
      <w:r>
        <w:t xml:space="preserve">of the treatment label (Table </w:t>
      </w:r>
      <w:hyperlink w:anchor="tab:ri">
        <w:r>
          <w:rPr>
            <w:rStyle w:val="Hyperlink"/>
          </w:rPr>
          <w:t xml:space="preserve">12</w:t>
        </w:r>
      </w:hyperlink>
      <w:r>
        <w:t xml:space="preserve">, Figure </w:t>
      </w:r>
      <w:hyperlink w:anchor="fig:randinf">
        <w:r>
          <w:rPr>
            <w:rStyle w:val="Hyperlink"/>
          </w:rPr>
          <w:t xml:space="preserve">4</w:t>
        </w:r>
      </w:hyperlink>
      <w:r>
        <w:t xml:space="preserve">), lies far outside the</w:t>
      </w:r>
      <w:r>
        <w:t xml:space="preserve"> </w:t>
      </w:r>
      <w:r>
        <w:t xml:space="preserve">permutation distribution (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)—which, because random assignment ignores price and</w:t>
      </w:r>
      <w:r>
        <w:t xml:space="preserve"> </w:t>
      </w:r>
      <w:r>
        <w:t xml:space="preserve">liquidity, locates the estimate in the systematic price structure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stocks are</w:t>
      </w:r>
      <w:r>
        <w:t xml:space="preserve"> </w:t>
      </w:r>
      <w:r>
        <w:t xml:space="preserve">treated, not in the reform. Fourth, a</w:t>
      </w:r>
      <w:r>
        <w:t xml:space="preserve"> </w:t>
      </w:r>
      <w:r>
        <w:rPr>
          <w:i/>
          <w:iCs/>
        </w:rPr>
        <w:t xml:space="preserve">minimum-detectable-effect</w:t>
      </w:r>
      <w:r>
        <w:t xml:space="preserve"> </w:t>
      </w:r>
      <w:r>
        <w:t xml:space="preserve">calculation</w:t>
      </w:r>
      <w:r>
        <w:t xml:space="preserve"> </w:t>
      </w:r>
      <w:r>
        <w:t xml:space="preserve">(Table </w:t>
      </w:r>
      <w:hyperlink w:anchor="tab:power">
        <w:r>
          <w:rPr>
            <w:rStyle w:val="Hyperlink"/>
          </w:rPr>
          <w:t xml:space="preserve">13</w:t>
        </w:r>
      </w:hyperlink>
      <w:r>
        <w:t xml:space="preserve">) shows the null is informative rather than underpowered: at 80% power</w:t>
      </w:r>
      <w:r>
        <w:t xml:space="preserve"> </w:t>
      </w:r>
      <w:r>
        <w:t xml:space="preserve">we could have detected a</w:t>
      </w:r>
      <w:r>
        <w:t xml:space="preserve"> </w:t>
      </w:r>
      <m:oMath>
        <m:r>
          <m:t>0.49</m:t>
        </m:r>
      </m:oMath>
      <w:r>
        <w:t xml:space="preserve"> bps relative narrowing, below the</w:t>
      </w:r>
      <w:r>
        <w:t xml:space="preserve"> </w:t>
      </w:r>
      <m:oMath>
        <m:r>
          <m:rPr>
            <m:sty m:val="p"/>
          </m:rPr>
          <m:t>≈</m:t>
        </m:r>
        <m:r>
          <m:t>​</m:t>
        </m:r>
        <m:r>
          <m:t>1.0</m:t>
        </m:r>
      </m:oMath>
      <w:r>
        <w:t xml:space="preserve"> bps a</w:t>
      </w:r>
      <w:r>
        <w:t xml:space="preserve"> </w:t>
      </w:r>
      <w:r>
        <w:t xml:space="preserve">half-cent quote would produce at the median treated price—so the effect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visible if the daily close could represent it, and the censoring result explains why it cannot.</w:t>
      </w:r>
    </w:p>
    <w:bookmarkEnd w:id="12"/>
    <w:bookmarkStart w:id="13" w:name="interpretation."/>
    <w:p>
      <w:pPr>
        <w:pStyle w:val="Heading4"/>
      </w:pPr>
      <w:r>
        <w:t xml:space="preserve">Interpretation.</w:t>
      </w:r>
    </w:p>
    <w:p>
      <w:pPr>
        <w:pStyle w:val="FirstParagraph"/>
      </w:pPr>
      <w:r>
        <w:t xml:space="preserve">We therefore report a</w:t>
      </w:r>
      <w:r>
        <w:t xml:space="preserve"> </w:t>
      </w:r>
      <w:r>
        <w:rPr>
          <w:i/>
          <w:iCs/>
        </w:rPr>
        <w:t xml:space="preserve">measurement-limited null</w:t>
      </w:r>
      <w:r>
        <w:t xml:space="preserve">: using the</w:t>
      </w:r>
      <w:r>
        <w:t xml:space="preserve"> </w:t>
      </w:r>
      <w:r>
        <w:t xml:space="preserve">best daily proxy available to us, we find no evidence that the half-cent tick tightened</w:t>
      </w:r>
      <w:r>
        <w:t xml:space="preserve"> </w:t>
      </w:r>
      <w:r>
        <w:t xml:space="preserve">tick-constrained spreads relative to controls, and we show precisely why the daily proxy is</w:t>
      </w:r>
      <w:r>
        <w:t xml:space="preserve"> </w:t>
      </w:r>
      <w:r>
        <w:t xml:space="preserve">structurally unable to detect the reform’s effect. This is an honest and, we think,</w:t>
      </w:r>
      <w:r>
        <w:t xml:space="preserve"> </w:t>
      </w:r>
      <w:r>
        <w:t xml:space="preserve">instructive outcome for a student project: it demonstrates the discipline of pre-trend and</w:t>
      </w:r>
      <w:r>
        <w:t xml:space="preserve"> </w:t>
      </w:r>
      <w:r>
        <w:t xml:space="preserve">placebo testing, the difference between a</w:t>
      </w:r>
      <w:r>
        <w:t xml:space="preserve"> </w:t>
      </w:r>
      <w:r>
        <w:rPr>
          <w:i/>
          <w:iCs/>
        </w:rPr>
        <w:t xml:space="preserve">dollar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spread, and the</w:t>
      </w:r>
      <w:r>
        <w:t xml:space="preserve"> </w:t>
      </w:r>
      <w:r>
        <w:t xml:space="preserve">gap between a daily liquidity proxy and the intraday reality it approximates</w:t>
      </w:r>
      <w:r>
        <w:t xml:space="preserve"> </w:t>
      </w:r>
      <w:r>
        <w:t xml:space="preserve">. The definitive test—a time-weighted intraday quoted spread</w:t>
      </w:r>
      <w:r>
        <w:t xml:space="preserve"> </w:t>
      </w:r>
      <w:r>
        <w:t xml:space="preserve">and a trade-based effective spread from TAQ, on hand-verified tick-constrained eligibility—is</w:t>
      </w:r>
      <w:r>
        <w:t xml:space="preserve"> </w:t>
      </w:r>
      <w:r>
        <w:t xml:space="preserve">laid out as the project’s next phase (see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</w:t>
      </w:r>
    </w:p>
    <w:bookmarkEnd w:id="13"/>
    <w:bookmarkStart w:id="14" w:name="contribution."/>
    <w:p>
      <w:pPr>
        <w:pStyle w:val="Heading4"/>
      </w:pPr>
      <w:r>
        <w:t xml:space="preserve">Contribution.</w:t>
      </w:r>
    </w:p>
    <w:p>
      <w:pPr>
        <w:pStyle w:val="FirstParagraph"/>
      </w:pPr>
      <w:r>
        <w:t xml:space="preserve">We contribute to three literatures. Relative to the classic</w:t>
      </w:r>
      <w:r>
        <w:t xml:space="preserve"> </w:t>
      </w:r>
      <w:r>
        <w:t xml:space="preserve">tick-size literature</w:t>
      </w:r>
      <w:r>
        <w:t xml:space="preserve"> </w:t>
      </w:r>
      <w:r>
        <w:t xml:space="preserve">, which</w:t>
      </w:r>
      <w:r>
        <w:t xml:space="preserve"> </w:t>
      </w:r>
      <w:r>
        <w:t xml:space="preserve">studies moves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the price grid (eighths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sixteenths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pennies), we study</w:t>
      </w:r>
      <w:r>
        <w:t xml:space="preserve"> </w:t>
      </w:r>
      <w:r>
        <w:t xml:space="preserve">the first move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penny for U.S. equities. Relative to the modern tick and</w:t>
      </w:r>
      <w:r>
        <w:t xml:space="preserve"> </w:t>
      </w:r>
      <w:r>
        <w:t xml:space="preserve">access-fee literature</w:t>
      </w:r>
      <w:r>
        <w:t xml:space="preserve"> </w:t>
      </w:r>
      <w:r>
        <w:t xml:space="preserve"> </w:t>
      </w:r>
      <w:r>
        <w:t xml:space="preserve">built on the 2016 Tick</w:t>
      </w:r>
      <w:r>
        <w:t xml:space="preserve"> </w:t>
      </w:r>
      <w:r>
        <w:t xml:space="preserve">Size Pilot, we examine the opposite policy—a tick</w:t>
      </w:r>
      <w:r>
        <w:t xml:space="preserve"> </w:t>
      </w:r>
      <w:r>
        <w:rPr>
          <w:i/>
          <w:iCs/>
        </w:rPr>
        <w:t xml:space="preserve">reduction</w:t>
      </w:r>
      <w:r>
        <w:t xml:space="preserve">—in real time.</w:t>
      </w:r>
      <w:r>
        <w:t xml:space="preserve"> </w:t>
      </w:r>
      <w:r>
        <w:t xml:space="preserve">Relative to the liquidity-measurement literature</w:t>
      </w:r>
      <w:r>
        <w:t xml:space="preserve"> </w:t>
      </w:r>
      <w:r>
        <w:t xml:space="preserve">, we</w:t>
      </w:r>
      <w:r>
        <w:t xml:space="preserve"> </w:t>
      </w:r>
      <w:r>
        <w:t xml:space="preserve">provide a concrete cautionary case in which a widely-used daily spread proxy is, by</w:t>
      </w:r>
      <w:r>
        <w:t xml:space="preserve"> </w:t>
      </w:r>
      <w:r>
        <w:t xml:space="preserve">construction, blind to the very margin a reform changes. We do not claim to estimate the</w:t>
      </w:r>
      <w:r>
        <w:t xml:space="preserve"> </w:t>
      </w:r>
      <w:r>
        <w:t xml:space="preserve">reform’s effect; we claim to have bounded what daily data can and cannot say about it.</w:t>
      </w:r>
    </w:p>
    <w:p>
      <w:pPr>
        <w:pStyle w:val="BodyText"/>
      </w:pPr>
      <w:r>
        <w:t xml:space="preserve">The paper proceeds as follows. Section </w:t>
      </w:r>
      <w:hyperlink w:anchor="sec:ins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describes the rule. Section </w:t>
      </w:r>
      <w:hyperlink w:anchor="sec:hy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states hypotheses. Section </w:t>
      </w:r>
      <w:hyperlink w:anchor="sec:lit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places the paper in the literature.</w:t>
      </w:r>
      <w:r>
        <w:t xml:space="preserve"> </w:t>
      </w:r>
      <w:r>
        <w:t xml:space="preserve">Section </w:t>
      </w:r>
      <w:hyperlink w:anchor="sec:dat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describes data, the sample, and the design-based checks.</w:t>
      </w:r>
      <w:r>
        <w:t xml:space="preserve"> </w:t>
      </w:r>
      <w:r>
        <w:t xml:space="preserve">Section </w:t>
      </w:r>
      <w:hyperlink w:anchor="sec:r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presents the DiD, event-study, and placebo results.</w:t>
      </w:r>
      <w:r>
        <w:t xml:space="preserve"> </w:t>
      </w:r>
      <w:r>
        <w:t xml:space="preserve">Section </w:t>
      </w:r>
      <w:hyperlink w:anchor="sec:ro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presents robustness and the mechanism (penny-grid censoring).</w:t>
      </w:r>
      <w:r>
        <w:t xml:space="preserve"> </w:t>
      </w:r>
      <w:r>
        <w:t xml:space="preserve">Section </w:t>
      </w:r>
      <w:hyperlink w:anchor="sec:desig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presents the four design-based extensions—heterogeneity, overlap,</w:t>
      </w:r>
      <w:r>
        <w:t xml:space="preserve"> </w:t>
      </w:r>
      <w:r>
        <w:t xml:space="preserve">randomization inference, and power. Section </w:t>
      </w:r>
      <w:hyperlink w:anchor="sec:conc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concludes.</w:t>
      </w:r>
    </w:p>
    <w:bookmarkEnd w:id="14"/>
    <w:bookmarkEnd w:id="15"/>
    <w:bookmarkStart w:id="16" w:name="sec:inst"/>
    <w:p>
      <w:pPr>
        <w:pStyle w:val="Heading1"/>
      </w:pPr>
      <w:r>
        <w:t xml:space="preserve">Institutional background</w:t>
      </w:r>
    </w:p>
    <w:p>
      <w:pPr>
        <w:pStyle w:val="FirstParagraph"/>
      </w:pPr>
      <w:r>
        <w:t xml:space="preserve">Regulation NMS Rule 612 (the</w:t>
      </w:r>
      <w:r>
        <w:t xml:space="preserve"> </w:t>
      </w:r>
      <w:r>
        <w:t xml:space="preserve">“sub-penny rule”</w:t>
      </w:r>
      <w:r>
        <w:t xml:space="preserve">) has, since 2005, prohibited displaying,</w:t>
      </w:r>
      <w:r>
        <w:t xml:space="preserve"> </w:t>
      </w:r>
      <w:r>
        <w:t xml:space="preserve">ranking, or accepting quotations in NMS stocks priced $1 or more in increments smaller</w:t>
      </w:r>
      <w:r>
        <w:t xml:space="preserve"> </w:t>
      </w:r>
      <w:r>
        <w:t xml:space="preserve">than $0.01. The 2024 amendments replace the single penny increment with two tiers. A stock</w:t>
      </w:r>
      <w:r>
        <w:t xml:space="preserve"> </w:t>
      </w:r>
      <w:r>
        <w:t xml:space="preserve">is assigned the $0.005 increment for an evaluation period if its</w:t>
      </w:r>
      <w:r>
        <w:t xml:space="preserve"> </w:t>
      </w:r>
      <w:r>
        <w:rPr>
          <w:i/>
          <w:iCs/>
        </w:rPr>
        <w:t xml:space="preserve">time-weighted</w:t>
      </w:r>
      <w:r>
        <w:rPr>
          <w:i/>
          <w:iCs/>
        </w:rPr>
        <w:t xml:space="preserve"> </w:t>
      </w:r>
      <w:r>
        <w:rPr>
          <w:i/>
          <w:iCs/>
        </w:rPr>
        <w:t xml:space="preserve">average quoted spread</w:t>
      </w:r>
      <w:r>
        <w:t xml:space="preserve"> </w:t>
      </w:r>
      <w:r>
        <w:t xml:space="preserve">(TWAQS) over a prior measurement period is at or below $0.015;</w:t>
      </w:r>
      <w:r>
        <w:t xml:space="preserve"> </w:t>
      </w:r>
      <w:r>
        <w:t xml:space="preserve">otherwise it keeps the $0.01 increment. Assignments are recomputed periodically, so a</w:t>
      </w:r>
      <w:r>
        <w:t xml:space="preserve"> </w:t>
      </w:r>
      <w:r>
        <w:t xml:space="preserve">stock’s tier can change over time. In parallel, the Rule 610 cap on access fees (the fee an</w:t>
      </w:r>
      <w:r>
        <w:t xml:space="preserve"> </w:t>
      </w:r>
      <w:r>
        <w:t xml:space="preserve">exchange may charge to take displayed liquidity) falls from $0.0030 to $0.0010 per share</w:t>
      </w:r>
      <w:r>
        <w:t xml:space="preserve"> </w:t>
      </w:r>
      <w:r>
        <w:t xml:space="preserve">for stocks priced $1 or more. The two changes are complementary: a smaller tick makes</w:t>
      </w:r>
      <w:r>
        <w:t xml:space="preserve"> </w:t>
      </w:r>
      <w:r>
        <w:t xml:space="preserve">displayed liquidity cheaper to</w:t>
      </w:r>
      <w:r>
        <w:t xml:space="preserve"> </w:t>
      </w:r>
      <w:r>
        <w:rPr>
          <w:i/>
          <w:iCs/>
        </w:rPr>
        <w:t xml:space="preserve">provide</w:t>
      </w:r>
      <w:r>
        <w:t xml:space="preserve">, and a smaller access fee makes it cheaper to</w:t>
      </w:r>
      <w:r>
        <w:t xml:space="preserve"> </w:t>
      </w:r>
      <w:r>
        <w:rPr>
          <w:i/>
          <w:iCs/>
        </w:rPr>
        <w:t xml:space="preserve">take</w:t>
      </w:r>
      <w:r>
        <w:t xml:space="preserve">. The SEC’s stated first compliance date for these provisions is November 3,</w:t>
      </w:r>
      <w:r>
        <w:t xml:space="preserve"> </w:t>
      </w:r>
      <w:r>
        <w:t xml:space="preserve">2025, which we use as the event date throughout.</w:t>
      </w:r>
    </w:p>
    <w:p>
      <w:pPr>
        <w:pStyle w:val="BodyText"/>
      </w:pPr>
      <w:r>
        <w:t xml:space="preserve">Two features matter for identification. First, eligibility is defined</w:t>
      </w:r>
      <w:r>
        <w:t xml:space="preserve"> </w:t>
      </w:r>
      <w:r>
        <w:rPr>
          <w:i/>
          <w:iCs/>
        </w:rPr>
        <w:t xml:space="preserve">on the quoted</w:t>
      </w:r>
      <w:r>
        <w:rPr>
          <w:i/>
          <w:iCs/>
        </w:rPr>
        <w:t xml:space="preserve"> </w:t>
      </w:r>
      <w:r>
        <w:rPr>
          <w:i/>
          <w:iCs/>
        </w:rPr>
        <w:t xml:space="preserve">spread itself</w:t>
      </w:r>
      <w:r>
        <w:t xml:space="preserve">, so treatment is mechanically related to the outcome; we address this by</w:t>
      </w:r>
      <w:r>
        <w:t xml:space="preserve"> </w:t>
      </w:r>
      <w:r>
        <w:t xml:space="preserve">assigning treatment from a screening window (September 2025) that is separated in time from</w:t>
      </w:r>
      <w:r>
        <w:t xml:space="preserve"> </w:t>
      </w:r>
      <w:r>
        <w:t xml:space="preserve">the outcome windows. Second, the exact per-tranche phase-in schedule and the precise list of</w:t>
      </w:r>
      <w:r>
        <w:t xml:space="preserve"> </w:t>
      </w:r>
      <w:r>
        <w:t xml:space="preserve">eligible symbols are set by the exchanges in a sequence of notices; hand-verifying those</w:t>
      </w:r>
      <w:r>
        <w:t xml:space="preserve"> </w:t>
      </w:r>
      <w:r>
        <w:t xml:space="preserve">dates and the per-stock eligibility against the primary SEC and exchange documents is a</w:t>
      </w:r>
      <w:r>
        <w:t xml:space="preserve"> </w:t>
      </w:r>
      <w:r>
        <w:t xml:space="preserve">central manual task for the student (Section </w:t>
      </w:r>
      <w:hyperlink w:anchor="sec:conc">
        <w:r>
          <w:rPr>
            <w:rStyle w:val="Hyperlink"/>
          </w:rPr>
          <w:t xml:space="preserve">9</w:t>
        </w:r>
      </w:hyperlink>
      <w:r>
        <w:t xml:space="preserve">) and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performed by</w:t>
      </w:r>
      <w:r>
        <w:t xml:space="preserve"> </w:t>
      </w:r>
      <w:r>
        <w:t xml:space="preserve">the automated pipeline here.</w:t>
      </w:r>
    </w:p>
    <w:bookmarkEnd w:id="16"/>
    <w:bookmarkStart w:id="17" w:name="sec:hyp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Standard microstructure theory predicts that relaxing a binding tick lets competitive</w:t>
      </w:r>
      <w:r>
        <w:t xml:space="preserve"> </w:t>
      </w:r>
      <w:r>
        <w:t xml:space="preserve">liquidity suppliers post tighter quotes, reducing quoted and effective spreads for</w:t>
      </w:r>
      <w:r>
        <w:t xml:space="preserve"> </w:t>
      </w:r>
      <w:r>
        <w:t xml:space="preserve">constrained stocks, while leaving unconstrained stocks unaffected</w:t>
      </w:r>
      <w:r>
        <w:t xml:space="preserve"> 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H1 (quoted spread).</w:t>
      </w:r>
      <w:r>
        <w:t xml:space="preserve"> </w:t>
      </w:r>
      <w:r>
        <w:t xml:space="preserve">After November 3, 2025, tick-constrained (treated) stocks’</w:t>
      </w:r>
      <w:r>
        <w:t xml:space="preserve"> </w:t>
      </w:r>
      <w:r>
        <w:t xml:space="preserve">quoted spreads fall relative to wide-spread (control) stocks: the DiD coefficient is</w:t>
      </w:r>
      <w:r>
        <w:t xml:space="preserve"> </w:t>
      </w:r>
      <w:r>
        <w:rPr>
          <w:i/>
          <w:iCs/>
        </w:rPr>
        <w:t xml:space="preserve">negative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H2 (effective spread).</w:t>
      </w:r>
      <w:r>
        <w:t xml:space="preserve"> </w:t>
      </w:r>
      <w:r>
        <w:t xml:space="preserve">The same holds for effective spreads, if the tighter</w:t>
      </w:r>
      <w:r>
        <w:t xml:space="preserve"> </w:t>
      </w:r>
      <w:r>
        <w:t xml:space="preserve">quotes are actually traded against.</w:t>
      </w:r>
    </w:p>
    <w:p>
      <w:pPr>
        <w:pStyle w:val="BlockText"/>
      </w:pPr>
      <w:r>
        <w:rPr>
          <w:b/>
          <w:bCs/>
        </w:rPr>
        <w:t xml:space="preserve">H3 (measurement resolution).</w:t>
      </w:r>
      <w:r>
        <w:t xml:space="preserve"> </w:t>
      </w:r>
      <w:r>
        <w:t xml:space="preserve">Because the reform’s margin ($0.01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$0.005) is</w:t>
      </w:r>
      <w:r>
        <w:t xml:space="preserve"> </w:t>
      </w:r>
      <w:r>
        <w:t xml:space="preserve">sub-penny and intraday, a daily</w:t>
      </w:r>
      <w:r>
        <w:t xml:space="preserve"> </w:t>
      </w:r>
      <w:r>
        <w:rPr>
          <w:i/>
          <w:iCs/>
        </w:rPr>
        <w:t xml:space="preserve">closing</w:t>
      </w:r>
      <w:r>
        <w:t xml:space="preserve">-quote proxy may be unable to detect</w:t>
      </w:r>
      <w:r>
        <w:t xml:space="preserve"> </w:t>
      </w:r>
      <w:r>
        <w:t xml:space="preserve">H1–H2 even if they hold; the closing quote of a constrained stock is pinned to the penny</w:t>
      </w:r>
      <w:r>
        <w:t xml:space="preserve"> </w:t>
      </w:r>
      <w:r>
        <w:t xml:space="preserve">grid.</w:t>
      </w:r>
    </w:p>
    <w:p>
      <w:pPr>
        <w:pStyle w:val="FirstParagraph"/>
      </w:pPr>
      <w:r>
        <w:t xml:space="preserve">Our results reject H1 in sign (the DiD is positive) but, through the placebo and</w:t>
      </w:r>
      <w:r>
        <w:t xml:space="preserve"> </w:t>
      </w:r>
      <w:r>
        <w:t xml:space="preserve">event-study, show that rejection is not credible as a causal statement; the evidence</w:t>
      </w:r>
      <w:r>
        <w:t xml:space="preserve"> </w:t>
      </w:r>
      <w:r>
        <w:t xml:space="preserve">instead supports H3—the daily proxy is uninformative about the reform’s true margin.</w:t>
      </w:r>
    </w:p>
    <w:bookmarkEnd w:id="17"/>
    <w:bookmarkStart w:id="18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microstructure of tick size. Theory holds</w:t>
      </w:r>
      <w:r>
        <w:t xml:space="preserve"> </w:t>
      </w:r>
      <w:r>
        <w:t xml:space="preserve">that a binding minimum increment inflates quoted spreads and rations price competition among</w:t>
      </w:r>
      <w:r>
        <w:t xml:space="preserve"> </w:t>
      </w:r>
      <w:r>
        <w:t xml:space="preserve">liquidity suppliers, so that relaxing it should tighten spreads for constrained stocks while</w:t>
      </w:r>
      <w:r>
        <w:t xml:space="preserve"> </w:t>
      </w:r>
      <w:r>
        <w:t xml:space="preserve">leaving unconstrained stocks unaffected</w:t>
      </w:r>
      <w:r>
        <w:t xml:space="preserve"> </w:t>
      </w:r>
      <w:r>
        <w:t xml:space="preserve">. The empirical</w:t>
      </w:r>
      <w:r>
        <w:t xml:space="preserve"> </w:t>
      </w:r>
      <w:r>
        <w:t xml:space="preserve">literature has, until now, almost entirely studied moves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the grid—the NYSE’s shift</w:t>
      </w:r>
      <w:r>
        <w:t xml:space="preserve"> </w:t>
      </w:r>
      <w:r>
        <w:t xml:space="preserve">from eighths to sixteenths</w:t>
      </w:r>
      <w:r>
        <w:t xml:space="preserve"> </w:t>
      </w:r>
      <w:r>
        <w:t xml:space="preserve">, decimalization</w:t>
      </w:r>
      <w:r>
        <w:t xml:space="preserve"> </w:t>
      </w:r>
      <w:r>
        <w:t xml:space="preserve">, and the 2016–2018 Tick Size Pilot that</w:t>
      </w:r>
      <w:r>
        <w:t xml:space="preserve"> </w:t>
      </w:r>
      <w:r>
        <w:rPr>
          <w:i/>
          <w:iCs/>
        </w:rPr>
        <w:t xml:space="preserve">widened</w:t>
      </w:r>
      <w:r>
        <w:t xml:space="preserve"> </w:t>
      </w:r>
      <w:r>
        <w:t xml:space="preserve">the tick for</w:t>
      </w:r>
      <w:r>
        <w:t xml:space="preserve"> </w:t>
      </w:r>
      <w:r>
        <w:t xml:space="preserve">small-cap stocks</w:t>
      </w:r>
      <w:r>
        <w:t xml:space="preserve"> </w:t>
      </w:r>
      <w:r>
        <w:t xml:space="preserve">. Findings are mixed but broadly</w:t>
      </w:r>
      <w:r>
        <w:t xml:space="preserve"> </w:t>
      </w:r>
      <w:r>
        <w:t xml:space="preserve">consistent with a tick that binds: wider ticks widen spreads and can shift volume across venues,</w:t>
      </w:r>
      <w:r>
        <w:t xml:space="preserve"> </w:t>
      </w:r>
      <w:r>
        <w:t xml:space="preserve">while relative tick size shapes the trading environment</w:t>
      </w:r>
      <w:r>
        <w:t xml:space="preserve"> </w:t>
      </w:r>
      <w:r>
        <w:t xml:space="preserve">. We study the first</w:t>
      </w:r>
      <w:r>
        <w:t xml:space="preserve"> </w:t>
      </w:r>
      <w:r>
        <w:t xml:space="preserve">move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penny for U.S. equities and, unusually, in real time around the compliance</w:t>
      </w:r>
      <w:r>
        <w:t xml:space="preserve"> </w:t>
      </w:r>
      <w:r>
        <w:t xml:space="preserve">date; our contribution is less a new estimate than a precise account of why the standard daily</w:t>
      </w:r>
      <w:r>
        <w:t xml:space="preserve"> </w:t>
      </w:r>
      <w:r>
        <w:t xml:space="preserve">liquidity proxy cannot deliver one.</w:t>
      </w:r>
    </w:p>
    <w:p>
      <w:pPr>
        <w:pStyle w:val="BodyText"/>
      </w:pPr>
      <w:r>
        <w:t xml:space="preserve">The second strand is liquidity measurement from low-frequency data. Because intraday TAQ is</w:t>
      </w:r>
      <w:r>
        <w:t xml:space="preserve"> </w:t>
      </w:r>
      <w:r>
        <w:t xml:space="preserve">costly and, as here, often unavailable, a large literature builds daily spread proxies</w:t>
      </w:r>
      <w:r>
        <w:t xml:space="preserve"> </w:t>
      </w:r>
      <w:r>
        <w:t xml:space="preserve"> </w:t>
      </w:r>
      <w:r>
        <w:t xml:space="preserve">and benchmarks them against intraday truth</w:t>
      </w:r>
      <w:r>
        <w:t xml:space="preserve"> </w:t>
      </w:r>
      <w:r>
        <w:t xml:space="preserve">. The</w:t>
      </w:r>
      <w:r>
        <w:t xml:space="preserve"> </w:t>
      </w:r>
      <w:r>
        <w:t xml:space="preserve">consensus is that daily proxies track intraday spreads</w:t>
      </w:r>
      <w:r>
        <w:t xml:space="preserve"> </w:t>
      </w:r>
      <w:r>
        <w:rPr>
          <w:i/>
          <w:iCs/>
        </w:rPr>
        <w:t xml:space="preserve">on average</w:t>
      </w:r>
      <w:r>
        <w:t xml:space="preserve"> </w:t>
      </w:r>
      <w:r>
        <w:t xml:space="preserve">but degrade exactly</w:t>
      </w:r>
      <w:r>
        <w:t xml:space="preserve"> </w:t>
      </w:r>
      <w:r>
        <w:t xml:space="preserve">where the microstructure is finest—for low-priced, penny-pinned stocks whose quoted spread is</w:t>
      </w:r>
      <w:r>
        <w:t xml:space="preserve"> </w:t>
      </w:r>
      <w:r>
        <w:t xml:space="preserve">a discrete grid variable. Our penny-grid censoring result is a sharp, policy-relevant instance:</w:t>
      </w:r>
      <w:r>
        <w:t xml:space="preserve"> </w:t>
      </w:r>
      <w:r>
        <w:t xml:space="preserve">the daily closing quote of a tick-constrained stock is a censored measurement that is, by</w:t>
      </w:r>
      <w:r>
        <w:t xml:space="preserve"> </w:t>
      </w:r>
      <w:r>
        <w:t xml:space="preserve">construction, blind to the half-cent margin the reform changes.</w:t>
      </w:r>
    </w:p>
    <w:p>
      <w:pPr>
        <w:pStyle w:val="BodyText"/>
      </w:pPr>
      <w:r>
        <w:t xml:space="preserve">The third strand is the credibility of difference-in-differences and the interpretation of null</w:t>
      </w:r>
      <w:r>
        <w:t xml:space="preserve"> </w:t>
      </w:r>
      <w:r>
        <w:t xml:space="preserve">results. Recent methodological work stresses that pre-trend tests have limited power and can</w:t>
      </w:r>
      <w:r>
        <w:t xml:space="preserve"> </w:t>
      </w:r>
      <w:r>
        <w:t xml:space="preserve">license false confidence</w:t>
      </w:r>
      <w:r>
        <w:t xml:space="preserve"> </w:t>
      </w:r>
      <w:r>
        <w:t xml:space="preserve">, that event-study/DiD estimands are fragile under</w:t>
      </w:r>
      <w:r>
        <w:t xml:space="preserve"> </w:t>
      </w:r>
      <w:r>
        <w:t xml:space="preserve">treatment-effect heterogeneity</w:t>
      </w:r>
      <w:r>
        <w:t xml:space="preserve"> </w:t>
      </w:r>
      <w:r>
        <w:t xml:space="preserve">, and that inference with a moderate number</w:t>
      </w:r>
      <w:r>
        <w:t xml:space="preserve"> </w:t>
      </w:r>
      <w:r>
        <w:t xml:space="preserve">of clusters benefits from design-based methods such as randomization inference</w:t>
      </w:r>
      <w:r>
        <w:t xml:space="preserve"> </w:t>
      </w:r>
      <w:r>
        <w:t xml:space="preserve">. Methodologists further urge that an insignificant estimate be read through</w:t>
      </w:r>
      <w:r>
        <w:t xml:space="preserve"> </w:t>
      </w:r>
      <w:r>
        <w:t xml:space="preserve">its confidence interval and power rather than as proof of no effect</w:t>
      </w:r>
      <w:r>
        <w:t xml:space="preserve"> </w:t>
      </w:r>
      <w:r>
        <w:t xml:space="preserve">, and that</w:t>
      </w:r>
      <w:r>
        <w:t xml:space="preserve"> </w:t>
      </w:r>
      <w:r>
        <w:t xml:space="preserve">covariate overlap be assessed with normalized differences before any comparison is trusted</w:t>
      </w:r>
      <w:r>
        <w:t xml:space="preserve"> </w:t>
      </w:r>
      <w:r>
        <w:t xml:space="preserve">. We use these tools diagnostically: a wrong-signed DiD that is statistically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fails a placebo, is uniform across subgroups, rests on groups with no price</w:t>
      </w:r>
      <w:r>
        <w:t xml:space="preserve"> </w:t>
      </w:r>
      <w:r>
        <w:t xml:space="preserve">overlap, and—read correctly—is confirmed by randomization inference to be a price-structure</w:t>
      </w:r>
      <w:r>
        <w:t xml:space="preserve"> </w:t>
      </w:r>
      <w:r>
        <w:t xml:space="preserve">artifact rather than a treatment effect. Reporting the design’s minimum detectable effect then</w:t>
      </w:r>
      <w:r>
        <w:t xml:space="preserve"> </w:t>
      </w:r>
      <w:r>
        <w:t xml:space="preserve">converts the null into a bound rather than a shrug.</w:t>
      </w:r>
    </w:p>
    <w:bookmarkEnd w:id="18"/>
    <w:bookmarkStart w:id="23" w:name="sec:data"/>
    <w:p>
      <w:pPr>
        <w:pStyle w:val="Heading1"/>
      </w:pPr>
      <w:r>
        <w:t xml:space="preserve">Data and sample</w:t>
      </w:r>
    </w:p>
    <w:bookmarkStart w:id="19" w:name="source-and-the-taq-constraint."/>
    <w:p>
      <w:pPr>
        <w:pStyle w:val="Heading4"/>
      </w:pPr>
      <w:r>
        <w:t xml:space="preserve">Source and the TAQ constraint.</w:t>
      </w:r>
    </w:p>
    <w:p>
      <w:pPr>
        <w:pStyle w:val="FirstParagraph"/>
      </w:pPr>
      <w:r>
        <w:t xml:space="preserve">The ideal data are intraday NBBO quotes from</w:t>
      </w:r>
      <w:r>
        <w:t xml:space="preserve"> </w:t>
      </w:r>
      <w:r>
        <w:t xml:space="preserve">WRDS TAQ, from which one computes a time-weighted quoted spread and a trade-based effective</w:t>
      </w:r>
      <w:r>
        <w:t xml:space="preserve"> </w:t>
      </w:r>
      <w:r>
        <w:t xml:space="preserve">spread. On our WRDS account only the TAQ</w:t>
      </w:r>
      <w:r>
        <w:t xml:space="preserve"> </w:t>
      </w:r>
      <w:r>
        <w:rPr>
          <w:i/>
          <w:iCs/>
        </w:rPr>
        <w:t xml:space="preserve">sample</w:t>
      </w:r>
      <w:r>
        <w:t xml:space="preserve"> </w:t>
      </w:r>
      <w:r>
        <w:t xml:space="preserve">libraries are subscribed, and they</w:t>
      </w:r>
      <w:r>
        <w:t xml:space="preserve"> </w:t>
      </w:r>
      <w:r>
        <w:t xml:space="preserve">cover a handful of 2008, 2009, and 2021 days—there is no 2025 TAQ. Following the project</w:t>
      </w:r>
      <w:r>
        <w:t xml:space="preserve"> </w:t>
      </w:r>
      <w:r>
        <w:t xml:space="preserve">brief, we therefore use the sanctioned fallback: the CRSP daily stock file (CIZ format,</w:t>
      </w:r>
      <w:r>
        <w:t xml:space="preserve"> </w:t>
      </w:r>
      <w:r>
        <w:rPr>
          <w:rStyle w:val="VerbatimChar"/>
        </w:rPr>
        <w:t xml:space="preserve">crsp.dsf_v2</w:t>
      </w:r>
      <w:r>
        <w:t xml:space="preserve">), which records each security’s daily</w:t>
      </w:r>
      <w:r>
        <w:t xml:space="preserve"> </w:t>
      </w:r>
      <w:r>
        <w:rPr>
          <w:i/>
          <w:iCs/>
        </w:rPr>
        <w:t xml:space="preserve">closing</w:t>
      </w:r>
      <w:r>
        <w:t xml:space="preserve"> </w:t>
      </w:r>
      <w:r>
        <w:t xml:space="preserve">consolidated NBBO</w:t>
      </w:r>
      <w:r>
        <w:t xml:space="preserve"> </w:t>
      </w:r>
      <w:r>
        <w:t xml:space="preserve">(</w:t>
      </w:r>
      <w:r>
        <w:rPr>
          <w:rStyle w:val="VerbatimChar"/>
        </w:rPr>
        <w:t xml:space="preserve">dlybid</w:t>
      </w:r>
      <w:r>
        <w:t xml:space="preserve">,</w:t>
      </w:r>
      <w:r>
        <w:t xml:space="preserve"> </w:t>
      </w:r>
      <w:r>
        <w:rPr>
          <w:rStyle w:val="VerbatimChar"/>
        </w:rPr>
        <w:t xml:space="preserve">dlyask</w:t>
      </w:r>
      <w:r>
        <w:t xml:space="preserve">) and covers 2025 through year-end. We define the dollar</w:t>
      </w:r>
      <w:r>
        <w:t xml:space="preserve"> </w:t>
      </w:r>
      <w:r>
        <w:t xml:space="preserve">quoted spread as</w:t>
      </w:r>
      <w:r>
        <w:t xml:space="preserve"> </w:t>
      </w:r>
      <m:oMath>
        <m:r>
          <m:rPr>
            <m:nor/>
            <m:sty m:val="p"/>
          </m:rPr>
          <m:t>ask</m:t>
        </m:r>
        <m:r>
          <m:rPr>
            <m:sty m:val="p"/>
          </m:rPr>
          <m:t>−</m:t>
        </m:r>
        <m:r>
          <m:rPr>
            <m:nor/>
            <m:sty m:val="p"/>
          </m:rPr>
          <m:t>bid</m:t>
        </m:r>
      </m:oMath>
      <w:r>
        <w:t xml:space="preserve"> </w:t>
      </w:r>
      <w:r>
        <w:t xml:space="preserve">and the relative quoted spread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ask</m:t>
        </m:r>
        <m:r>
          <m:rPr>
            <m:sty m:val="p"/>
          </m:rPr>
          <m:t>−</m:t>
        </m:r>
        <m:r>
          <m:rPr>
            <m:nor/>
            <m:sty m:val="p"/>
          </m:rPr>
          <m:t>bid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nor/>
            <m:sty m:val="p"/>
          </m:rPr>
          <m:t>midpoint</m:t>
        </m:r>
      </m:oMath>
      <w:r>
        <w:t xml:space="preserve">, the daily proxy analyzed by</w:t>
      </w:r>
      <w:r>
        <w:t xml:space="preserve"> </w:t>
      </w:r>
      <w:r>
        <w:t xml:space="preserve">.</w:t>
      </w:r>
      <w:r>
        <w:t xml:space="preserve"> </w:t>
      </w:r>
      <w:r>
        <w:t xml:space="preserve">We also form a crude closing</w:t>
      </w:r>
      <w:r>
        <w:t xml:space="preserve"> </w:t>
      </w:r>
      <w:r>
        <w:rPr>
          <w:i/>
          <w:iCs/>
        </w:rPr>
        <w:t xml:space="preserve">effective</w:t>
      </w:r>
      <w:r>
        <w:t xml:space="preserve">-spread proxy,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|</m:t>
        </m:r>
        <m:r>
          <m:rPr>
            <m:nor/>
            <m:sty m:val="p"/>
          </m:rPr>
          <m:t>close</m:t>
        </m:r>
        <m:r>
          <m:rPr>
            <m:sty m:val="p"/>
          </m:rPr>
          <m:t>−</m:t>
        </m:r>
        <m:r>
          <m:rPr>
            <m:nor/>
            <m:sty m:val="p"/>
          </m:rPr>
          <m:t>mid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nor/>
            <m:sty m:val="p"/>
          </m:rPr>
          <m:t>mid</m:t>
        </m:r>
      </m:oMath>
      <w:r>
        <w:t xml:space="preserve">, and report it only as a caveated robustness</w:t>
      </w:r>
      <w:r>
        <w:t xml:space="preserve"> </w:t>
      </w:r>
      <w:r>
        <w:t xml:space="preserve">outcome; a true effective spread requires trade prices from TAQ.</w:t>
      </w:r>
    </w:p>
    <w:bookmarkEnd w:id="19"/>
    <w:bookmarkStart w:id="20" w:name="sample-construction."/>
    <w:p>
      <w:pPr>
        <w:pStyle w:val="Heading4"/>
      </w:pPr>
      <w:r>
        <w:t xml:space="preserve">Sample construction.</w:t>
      </w:r>
    </w:p>
    <w:p>
      <w:pPr>
        <w:pStyle w:val="FirstParagraph"/>
      </w:pPr>
      <w:r>
        <w:t xml:space="preserve">From all NMS common stocks (CRSP share type NS, security</w:t>
      </w:r>
      <w:r>
        <w:t xml:space="preserve"> </w:t>
      </w:r>
      <w:r>
        <w:t xml:space="preserve">type EQTY/COM, issuer CORP or REIT) on NYSE, Nasdaq, or NYSE American with price</w:t>
      </w:r>
      <w:r>
        <w:t xml:space="preserve"> </w:t>
      </w:r>
      <m:oMath>
        <m:r>
          <m:rPr>
            <m:sty m:val="p"/>
          </m:rPr>
          <m:t>≥</m:t>
        </m:r>
        <m:r>
          <m:rPr>
            <m:sty m:val="p"/>
          </m:rPr>
          <m:t>$</m:t>
        </m:r>
        <m:r>
          <m:t>1</m:t>
        </m:r>
      </m:oMath>
      <w:r>
        <w:t xml:space="preserve"> </w:t>
      </w:r>
      <w:r>
        <w:t xml:space="preserve">and a valid closing quote, we compute each stock’s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statistics over</w:t>
      </w:r>
      <w:r>
        <w:t xml:space="preserve"> </w:t>
      </w:r>
      <w:r>
        <w:t xml:space="preserve">September 2–30, 2025—a window deliberately separated from the outcome windows so that</w:t>
      </w:r>
      <w:r>
        <w:t xml:space="preserve"> </w:t>
      </w:r>
      <w:r>
        <w:t xml:space="preserve">treatment assignment does not mechanically coincide with the measured outcome. A stock is</w:t>
      </w:r>
      <w:r>
        <w:t xml:space="preserve"> </w:t>
      </w:r>
      <w:r>
        <w:rPr>
          <w:b/>
          <w:bCs/>
        </w:rPr>
        <w:t xml:space="preserve">treated</w:t>
      </w:r>
      <w:r>
        <w:t xml:space="preserve"> </w:t>
      </w:r>
      <w:r>
        <w:t xml:space="preserve">(tick-constrained) if its September mean dollar quoted spread is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$</m:t>
        </m:r>
        <m:r>
          <m:t>0.015</m:t>
        </m:r>
      </m:oMath>
      <w:r>
        <w:t xml:space="preserve">, the SEC’s own TWAQS cutoff, and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if it is</w:t>
      </w:r>
      <w:r>
        <w:t xml:space="preserve"> </w:t>
      </w:r>
      <m:oMath>
        <m:r>
          <m:rPr>
            <m:sty m:val="p"/>
          </m:rPr>
          <m:t>≥</m:t>
        </m:r>
        <m:r>
          <m:rPr>
            <m:sty m:val="p"/>
          </m:rPr>
          <m:t>$</m:t>
        </m:r>
        <m:r>
          <m:t>0.020</m:t>
        </m:r>
      </m:oMath>
      <w:r>
        <w:t xml:space="preserve"> </w:t>
      </w:r>
      <w:r>
        <w:t xml:space="preserve">(clearly not penny-pinned). To keep the sample small and economically comparable in</w:t>
      </w:r>
      <w:r>
        <w:t xml:space="preserve"> </w:t>
      </w:r>
      <w:r>
        <w:t xml:space="preserve">activity, we take the 75 most actively traded (by dollar volume) names in each arm,</w:t>
      </w:r>
      <w:r>
        <w:t xml:space="preserve"> </w:t>
      </w:r>
      <w:r>
        <w:t xml:space="preserve">yielding 150 stocks. The daily panel runs August 25–December 19, 2025; the DiD analysis</w:t>
      </w:r>
      <w:r>
        <w:t xml:space="preserve"> </w:t>
      </w:r>
      <w:r>
        <w:t xml:space="preserve">window is the four weeks before (October 6–31) and after (November 3–28) the event, giving</w:t>
      </w:r>
      <w:r>
        <w:t xml:space="preserve"> </w:t>
      </w:r>
      <w:r>
        <w:t xml:space="preserve">5</w:t>
      </w:r>
      <w:r>
        <w:t xml:space="preserve">,</w:t>
      </w:r>
      <w:r>
        <w:t xml:space="preserve">820 stock-days.</w:t>
      </w:r>
    </w:p>
    <w:bookmarkEnd w:id="20"/>
    <w:bookmarkStart w:id="21" w:name="summary-and-balance."/>
    <w:p>
      <w:pPr>
        <w:pStyle w:val="Heading4"/>
      </w:pPr>
      <w:r>
        <w:t xml:space="preserve">Summary and balance.</w:t>
      </w:r>
    </w:p>
    <w:p>
      <w:pPr>
        <w:pStyle w:val="FirstParagraph"/>
      </w:pPr>
      <w:r>
        <w:t xml:space="preserve">Table </w:t>
      </w:r>
      <w:hyperlink w:anchor="tab:bala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pre-period means. By</w:t>
      </w:r>
      <w:r>
        <w:t xml:space="preserve"> </w:t>
      </w:r>
      <w:r>
        <w:t xml:space="preserve">construction the groups differ sharply on the assignment variable—the dollar quoted spread</w:t>
      </w:r>
      <w:r>
        <w:t xml:space="preserve"> </w:t>
      </w:r>
      <w:r>
        <w:t xml:space="preserve">is 1.33 cents for treated versus 20.31 cents for control—and, because tick-constrained</w:t>
      </w:r>
      <w:r>
        <w:t xml:space="preserve"> </w:t>
      </w:r>
      <w:r>
        <w:t xml:space="preserve">stocks are systematically lower-priced, on price (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price 3.80 vs. 5.75,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68.6</m:t>
        </m:r>
      </m:oMath>
      <w:r>
        <w:t xml:space="preserve">).</w:t>
      </w:r>
      <w:r>
        <w:t xml:space="preserve"> </w:t>
      </w:r>
      <w:r>
        <w:t xml:space="preserve">Notably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spread is only modestly different (3.55 vs. 4.07 bps): a</w:t>
      </w:r>
      <w:r>
        <w:t xml:space="preserve"> </w:t>
      </w:r>
      <w:r>
        <w:t xml:space="preserve">penny on a $44 stock and eight cents on a $262 stock are similar in proportional terms.</w:t>
      </w:r>
      <w:r>
        <w:t xml:space="preserve"> </w:t>
      </w:r>
      <w:r>
        <w:t xml:space="preserve">This large level difference in price is the source of the identification problem documented</w:t>
      </w:r>
      <w:r>
        <w:t xml:space="preserve"> </w:t>
      </w:r>
      <w:r>
        <w:t xml:space="preserve">below: the two groups are not natural counterfactuals for one another.</w:t>
      </w:r>
    </w:p>
    <w:bookmarkEnd w:id="21"/>
    <w:bookmarkStart w:id="22" w:name="design-based-checks."/>
    <w:p>
      <w:pPr>
        <w:pStyle w:val="Heading4"/>
      </w:pPr>
      <w:r>
        <w:t xml:space="preserve">Design-based checks.</w:t>
      </w:r>
    </w:p>
    <w:p>
      <w:pPr>
        <w:pStyle w:val="FirstParagraph"/>
      </w:pPr>
      <w:r>
        <w:t xml:space="preserve">Beyond the parametric DiD we run four checks that do not lean</w:t>
      </w:r>
      <w:r>
        <w:t xml:space="preserve"> </w:t>
      </w:r>
      <w:r>
        <w:t xml:space="preserve">on the parallel-trends null, all using only observable screening and panel data. (1)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: we interact the DiD with pre-rule moderators that vary within both arms</w:t>
      </w:r>
      <w:r>
        <w:t xml:space="preserve"> </w:t>
      </w:r>
      <w:r>
        <w:t xml:space="preserve">(September volatility, dollar volume, listing venue, industry), excluding price because it is</w:t>
      </w:r>
      <w:r>
        <w:t xml:space="preserve"> </w:t>
      </w:r>
      <w:r>
        <w:t xml:space="preserve">near-collinear with treatment, to test whether any observable subgroup shows the predicted</w:t>
      </w:r>
      <w:r>
        <w:t xml:space="preserve"> </w:t>
      </w:r>
      <w:r>
        <w:t xml:space="preserve">narrowing. (2)</w:t>
      </w:r>
      <w:r>
        <w:t xml:space="preserve"> </w:t>
      </w:r>
      <w:r>
        <w:rPr>
          <w:i/>
          <w:iCs/>
        </w:rPr>
        <w:t xml:space="preserve">Overlap</w:t>
      </w:r>
      <w:r>
        <w:t xml:space="preserve">: we compute Imbens–Rubin normalized differences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Sup>
              <m:e>
                <m:r>
                  <m:t>s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s</m:t>
                </m:r>
              </m:e>
              <m:sub>
                <m:r>
                  <m:t>C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for each screening covariate and count how many</w:t>
      </w:r>
      <w:r>
        <w:t xml:space="preserve"> </w:t>
      </w:r>
      <w:r>
        <w:t xml:space="preserve">control stocks fall inside the treated price range, quantifying whether a common-support</w:t>
      </w:r>
      <w:r>
        <w:t xml:space="preserve"> </w:t>
      </w:r>
      <w:r>
        <w:t xml:space="preserve">comparison is even possible. (3)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: we permute the time-invariant</w:t>
      </w:r>
      <w:r>
        <w:t xml:space="preserve"> </w:t>
      </w:r>
      <w:r>
        <w:t xml:space="preserve">treatment label across the 150 stocks 500 times, rebuild the DiD, and compare the actual</w:t>
      </w:r>
      <w:r>
        <w:t xml:space="preserve"> </w:t>
      </w:r>
      <w:r>
        <w:t xml:space="preserve">coefficient to the permutation distribution. (4)</w:t>
      </w:r>
      <w:r>
        <w:t xml:space="preserve"> </w:t>
      </w:r>
      <w:r>
        <w:rPr>
          <w:i/>
          <w:iCs/>
        </w:rPr>
        <w:t xml:space="preserve">Power</w:t>
      </w:r>
      <w:r>
        <w:t xml:space="preserve">: we compute the minimum</w:t>
      </w:r>
      <w:r>
        <w:t xml:space="preserve"> </w:t>
      </w:r>
      <w:r>
        <w:t xml:space="preserve">detectable effect at 80% power from the preferred specification’s standard error.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construct the price-and-volatility-matched control group and re-estimate on it: that</w:t>
      </w:r>
      <w:r>
        <w:t xml:space="preserve"> </w:t>
      </w:r>
      <w:r>
        <w:t xml:space="preserve">hand-curated match, drawn from the full NMS universe rather than only the wide-spread arm, is a</w:t>
      </w:r>
      <w:r>
        <w:t xml:space="preserve"> </w:t>
      </w:r>
      <w:r>
        <w:t xml:space="preserve">reserved manual contribution for the student (Section </w:t>
      </w:r>
      <w:hyperlink w:anchor="sec:conc">
        <w:r>
          <w:rPr>
            <w:rStyle w:val="Hyperlink"/>
          </w:rPr>
          <w:t xml:space="preserve">9</w:t>
        </w:r>
      </w:hyperlink>
      <w:r>
        <w:t xml:space="preserve">), and our overlap</w:t>
      </w:r>
      <w:r>
        <w:t xml:space="preserve"> </w:t>
      </w:r>
      <w:r>
        <w:t xml:space="preserve">diagnostic is designed to motivate it, not to preempt it.</w:t>
      </w:r>
    </w:p>
    <w:bookmarkEnd w:id="22"/>
    <w:bookmarkEnd w:id="23"/>
    <w:bookmarkStart w:id="28" w:name="sec:res"/>
    <w:p>
      <w:pPr>
        <w:pStyle w:val="Heading1"/>
      </w:pPr>
      <w:r>
        <w:t xml:space="preserve">Results</w:t>
      </w:r>
    </w:p>
    <w:bookmarkStart w:id="24" w:name="the-2times2."/>
    <w:p>
      <w:pPr>
        <w:pStyle w:val="Heading4"/>
      </w:pPr>
      <w:r>
        <w:t xml:space="preserve">The 2</w:t>
      </w:r>
      <m:oMath>
        <m:r>
          <m:rPr>
            <m:sty m:val="p"/>
          </m:rPr>
          <m:t>×</m:t>
        </m:r>
      </m:oMath>
      <w:r>
        <w:t xml:space="preserve">2.</w:t>
      </w:r>
    </w:p>
    <w:p>
      <w:pPr>
        <w:pStyle w:val="FirstParagraph"/>
      </w:pPr>
      <w:r>
        <w:t xml:space="preserve">Table </w:t>
      </w:r>
      <w:hyperlink w:anchor="tab:did2x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raw pre/post means. The</w:t>
      </w:r>
      <w:r>
        <w:t xml:space="preserve"> </w:t>
      </w:r>
      <w:r>
        <w:t xml:space="preserve">relative quoted spread of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stocks fell from 4.07 to 3.37 bps (</w:t>
      </w:r>
      <m:oMath>
        <m:r>
          <m:rPr>
            <m:sty m:val="p"/>
          </m:rPr>
          <m:t>−</m:t>
        </m:r>
        <m:r>
          <m:t>0.70</m:t>
        </m:r>
      </m:oMath>
      <w:r>
        <w:t xml:space="preserve">), while</w:t>
      </w:r>
      <w:r>
        <w:t xml:space="preserve"> </w:t>
      </w:r>
      <w:r>
        <w:rPr>
          <w:i/>
          <w:iCs/>
        </w:rPr>
        <w:t xml:space="preserve">treated</w:t>
      </w:r>
      <w:r>
        <w:t xml:space="preserve"> </w:t>
      </w:r>
      <w:r>
        <w:t xml:space="preserve">stocks were essentially flat (3.55 to 3.59,</w:t>
      </w:r>
      <w:r>
        <w:t xml:space="preserve"> </w:t>
      </w:r>
      <m:oMath>
        <m:r>
          <m:rPr>
            <m:sty m:val="p"/>
          </m:rPr>
          <m:t>+</m:t>
        </m:r>
        <m:r>
          <m:t>0.03</m:t>
        </m:r>
      </m:oMath>
      <w:r>
        <w:t xml:space="preserve">). The implied DiD is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 bps. In dollar terms controls fell 4.57 cents (from 20.31) while treated fell only</w:t>
      </w:r>
      <w:r>
        <w:t xml:space="preserve"> </w:t>
      </w:r>
      <w:r>
        <w:t xml:space="preserve">0.14 cents (from 1.33), a DiD of</w:t>
      </w:r>
      <w:r>
        <w:t xml:space="preserve"> </w:t>
      </w:r>
      <m:oMath>
        <m:r>
          <m:rPr>
            <m:sty m:val="p"/>
          </m:rPr>
          <m:t>+</m:t>
        </m:r>
        <m:r>
          <m:t>4.42</m:t>
        </m:r>
      </m:oMath>
      <w:r>
        <w:t xml:space="preserve"> </w:t>
      </w:r>
      <w:r>
        <w:t xml:space="preserve">cents. Both DiDs are positive: the wide-spread</w:t>
      </w:r>
      <w:r>
        <w:t xml:space="preserve"> </w:t>
      </w:r>
      <w:r>
        <w:t xml:space="preserve">controls narrowed more than the tick-constrained treated group.</w:t>
      </w:r>
    </w:p>
    <w:bookmarkEnd w:id="24"/>
    <w:bookmarkStart w:id="25" w:name="regression-did."/>
    <w:p>
      <w:pPr>
        <w:pStyle w:val="Heading4"/>
      </w:pPr>
      <w:r>
        <w:t xml:space="preserve">Regression DiD.</w:t>
      </w:r>
    </w:p>
    <w:p>
      <w:pPr>
        <w:pStyle w:val="FirstParagraph"/>
      </w:pPr>
      <w:r>
        <w:t xml:space="preserve">Table </w:t>
      </w:r>
      <w:hyperlink w:anchor="tab:did_mai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estimates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RelSpread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Treated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stock (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) and day (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) fixed effects, controls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price and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dollar volume, and standard errors clustered by stock. The DiD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 bps and highly stable across the five specifications (</w:t>
      </w:r>
      <m:oMath>
        <m:r>
          <m:rPr>
            <m:sty m:val="p"/>
          </m:rPr>
          <m:t>+</m:t>
        </m:r>
        <m:r>
          <m:t>0.73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0.74</m:t>
        </m:r>
      </m:oMath>
      <w:r>
        <w:t xml:space="preserve">), with</w:t>
      </w:r>
      <w:r>
        <w:t xml:space="preserve"> </w:t>
      </w:r>
      <m:oMath>
        <m:r>
          <m:t>t</m:t>
        </m:r>
      </m:oMath>
      <w:r>
        <w:t xml:space="preserve">-statistics of</w:t>
      </w:r>
      <w:r>
        <w:t xml:space="preserve"> </w:t>
      </w:r>
      <m:oMath>
        <m:r>
          <m:t>4.2</m:t>
        </m:r>
      </m:oMath>
      <w:r>
        <w:t xml:space="preserve"> </w:t>
      </w:r>
      <w:r>
        <w:t xml:space="preserve">clustered by stock and</w:t>
      </w:r>
      <w:r>
        <w:t xml:space="preserve"> </w:t>
      </w:r>
      <m:oMath>
        <m:r>
          <m:t>2.9</m:t>
        </m:r>
      </m:oMath>
      <w:r>
        <w:t xml:space="preserve"> </w:t>
      </w:r>
      <w:r>
        <w:t xml:space="preserve">double-clustered by stock and day. The</w:t>
      </w:r>
      <w:r>
        <w:t xml:space="preserve"> </w:t>
      </w:r>
      <w:r>
        <w:t xml:space="preserve">preferred specification (4) has a 95% confidence interval 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0.39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1.07</m:t>
        </m:r>
        <m:r>
          <m:rPr>
            <m:sty m:val="p"/>
          </m:rPr>
          <m:t>]</m:t>
        </m:r>
      </m:oMath>
      <w:r>
        <w:t xml:space="preserve"> bps and a</w:t>
      </w:r>
      <w:r>
        <w:t xml:space="preserve"> </w:t>
      </w:r>
      <w:r>
        <w:t xml:space="preserve">minimum detectable effect of about</w:t>
      </w:r>
      <w:r>
        <w:t xml:space="preserve"> </w:t>
      </w:r>
      <m:oMath>
        <m:r>
          <m:t>0.49</m:t>
        </m:r>
      </m:oMath>
      <w:r>
        <w:t xml:space="preserve"> bps at 80% power—so we could have detected a</w:t>
      </w:r>
      <w:r>
        <w:t xml:space="preserve"> </w:t>
      </w:r>
      <w:r>
        <w:t xml:space="preserve">narrowing of half a basis point had one existed in this proxy. The estimate is the wrong</w:t>
      </w:r>
      <w:r>
        <w:t xml:space="preserve"> </w:t>
      </w:r>
      <w:r>
        <w:t xml:space="preserve">sign for H1.</w:t>
      </w:r>
    </w:p>
    <w:bookmarkEnd w:id="25"/>
    <w:bookmarkStart w:id="26" w:name="event-study-and-pre-trends."/>
    <w:p>
      <w:pPr>
        <w:pStyle w:val="Heading4"/>
      </w:pPr>
      <w:r>
        <w:t xml:space="preserve">Event-study and pre-trends.</w:t>
      </w:r>
    </w:p>
    <w:p>
      <w:pPr>
        <w:pStyle w:val="FirstParagraph"/>
      </w:pPr>
      <w:r>
        <w:t xml:space="preserve">Table </w:t>
      </w:r>
      <w:hyperlink w:anchor="tab:eventstud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Figure </w:t>
      </w:r>
      <w:hyperlink w:anchor="fig:eventstud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plot weekly DiD coefficients relative to the week before the</w:t>
      </w:r>
      <w:r>
        <w:t xml:space="preserve"> </w:t>
      </w:r>
      <w:r>
        <w:t xml:space="preserve">event. If the design were valid, the pre-event coefficients would be flat near zero and any</w:t>
      </w:r>
      <w:r>
        <w:t xml:space="preserve"> </w:t>
      </w:r>
      <w:r>
        <w:t xml:space="preserve">effect would appear as a downward step at week 0. Instead, weeks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significantly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(</w:t>
      </w:r>
      <m:oMath>
        <m:r>
          <m:t>0.88</m:t>
        </m:r>
      </m:oMath>
      <w:r>
        <w:t xml:space="preserve">,</w:t>
      </w:r>
      <w:r>
        <w:t xml:space="preserve"> </w:t>
      </w:r>
      <m:oMath>
        <m:r>
          <m:t>0.82</m:t>
        </m:r>
      </m:oMath>
      <w:r>
        <w:t xml:space="preserve">,</w:t>
      </w:r>
      <w:r>
        <w:t xml:space="preserve"> </w:t>
      </w:r>
      <m:oMath>
        <m:r>
          <m:t>0.58</m:t>
        </m:r>
      </m:oMath>
      <w:r>
        <w:t xml:space="preserve"> bps;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,</m:t>
        </m:r>
        <m:r>
          <m:t>3.2</m:t>
        </m:r>
        <m:r>
          <m:rPr>
            <m:sty m:val="p"/>
          </m:rPr>
          <m:t>,</m:t>
        </m:r>
        <m:r>
          <m:t>2.7</m:t>
        </m:r>
      </m:oMath>
      <w:r>
        <w:t xml:space="preserve">), the gap closes</w:t>
      </w:r>
      <w:r>
        <w:t xml:space="preserve"> </w:t>
      </w:r>
      <w:r>
        <w:t xml:space="preserve">by weeks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and then re-widens after the event. The treated–control gap is</w:t>
      </w:r>
      <w:r>
        <w:t xml:space="preserve"> </w:t>
      </w:r>
      <w:r>
        <w:t xml:space="preserve">wandering for reasons unrelated to November 3.</w:t>
      </w:r>
    </w:p>
    <w:bookmarkEnd w:id="26"/>
    <w:bookmarkStart w:id="27" w:name="placebo."/>
    <w:p>
      <w:pPr>
        <w:pStyle w:val="Heading4"/>
      </w:pPr>
      <w:r>
        <w:t xml:space="preserve">Placebo.</w:t>
      </w:r>
    </w:p>
    <w:p>
      <w:pPr>
        <w:pStyle w:val="FirstParagraph"/>
      </w:pPr>
      <w:r>
        <w:t xml:space="preserve">Table </w:t>
      </w:r>
      <w:hyperlink w:anchor="tab:placebo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makes the point sharply. We drop the true</w:t>
      </w:r>
      <w:r>
        <w:t xml:space="preserve"> </w:t>
      </w:r>
      <w:r>
        <w:t xml:space="preserve">post-period entirely and assign a</w:t>
      </w:r>
      <w:r>
        <w:t xml:space="preserve"> </w:t>
      </w:r>
      <w:r>
        <w:rPr>
          <w:i/>
          <w:iCs/>
        </w:rPr>
        <w:t xml:space="preserve">fake</w:t>
      </w:r>
      <w:r>
        <w:t xml:space="preserve"> </w:t>
      </w:r>
      <w:r>
        <w:t xml:space="preserve">event date of October 6 inside the</w:t>
      </w:r>
      <w:r>
        <w:t xml:space="preserve"> </w:t>
      </w:r>
      <w:r>
        <w:t xml:space="preserve">pre-period. A valid design would return zero. Instead the fake-DiD is</w:t>
      </w:r>
      <w:r>
        <w:t xml:space="preserve"> </w:t>
      </w:r>
      <m:oMath>
        <m:r>
          <m:rPr>
            <m:sty m:val="p"/>
          </m:rPr>
          <m:t>−</m:t>
        </m:r>
        <m:r>
          <m:t>0.77</m:t>
        </m:r>
      </m:oMath>
      <w:r>
        <w:t xml:space="preserve"> bps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</m:t>
        </m:r>
      </m:oMath>
      <w:r>
        <w:t xml:space="preserve">)—larger in magnitude than, and opposite in sign to, the true-period estimate.</w:t>
      </w:r>
      <w:r>
        <w:t xml:space="preserve"> </w:t>
      </w:r>
      <w:r>
        <w:t xml:space="preserve">The parallel-trends assumption is violated, and the DiD cannot be read as causal.</w:t>
      </w:r>
    </w:p>
    <w:bookmarkEnd w:id="27"/>
    <w:bookmarkEnd w:id="28"/>
    <w:bookmarkStart w:id="33" w:name="sec:rob"/>
    <w:p>
      <w:pPr>
        <w:pStyle w:val="Heading1"/>
      </w:pPr>
      <w:r>
        <w:t xml:space="preserve">Robustness and mechanism</w:t>
      </w:r>
    </w:p>
    <w:bookmarkStart w:id="29" w:name="alternative-outcomes."/>
    <w:p>
      <w:pPr>
        <w:pStyle w:val="Heading4"/>
      </w:pPr>
      <w:r>
        <w:t xml:space="preserve">Alternative outcomes.</w:t>
      </w:r>
    </w:p>
    <w:p>
      <w:pPr>
        <w:pStyle w:val="FirstParagraph"/>
      </w:pPr>
      <w:r>
        <w:t xml:space="preserve">Table </w:t>
      </w:r>
      <w:hyperlink w:anchor="tab:altoutcom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re-estimates the DiD on the</w:t>
      </w:r>
      <w:r>
        <w:t xml:space="preserve"> </w:t>
      </w:r>
      <w:r>
        <w:t xml:space="preserve">dollar quoted spread and on the closing effective-spread proxy. The dollar-spread DiD is</w:t>
      </w:r>
      <w:r>
        <w:t xml:space="preserve"> </w:t>
      </w:r>
      <m:oMath>
        <m:r>
          <m:rPr>
            <m:sty m:val="p"/>
          </m:rPr>
          <m:t>+</m:t>
        </m:r>
        <m:r>
          <m:t>4.4</m:t>
        </m:r>
      </m:oMath>
      <w:r>
        <w:t xml:space="preserve"> </w:t>
      </w:r>
      <w:r>
        <w:t xml:space="preserve">cents (</w:t>
      </w:r>
      <m:oMath>
        <m:r>
          <m:t>t</m:t>
        </m:r>
        <m:r>
          <m:rPr>
            <m:sty m:val="p"/>
          </m:rPr>
          <m:t>≈</m:t>
        </m:r>
        <m:r>
          <m:t>4.5</m:t>
        </m:r>
      </m:oMath>
      <w:r>
        <w:t xml:space="preserve">)—again positive, again driven by controls. The</w:t>
      </w:r>
      <w:r>
        <w:t xml:space="preserve"> </w:t>
      </w:r>
      <w:r>
        <w:t xml:space="preserve">effective-spread proxy DiD is small and insignificant (</w:t>
      </w:r>
      <m:oMath>
        <m:r>
          <m:rPr>
            <m:sty m:val="p"/>
          </m:rPr>
          <m:t>+</m:t>
        </m:r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0.7</m:t>
        </m:r>
      </m:oMath>
      <w:r>
        <w:t xml:space="preserve"> bps,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–</w:t>
      </w:r>
      <m:oMath>
        <m:r>
          <m:t>1.8</m:t>
        </m:r>
      </m:oMath>
      <w:r>
        <w:t xml:space="preserve">). None supports H1–H2.</w:t>
      </w:r>
    </w:p>
    <w:bookmarkEnd w:id="29"/>
    <w:bookmarkStart w:id="30" w:name="X348cb06c2f8c16e3b6ccc4268dfa37e131f5469"/>
    <w:p>
      <w:pPr>
        <w:pStyle w:val="Heading4"/>
      </w:pPr>
      <w:r>
        <w:t xml:space="preserve">Why the daily proxy is blind: penny-grid censoring.</w:t>
      </w:r>
    </w:p>
    <w:p>
      <w:pPr>
        <w:pStyle w:val="FirstParagraph"/>
      </w:pPr>
      <w:r>
        <w:t xml:space="preserve">The decisive evidence is in</w:t>
      </w:r>
      <w:r>
        <w:t xml:space="preserve"> </w:t>
      </w:r>
      <w:r>
        <w:t xml:space="preserve">Table </w:t>
      </w:r>
      <w:hyperlink w:anchor="tab:censoring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 Figure </w:t>
      </w:r>
      <w:hyperlink w:anchor="fig:censoring">
        <w:r>
          <w:rPr>
            <w:rStyle w:val="Hyperlink"/>
          </w:rPr>
          <w:t xml:space="preserve">3</w:t>
        </w:r>
      </w:hyperlink>
      <w:r>
        <w:t xml:space="preserve">. For the treated stocks the</w:t>
      </w:r>
      <w:r>
        <w:t xml:space="preserve"> </w:t>
      </w:r>
      <w:r>
        <w:t xml:space="preserve">closing dollar spread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sub-penny: 0.0% of treated stock-days show a</w:t>
      </w:r>
      <w:r>
        <w:t xml:space="preserve"> </w:t>
      </w:r>
      <w:r>
        <w:t xml:space="preserve">spread below one cent, both before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after the reform. The share pinned at exactly</w:t>
      </w:r>
      <w:r>
        <w:t xml:space="preserve"> </w:t>
      </w:r>
      <w:r>
        <w:t xml:space="preserve">one cent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from 81.3% to 89.1%. A closing quote that is always</w:t>
      </w:r>
      <w:r>
        <w:t xml:space="preserve"> </w:t>
      </w:r>
      <m:oMath>
        <m:r>
          <m:rPr>
            <m:sty m:val="p"/>
          </m:rPr>
          <m:t>≥</m:t>
        </m:r>
        <m:r>
          <m:rPr>
            <m:sty m:val="p"/>
          </m:rPr>
          <m:t>$</m:t>
        </m:r>
        <m:r>
          <m:t>0.01</m:t>
        </m:r>
      </m:oMath>
      <w:r>
        <w:t xml:space="preserve"> </w:t>
      </w:r>
      <w:r>
        <w:t xml:space="preserve">cannot reveal a half-cent quote, so the reform’s margin is invisible in these data by</w:t>
      </w:r>
      <w:r>
        <w:t xml:space="preserve"> </w:t>
      </w:r>
      <w:r>
        <w:t xml:space="preserve">construction. The modest within-treated dollar narrowing we do see (</w:t>
      </w:r>
      <m:oMath>
        <m:r>
          <m:rPr>
            <m:sty m:val="p"/>
          </m:rPr>
          <m:t>−</m:t>
        </m:r>
        <m:r>
          <m:t>10.7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Table </w:t>
      </w:r>
      <w:hyperlink w:anchor="tab:withingroup">
        <w:r>
          <w:rPr>
            <w:rStyle w:val="Hyperlink"/>
          </w:rPr>
          <w:t xml:space="preserve">7</w:t>
        </w:r>
      </w:hyperlink>
      <w:r>
        <w:t xml:space="preserve">) is stocks moving from two cents to one cent (penny</w:t>
      </w:r>
      <w:r>
        <w:t xml:space="preserve"> </w:t>
      </w:r>
      <w:r>
        <w:t xml:space="preserve">compression), not one cent to a half-cent. This is a clean illustration of H3 and of the</w:t>
      </w:r>
      <w:r>
        <w:t xml:space="preserve"> </w:t>
      </w:r>
      <w:r>
        <w:t xml:space="preserve">proxy limits emphasized by</w:t>
      </w:r>
      <w:r>
        <w:t xml:space="preserve"> </w:t>
      </w:r>
      <w:r>
        <w:t xml:space="preserve">.</w:t>
      </w:r>
    </w:p>
    <w:bookmarkEnd w:id="30"/>
    <w:bookmarkStart w:id="31" w:name="Xd20fd1917b6d396c92d1e1560b7ad9da53584c4"/>
    <w:p>
      <w:pPr>
        <w:pStyle w:val="Heading4"/>
      </w:pPr>
      <w:r>
        <w:t xml:space="preserve">A market-wide tightening, not a treatment.</w:t>
      </w:r>
    </w:p>
    <w:p>
      <w:pPr>
        <w:pStyle w:val="FirstParagraph"/>
      </w:pPr>
      <w:r>
        <w:t xml:space="preserve">Table </w:t>
      </w:r>
      <w:hyperlink w:anchor="tab:withingroup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paired within-group changes. Both groups’ dollar spreads fell significantly from October to</w:t>
      </w:r>
      <w:r>
        <w:t xml:space="preserve"> </w:t>
      </w:r>
      <w:r>
        <w:t xml:space="preserve">November—treated</w:t>
      </w:r>
      <w:r>
        <w:t xml:space="preserve"> </w:t>
      </w:r>
      <m:oMath>
        <m:r>
          <m:rPr>
            <m:sty m:val="p"/>
          </m:rPr>
          <m:t>−</m:t>
        </m:r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(paired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</m:t>
        </m:r>
      </m:oMath>
      <w:r>
        <w:t xml:space="preserve">) and control</w:t>
      </w:r>
      <w:r>
        <w:t xml:space="preserve"> </w:t>
      </w:r>
      <m:oMath>
        <m:r>
          <m:rPr>
            <m:sty m:val="p"/>
          </m:rPr>
          <m:t>−</m:t>
        </m:r>
        <m:r>
          <m:t>22.6</m:t>
        </m:r>
        <m:r>
          <m:rPr>
            <m:sty m:val="p"/>
          </m:rPr>
          <m:t>%</m:t>
        </m:r>
      </m:oMath>
      <w:r>
        <w:t xml:space="preserve"> </w:t>
      </w:r>
      <w:r>
        <w:t xml:space="preserve">(paired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4.6</m:t>
        </m:r>
      </m:oMath>
      <w:r>
        <w:t xml:space="preserve">).</w:t>
      </w:r>
      <w:r>
        <w:t xml:space="preserve"> </w:t>
      </w:r>
      <w:r>
        <w:t xml:space="preserve">Whatever narrowed spreads in late 2025 (rising prices, lower volatility, or the access-fee</w:t>
      </w:r>
      <w:r>
        <w:t xml:space="preserve"> </w:t>
      </w:r>
      <w:r>
        <w:t xml:space="preserve">cut acting on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stocks) hit the unconstrained controls harder than the pinned</w:t>
      </w:r>
      <w:r>
        <w:t xml:space="preserve"> </w:t>
      </w:r>
      <w:r>
        <w:t xml:space="preserve">treated group. A DiD that uses these controls as the counterfactual therefore attributes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net tightening to the reform—a mechanical artifact of an invalid control</w:t>
      </w:r>
      <w:r>
        <w:t xml:space="preserve"> </w:t>
      </w:r>
      <w:r>
        <w:t xml:space="preserve">group, not evidence that the reform backfired.</w:t>
      </w:r>
    </w:p>
    <w:bookmarkEnd w:id="31"/>
    <w:bookmarkStart w:id="32" w:name="what-we-do-not-claim."/>
    <w:p>
      <w:pPr>
        <w:pStyle w:val="Heading4"/>
      </w:pPr>
      <w:r>
        <w:t xml:space="preserve">What we do not claim.</w:t>
      </w:r>
    </w:p>
    <w:p>
      <w:pPr>
        <w:pStyle w:val="FirstParagraph"/>
      </w:pPr>
      <w:r>
        <w:t xml:space="preserve">We do not claim the reform failed. We claim that daily</w:t>
      </w:r>
      <w:r>
        <w:t xml:space="preserve"> </w:t>
      </w:r>
      <w:r>
        <w:t xml:space="preserve">closing quotes cannot test it: the treated outcome is censored at the penny, the control</w:t>
      </w:r>
      <w:r>
        <w:t xml:space="preserve"> </w:t>
      </w:r>
      <w:r>
        <w:t xml:space="preserve">group is not comparable, and the parallel-trends and placebo checks fail. The sign and</w:t>
      </w:r>
      <w:r>
        <w:t xml:space="preserve"> </w:t>
      </w:r>
      <w:r>
        <w:t xml:space="preserve">significance of our DiD are real numbers from real data, but they are not a treatment</w:t>
      </w:r>
      <w:r>
        <w:t xml:space="preserve"> </w:t>
      </w:r>
      <w:r>
        <w:t xml:space="preserve">effect.</w:t>
      </w:r>
    </w:p>
    <w:bookmarkEnd w:id="32"/>
    <w:bookmarkEnd w:id="33"/>
    <w:bookmarkStart w:id="39" w:name="sec:design"/>
    <w:p>
      <w:pPr>
        <w:pStyle w:val="Heading1"/>
      </w:pPr>
      <w:r>
        <w:t xml:space="preserve">Design-based extensions</w:t>
      </w:r>
    </w:p>
    <w:p>
      <w:pPr>
        <w:pStyle w:val="FirstParagraph"/>
      </w:pPr>
      <w:r>
        <w:t xml:space="preserve">The naive DiD is statistically significant, wrong-signed, and non-causal. This section makes</w:t>
      </w:r>
      <w:r>
        <w:t xml:space="preserve"> </w:t>
      </w:r>
      <w:r>
        <w:t xml:space="preserve">that diagnosis rigorous and quantitative with four design-based checks, each on observable data.</w:t>
      </w:r>
    </w:p>
    <w:bookmarkStart w:id="34" w:name="no-subgroup-shows-the-effect."/>
    <w:p>
      <w:pPr>
        <w:pStyle w:val="Heading4"/>
      </w:pPr>
      <w:r>
        <w:t xml:space="preserve">No subgroup shows the effect.</w:t>
      </w:r>
    </w:p>
    <w:p>
      <w:pPr>
        <w:pStyle w:val="FirstParagraph"/>
      </w:pPr>
      <w:r>
        <w:t xml:space="preserve">If the reform tightened spreads for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tick-constrained stocks and the pooled test merely averaged it away, the narrowing should</w:t>
      </w:r>
      <w:r>
        <w:t xml:space="preserve"> </w:t>
      </w:r>
      <w:r>
        <w:t xml:space="preserve">surface in an observable subgroup. Table </w:t>
      </w:r>
      <w:hyperlink w:anchor="tab:hetero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interacts the DiD with four pre-rule</w:t>
      </w:r>
      <w:r>
        <w:t xml:space="preserve"> </w:t>
      </w:r>
      <w:r>
        <w:t xml:space="preserve">moderators that vary within both arms—above-median September return volatility, above-median</w:t>
      </w:r>
      <w:r>
        <w:t xml:space="preserve"> </w:t>
      </w:r>
      <w:r>
        <w:t xml:space="preserve">dollar volume, a Nasdaq-listing indicator, and a financial-industry indicator—reporting the</w:t>
      </w:r>
      <w:r>
        <w:t xml:space="preserve"> </w:t>
      </w:r>
      <w:r>
        <w:t xml:space="preserve">base DiD (low-moderator group) and the DiD</w:t>
      </w:r>
      <m:oMath>
        <m:r>
          <m:rPr>
            <m:sty m:val="p"/>
          </m:rPr>
          <m:t>×</m:t>
        </m:r>
      </m:oMath>
      <w:r>
        <w:t xml:space="preserve">moderator interaction for both the relative</w:t>
      </w:r>
      <w:r>
        <w:t xml:space="preserve"> </w:t>
      </w:r>
      <w:r>
        <w:t xml:space="preserve">and the dollar spread. Price is deliberately excluded because it is near-collinear with</w:t>
      </w:r>
      <w:r>
        <w:t xml:space="preserve"> </w:t>
      </w:r>
      <w:r>
        <w:t xml:space="preserve">treatment. The result is stark: the DiD is</w:t>
      </w:r>
      <w:r>
        <w:t xml:space="preserve"> </w:t>
      </w:r>
      <w:r>
        <w:rPr>
          <w:i/>
          <w:iCs/>
        </w:rPr>
        <w:t xml:space="preserve">positive and significant in every subgroup</w:t>
      </w:r>
      <w:r>
        <w:t xml:space="preserve"> </w:t>
      </w:r>
      <w:r>
        <w:t xml:space="preserve">(relative-spread base coefficients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1.00</m:t>
        </m:r>
      </m:oMath>
      <w:r>
        <w:t xml:space="preserve"> bps, all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2.6</m:t>
        </m:r>
      </m:oMath>
      <w:r>
        <w:t xml:space="preserve">), and every interaction</w:t>
      </w:r>
      <w:r>
        <w:t xml:space="preserve"> </w:t>
      </w:r>
      <w:r>
        <w:t xml:space="preserve">is statistically insignificant. No observable stratum exhibits the negative sign H1 predicts;</w:t>
      </w:r>
      <w:r>
        <w:t xml:space="preserve"> </w:t>
      </w:r>
      <w:r>
        <w:t xml:space="preserve">the wrong-signed estimate is a uniform feature of the sample, not a diluted true effect hiding</w:t>
      </w:r>
      <w:r>
        <w:t xml:space="preserve"> </w:t>
      </w:r>
      <w:r>
        <w:t xml:space="preserve">in a subgroup.</w:t>
      </w:r>
    </w:p>
    <w:bookmarkEnd w:id="34"/>
    <w:bookmarkStart w:id="35" w:name="X6362dbe6e056298f9d5451cf590eecd7cf8fe0e"/>
    <w:p>
      <w:pPr>
        <w:pStyle w:val="Heading4"/>
      </w:pPr>
      <w:r>
        <w:t xml:space="preserve">The control group is not a counterfactual.</w:t>
      </w:r>
    </w:p>
    <w:p>
      <w:pPr>
        <w:pStyle w:val="FirstParagraph"/>
      </w:pPr>
      <w:r>
        <w:t xml:space="preserve">Table </w:t>
      </w:r>
      <w:hyperlink w:anchor="tab:overlap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</w:t>
      </w:r>
      <w:r>
        <w:t xml:space="preserve"> </w:t>
      </w:r>
      <w:r>
        <w:t xml:space="preserve">normalized differences between treated and control on the September screening covariates. The</w:t>
      </w:r>
      <w:r>
        <w:t xml:space="preserve"> </w:t>
      </w:r>
      <w:r>
        <w:t xml:space="preserve">groups are well balanced on the two dimensions that plausibly drive spread</w:t>
      </w:r>
      <w:r>
        <w:t xml:space="preserve"> </w:t>
      </w:r>
      <w:r>
        <w:rPr>
          <w:i/>
          <w:iCs/>
        </w:rPr>
        <w:t xml:space="preserve">dynamics</w:t>
      </w:r>
      <w:r>
        <w:t xml:space="preserve">—</w:t>
      </w:r>
      <w:r>
        <w:t xml:space="preserve"> </w:t>
      </w:r>
      <w:r>
        <w:t xml:space="preserve">return volatility (</w:t>
      </w:r>
      <m:oMath>
        <m:r>
          <m:rPr>
            <m:sty m:val="p"/>
          </m:rPr>
          <m:t>+</m:t>
        </m:r>
        <m:r>
          <m:t>0.06</m:t>
        </m:r>
      </m:oMath>
      <w:r>
        <w:t xml:space="preserve">) and the relative spread itself (</w:t>
      </w:r>
      <m:oMath>
        <m:r>
          <m:rPr>
            <m:sty m:val="p"/>
          </m:rPr>
          <m:t>+</m:t>
        </m:r>
        <m:r>
          <m:t>0.11</m:t>
        </m:r>
      </m:oMath>
      <w:r>
        <w:t xml:space="preserve">), both far inside the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rule-of-thumb—but are grossly imbalanced on price (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price normalized difference</w:t>
      </w:r>
      <w:r>
        <w:t xml:space="preserve"> </w:t>
      </w:r>
      <m:oMath>
        <m:r>
          <m:rPr>
            <m:sty m:val="p"/>
          </m:rPr>
          <m:t>−</m:t>
        </m:r>
        <m:r>
          <m:t>2.42</m:t>
        </m:r>
      </m:oMath>
      <w:r>
        <w:t xml:space="preserve">) and dollar volume (</w:t>
      </w:r>
      <m:oMath>
        <m:r>
          <m:rPr>
            <m:sty m:val="p"/>
          </m:rPr>
          <m:t>−</m:t>
        </m:r>
        <m:r>
          <m:t>1.15</m:t>
        </m:r>
      </m:oMath>
      <w:r>
        <w:t xml:space="preserve">), an order of magnitude beyond that threshold. Only</w:t>
      </w:r>
      <w:r>
        <w:t xml:space="preserve"> </w:t>
      </w:r>
      <m:oMath>
        <m:r>
          <m:t>17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control stocks fall anywhere inside the treated price range of $5.9–$177.8. A</w:t>
      </w:r>
      <w:r>
        <w:t xml:space="preserve"> </w:t>
      </w:r>
      <w:r>
        <w:t xml:space="preserve">difference-in-differences that compares $44 tick-constrained names to $262 mega-caps is not</w:t>
      </w:r>
      <w:r>
        <w:t xml:space="preserve"> </w:t>
      </w:r>
      <w:r>
        <w:t xml:space="preserve">estimating a treatment effect; it is differencing two populations that share almost no common</w:t>
      </w:r>
      <w:r>
        <w:t xml:space="preserve"> </w:t>
      </w:r>
      <w:r>
        <w:t xml:space="preserve">support on price and liquidity. This is precisely the imbalance a matched control must repair,</w:t>
      </w:r>
      <w:r>
        <w:t xml:space="preserve"> </w:t>
      </w:r>
      <w:r>
        <w:t xml:space="preserve">and building that match—on price and volatility, drawn from the full universe—is the</w:t>
      </w:r>
      <w:r>
        <w:t xml:space="preserve"> </w:t>
      </w:r>
      <w:r>
        <w:t xml:space="preserve">student’s reserved task, motivated but deliberately not performed here.</w:t>
      </w:r>
    </w:p>
    <w:bookmarkEnd w:id="35"/>
    <w:bookmarkStart w:id="36" w:name="Xfb5038d320ef0a996e4e932b6a72272273a3496"/>
    <w:p>
      <w:pPr>
        <w:pStyle w:val="Heading4"/>
      </w:pPr>
      <w:r>
        <w:t xml:space="preserve">The wrong sign survives every screen redefinition.</w:t>
      </w:r>
    </w:p>
    <w:p>
      <w:pPr>
        <w:pStyle w:val="FirstParagraph"/>
      </w:pPr>
      <w:r>
        <w:t xml:space="preserve">One might worry that the result</w:t>
      </w:r>
      <w:r>
        <w:t xml:space="preserve"> </w:t>
      </w:r>
      <w:r>
        <w:t xml:space="preserve">depends on where we drew the $0.015 treated cutoff or the $0.02 control cutoff.</w:t>
      </w:r>
      <w:r>
        <w:t xml:space="preserve"> </w:t>
      </w:r>
      <w:r>
        <w:t xml:space="preserve">Table </w:t>
      </w:r>
      <w:hyperlink w:anchor="tab:altdef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re-estimates the two-way fixed-effects DiD on subsets of the same 150</w:t>
      </w:r>
      <w:r>
        <w:t xml:space="preserve"> </w:t>
      </w:r>
      <w:r>
        <w:t xml:space="preserve">stocks under a tighter treated screen (September dollar spread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$</m:t>
        </m:r>
        <m:r>
          <m:t>0.012</m:t>
        </m:r>
      </m:oMath>
      <w:r>
        <w:t xml:space="preserve">), a narrower control</w:t>
      </w:r>
      <w:r>
        <w:t xml:space="preserve"> </w:t>
      </w:r>
      <w:r>
        <w:t xml:space="preserve">screen (</w:t>
      </w:r>
      <m:oMath>
        <m:r>
          <m:rPr>
            <m:sty m:val="p"/>
          </m:rPr>
          <m:t>≥</m:t>
        </m:r>
        <m:r>
          <m:rPr>
            <m:sty m:val="p"/>
          </m:rPr>
          <m:t>$</m:t>
        </m:r>
        <m:r>
          <m:t>0.03</m:t>
        </m:r>
      </m:oMath>
      <w:r>
        <w:t xml:space="preserve">), a donut that drops names near the $0.015 boundary, and a sample that</w:t>
      </w:r>
      <w:r>
        <w:t xml:space="preserve"> </w:t>
      </w:r>
      <w:r>
        <w:t xml:space="preserve">excludes mega-caps (screen price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$</m:t>
        </m:r>
        <m:r>
          <m:t>500</m:t>
        </m:r>
      </m:oMath>
      <w:r>
        <w:t xml:space="preserve">). The DiD stays positive and significant throughout,</w:t>
      </w:r>
      <w:r>
        <w:t xml:space="preserve"> </w:t>
      </w:r>
      <w:r>
        <w:t xml:space="preserve">ranging from</w:t>
      </w:r>
      <w:r>
        <w:t xml:space="preserve"> </w:t>
      </w:r>
      <m:oMath>
        <m:r>
          <m:rPr>
            <m:sty m:val="p"/>
          </m:rPr>
          <m:t>+</m:t>
        </m:r>
        <m:r>
          <m:t>0.39</m:t>
        </m:r>
      </m:oMath>
      <w:r>
        <w:t xml:space="preserve"> bps (</w:t>
      </w:r>
      <m:oMath>
        <m:r>
          <m:t>t</m:t>
        </m:r>
        <m:r>
          <m:rPr>
            <m:sty m:val="p"/>
          </m:rPr>
          <m:t>=</m:t>
        </m:r>
        <m:r>
          <m:t>2.6</m:t>
        </m:r>
      </m:oMath>
      <w:r>
        <w:t xml:space="preserve">, dropping mega-caps) to</w:t>
      </w:r>
      <w:r>
        <w:t xml:space="preserve"> </w:t>
      </w:r>
      <m:oMath>
        <m:r>
          <m:rPr>
            <m:sty m:val="p"/>
          </m:rPr>
          <m:t>+</m:t>
        </m:r>
        <m:r>
          <m:t>1.00</m:t>
        </m:r>
      </m:oMath>
      <w:r>
        <w:t xml:space="preserve"> bps (</w:t>
      </w:r>
      <m:oMath>
        <m:r>
          <m:t>t</m:t>
        </m:r>
        <m:r>
          <m:rPr>
            <m:sty m:val="p"/>
          </m:rPr>
          <m:t>=</m:t>
        </m:r>
        <m:r>
          <m:t>4.8</m:t>
        </m:r>
      </m:oMath>
      <w:r>
        <w:t xml:space="preserve">, donut). Even</w:t>
      </w:r>
      <w:r>
        <w:t xml:space="preserve"> </w:t>
      </w:r>
      <w:r>
        <w:t xml:space="preserve">removing the highest-priced controls—the most obvious source of non-comparability—leaves a</w:t>
      </w:r>
      <w:r>
        <w:t xml:space="preserve"> </w:t>
      </w:r>
      <w:r>
        <w:t xml:space="preserve">significant wrong-signed estimate. The pathology cannot be screened away; it requires the</w:t>
      </w:r>
      <w:r>
        <w:t xml:space="preserve"> </w:t>
      </w:r>
      <w:r>
        <w:t xml:space="preserve">price-matched control the overlap diagnostic calls for.</w:t>
      </w:r>
    </w:p>
    <w:bookmarkEnd w:id="36"/>
    <w:bookmarkStart w:id="37" w:name="Xe7d92e02c7124e6f0dba8d5fbbe4d0b82ea01b8"/>
    <w:p>
      <w:pPr>
        <w:pStyle w:val="Heading4"/>
      </w:pPr>
      <w:r>
        <w:t xml:space="preserve">Randomization inference locates the estimate in the price structure.</w:t>
      </w:r>
    </w:p>
    <w:p>
      <w:pPr>
        <w:pStyle w:val="FirstParagraph"/>
      </w:pPr>
      <w:r>
        <w:t xml:space="preserve">Table </w:t>
      </w:r>
      <w:hyperlink w:anchor="tab:ri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and Figure </w:t>
      </w:r>
      <w:hyperlink w:anchor="fig:randin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report design-based inference from 500</w:t>
      </w:r>
      <w:r>
        <w:t xml:space="preserve"> </w:t>
      </w:r>
      <w:r>
        <w:t xml:space="preserve">permutations of the treatment label across the 150 stocks. For the relative quoted spread the</w:t>
      </w:r>
      <w:r>
        <w:t xml:space="preserve"> </w:t>
      </w:r>
      <w:r>
        <w:t xml:space="preserve">actual DiD (</w:t>
      </w:r>
      <m:oMath>
        <m:r>
          <m:rPr>
            <m:sty m:val="p"/>
          </m:rPr>
          <m:t>+</m:t>
        </m:r>
        <m:r>
          <m:t>0.73</m:t>
        </m:r>
      </m:oMath>
      <w:r>
        <w:t xml:space="preserve"> bps) lies far outside the permutation 95% interval</w:t>
      </w:r>
      <w:r>
        <w:t xml:space="preserve"> </w:t>
      </w:r>
      <w:r>
        <w:t xml:space="preserve">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0.37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0.36</m:t>
        </m:r>
        <m:r>
          <m:rPr>
            <m:sty m:val="p"/>
          </m:rPr>
          <m:t>]</m:t>
        </m:r>
      </m:oMath>
      <w:r>
        <w:t xml:space="preserve">), randomization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; the dollar-spread estimate is likewise extreme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4.36</m:t>
        </m:r>
      </m:oMath>
      <w:r>
        <w:t xml:space="preserve"> </w:t>
      </w:r>
      <w:r>
        <w:t xml:space="preserve">cents versus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1.99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2.03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).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rescue a causal reading.</w:t>
      </w:r>
      <w:r>
        <w:t xml:space="preserve"> </w:t>
      </w:r>
      <w:r>
        <w:t xml:space="preserve">Because random assignment ignores price and liquidity, an estimate this extreme means the</w:t>
      </w:r>
      <w:r>
        <w:t xml:space="preserve"> </w:t>
      </w:r>
      <w:r>
        <w:t xml:space="preserve">treated–control spread gap is a</w:t>
      </w:r>
      <w:r>
        <w:t xml:space="preserve"> </w:t>
      </w:r>
      <w:r>
        <w:rPr>
          <w:i/>
          <w:iCs/>
        </w:rPr>
        <w:t xml:space="preserve">systematic</w:t>
      </w:r>
      <w:r>
        <w:t xml:space="preserve"> </w:t>
      </w:r>
      <w:r>
        <w:t xml:space="preserve">function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stocks are labeled</w:t>
      </w:r>
      <w:r>
        <w:t xml:space="preserve"> </w:t>
      </w:r>
      <w:r>
        <w:t xml:space="preserve">treated—their price and volume—exactly the artifact the placebo, the pre-trends, and the</w:t>
      </w:r>
      <w:r>
        <w:t xml:space="preserve"> </w:t>
      </w:r>
      <w:r>
        <w:t xml:space="preserve">overlap diagnostic identify. Randomization inference thus corroborates both halves of the story:</w:t>
      </w:r>
      <w:r>
        <w:t xml:space="preserve"> </w:t>
      </w:r>
      <w:r>
        <w:t xml:space="preserve">the estimate is not sampling noise, and it is not the reform.</w:t>
      </w:r>
    </w:p>
    <w:bookmarkEnd w:id="37"/>
    <w:bookmarkStart w:id="38" w:name="Xde775efc12595dd85bc1fdc3f54891c9cba3173"/>
    <w:p>
      <w:pPr>
        <w:pStyle w:val="Heading4"/>
      </w:pPr>
      <w:r>
        <w:t xml:space="preserve">The null is informative, not underpowered.</w:t>
      </w:r>
    </w:p>
    <w:p>
      <w:pPr>
        <w:pStyle w:val="FirstParagraph"/>
      </w:pPr>
      <w:r>
        <w:t xml:space="preserve">Finally, Table </w:t>
      </w:r>
      <w:hyperlink w:anchor="tab:power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minimum detectable 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 for each outcome. For the relative quoted spread the MDE is</w:t>
      </w:r>
      <w:r>
        <w:t xml:space="preserve"> </w:t>
      </w:r>
      <m:oMath>
        <m:r>
          <m:t>0.49</m:t>
        </m:r>
      </m:oMath>
      <w:r>
        <w:t xml:space="preserve"> bps—</w:t>
      </w:r>
      <m:oMath>
        <m:r>
          <m:t>13.8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pre-period treated mean—so a narrowing of half a basis point would</w:t>
      </w:r>
      <w:r>
        <w:t xml:space="preserve"> </w:t>
      </w:r>
      <w:r>
        <w:t xml:space="preserve">have been detected had it appeared in the daily close. The economic benchmark makes the point</w:t>
      </w:r>
      <w:r>
        <w:t xml:space="preserve"> </w:t>
      </w:r>
      <w:r>
        <w:t xml:space="preserve">decisive: a move from a one-cent to a half-cent quoted spread at the median treated midpoint of</w:t>
      </w:r>
      <w:r>
        <w:t xml:space="preserve"> </w:t>
      </w:r>
      <w:r>
        <w:t xml:space="preserve">$48.90 is a</w:t>
      </w:r>
      <w:r>
        <w:t xml:space="preserve"> </w:t>
      </w:r>
      <m:oMath>
        <m:r>
          <m:t>1.02</m:t>
        </m:r>
      </m:oMath>
      <w:r>
        <w:t xml:space="preserve"> bps relative narrowing,</w:t>
      </w:r>
      <w:r>
        <w:t xml:space="preserve"> </w:t>
      </w:r>
      <w:r>
        <w:rPr>
          <w:i/>
          <w:iCs/>
        </w:rPr>
        <w:t xml:space="preserve">twice</w:t>
      </w:r>
      <w:r>
        <w:t xml:space="preserve"> </w:t>
      </w:r>
      <w:r>
        <w:t xml:space="preserve">the MDE. The design is therefore easily</w:t>
      </w:r>
      <w:r>
        <w:t xml:space="preserve"> </w:t>
      </w:r>
      <w:r>
        <w:t xml:space="preserve">powerful enough to see the reform’s mechanical margin—</w:t>
      </w:r>
      <w:r>
        <w:rPr>
          <w:i/>
          <w:iCs/>
        </w:rPr>
        <w:t xml:space="preserve">if</w:t>
      </w:r>
      <w:r>
        <w:t xml:space="preserve"> </w:t>
      </w:r>
      <w:r>
        <w:t xml:space="preserve">the daily closing quote could</w:t>
      </w:r>
      <w:r>
        <w:t xml:space="preserve"> </w:t>
      </w:r>
      <w:r>
        <w:t xml:space="preserve">represent a half-cent spread. The censoring result (Table </w:t>
      </w:r>
      <w:hyperlink w:anchor="tab:censoring">
        <w:r>
          <w:rPr>
            <w:rStyle w:val="Hyperlink"/>
          </w:rPr>
          <w:t xml:space="preserve">8</w:t>
        </w:r>
      </w:hyperlink>
      <w:r>
        <w:t xml:space="preserve">) shows it never</w:t>
      </w:r>
      <w:r>
        <w:t xml:space="preserve"> </w:t>
      </w:r>
      <w:r>
        <w:t xml:space="preserve">does:</w:t>
      </w:r>
      <w:r>
        <w:t xml:space="preserve"> </w:t>
      </w:r>
      <m:oMath>
        <m:r>
          <m:t>0.0</m:t>
        </m:r>
        <m:r>
          <m:rPr>
            <m:sty m:val="p"/>
          </m:rPr>
          <m:t>%</m:t>
        </m:r>
      </m:oMath>
      <w:r>
        <w:t xml:space="preserve"> </w:t>
      </w:r>
      <w:r>
        <w:t xml:space="preserve">of treated stock-days are sub-penny. The null is not the symptom of an</w:t>
      </w:r>
      <w:r>
        <w:t xml:space="preserve"> </w:t>
      </w:r>
      <w:r>
        <w:t xml:space="preserve">underpowered test; it is the signature of a censored measurement. (The dollar-spread MDE is</w:t>
      </w:r>
      <w:r>
        <w:t xml:space="preserve"> </w:t>
      </w:r>
      <w:r>
        <w:t xml:space="preserve">large relative to its small treated mean, so we read that noisy margin cautiously.)</w:t>
      </w:r>
    </w:p>
    <w:bookmarkEnd w:id="38"/>
    <w:bookmarkEnd w:id="39"/>
    <w:bookmarkStart w:id="41" w:name="sec:conc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Using the CRSP daily closing NBBO for 150 NMS stocks around the November 3, 2025 half-cent</w:t>
      </w:r>
      <w:r>
        <w:t xml:space="preserve"> </w:t>
      </w:r>
      <w:r>
        <w:t xml:space="preserve">tick and access-fee reform, we find no credible evidence that tick-constrained stocks’</w:t>
      </w:r>
      <w:r>
        <w:t xml:space="preserve"> </w:t>
      </w:r>
      <w:r>
        <w:t xml:space="preserve">spreads narrowed relative to wide-spread controls. The naive DiD is the wrong sign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0.73</m:t>
        </m:r>
      </m:oMath>
      <w:r>
        <w:t xml:space="preserve"> bps,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4.2</m:t>
        </m:r>
      </m:oMath>
      <w:r>
        <w:t xml:space="preserve">), but it fails a placebo (</w:t>
      </w:r>
      <m:oMath>
        <m:r>
          <m:rPr>
            <m:sty m:val="p"/>
          </m:rPr>
          <m:t>−</m:t>
        </m:r>
        <m:r>
          <m:t>0.77</m:t>
        </m:r>
      </m:oMath>
      <w:r>
        <w:t xml:space="preserve"> bps,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</m:t>
        </m:r>
      </m:oMath>
      <w:r>
        <w:t xml:space="preserve">) and shows</w:t>
      </w:r>
      <w:r>
        <w:t xml:space="preserve"> </w:t>
      </w:r>
      <w:r>
        <w:t xml:space="preserve">non-parallel pre-trends, and—most importantly—the daily close is censored to the penny</w:t>
      </w:r>
      <w:r>
        <w:t xml:space="preserve"> </w:t>
      </w:r>
      <w:r>
        <w:t xml:space="preserve">grid for exactly the stocks the reform targets (0.0% of treated stock-days sub-penny).</w:t>
      </w:r>
      <w:r>
        <w:t xml:space="preserve"> </w:t>
      </w:r>
      <w:r>
        <w:t xml:space="preserve">Both groups’ dollar spreads fell market-wide (treated</w:t>
      </w:r>
      <w:r>
        <w:t xml:space="preserve"> </w:t>
      </w:r>
      <m:oMath>
        <m:r>
          <m:rPr>
            <m:sty m:val="p"/>
          </m:rPr>
          <m:t>−</m:t>
        </m:r>
        <m:r>
          <m:t>10.7</m:t>
        </m:r>
        <m:r>
          <m:rPr>
            <m:sty m:val="p"/>
          </m:rPr>
          <m:t>%</m:t>
        </m:r>
      </m:oMath>
      <w:r>
        <w:t xml:space="preserve">, control</w:t>
      </w:r>
      <w:r>
        <w:t xml:space="preserve"> </w:t>
      </w:r>
      <m:oMath>
        <m:r>
          <m:rPr>
            <m:sty m:val="p"/>
          </m:rPr>
          <m:t>−</m:t>
        </m:r>
        <m:r>
          <m:t>22.6</m:t>
        </m:r>
        <m:r>
          <m:rPr>
            <m:sty m:val="p"/>
          </m:rPr>
          <m:t>%</m:t>
        </m:r>
      </m:oMath>
      <w:r>
        <w:t xml:space="preserve">), which</w:t>
      </w:r>
      <w:r>
        <w:t xml:space="preserve"> </w:t>
      </w:r>
      <w:r>
        <w:t xml:space="preserve">the daily design cannot separate from the reform. The honest conclusion is that this</w:t>
      </w:r>
      <w:r>
        <w:t xml:space="preserve"> </w:t>
      </w:r>
      <w:r>
        <w:t xml:space="preserve">question cannot be answered with daily data.</w:t>
      </w:r>
    </w:p>
    <w:p>
      <w:pPr>
        <w:pStyle w:val="BodyText"/>
      </w:pPr>
      <w:r>
        <w:t xml:space="preserve">The path to an answer is specific and is the project’s next phase. First, obtain TAQ</w:t>
      </w:r>
      <w:r>
        <w:t xml:space="preserve"> </w:t>
      </w:r>
      <w:r>
        <w:t xml:space="preserve">intraday NBBO (or a vendor daily-spread product built from it) and compute a time-weighted</w:t>
      </w:r>
      <w:r>
        <w:t xml:space="preserve"> </w:t>
      </w:r>
      <w:r>
        <w:t xml:space="preserve">quoted spread and a trade-based effective spread—the measures on which the reform actually</w:t>
      </w:r>
      <w:r>
        <w:t xml:space="preserve"> </w:t>
      </w:r>
      <w:r>
        <w:t xml:space="preserve">operates. Second,</w:t>
      </w:r>
      <w:r>
        <w:t xml:space="preserve"> </w:t>
      </w:r>
      <w:r>
        <w:rPr>
          <w:i/>
          <w:iCs/>
        </w:rPr>
        <w:t xml:space="preserve">hand-verify tick-constrained eligibility per stock</w:t>
      </w:r>
      <w:r>
        <w:t xml:space="preserve"> </w:t>
      </w:r>
      <w:r>
        <w:t xml:space="preserve">against the SEC</w:t>
      </w:r>
      <w:r>
        <w:t xml:space="preserve"> </w:t>
      </w:r>
      <w:r>
        <w:t xml:space="preserve">adopting release and the exchange phase-in notices, and log the exact per-tranche</w:t>
      </w:r>
      <w:r>
        <w:t xml:space="preserve"> </w:t>
      </w:r>
      <w:r>
        <w:t xml:space="preserve">compliance dates, since the automated $0.015 screen is only an approximation of the</w:t>
      </w:r>
      <w:r>
        <w:t xml:space="preserve"> </w:t>
      </w:r>
      <w:r>
        <w:t xml:space="preserve">regulatory TWAQS assignment. Third, sharpen identification with a control group matched on</w:t>
      </w:r>
      <w:r>
        <w:t xml:space="preserve"> </w:t>
      </w:r>
      <w:r>
        <w:t xml:space="preserve">price and volatility, or a regression-discontinuity design around the $0.015 cutoff, so</w:t>
      </w:r>
      <w:r>
        <w:t xml:space="preserve"> </w:t>
      </w:r>
      <w:r>
        <w:t xml:space="preserve">that treated and control stocks share a counterfactual. With those three pieces the same DiD</w:t>
      </w:r>
      <w:r>
        <w:t xml:space="preserve"> </w:t>
      </w:r>
      <w:r>
        <w:t xml:space="preserve">skeleton built here becomes a credible test. Until then, the responsible finding is a</w:t>
      </w:r>
      <w:r>
        <w:t xml:space="preserve"> </w:t>
      </w:r>
      <w:r>
        <w:t xml:space="preserve">transparent null with a documented reason.</w:t>
      </w:r>
    </w:p>
    <w:bookmarkStart w:id="40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(i) Daily closing quotes, not intraday—the central limitation.</w:t>
      </w:r>
      <w:r>
        <w:t xml:space="preserve"> </w:t>
      </w:r>
      <w:r>
        <w:t xml:space="preserve">(ii) A small, deliberately illustrative sample of 150 liquid names, not the full NMS</w:t>
      </w:r>
      <w:r>
        <w:t xml:space="preserve"> </w:t>
      </w:r>
      <w:r>
        <w:t xml:space="preserve">universe. (iii) Treatment assigned by an automated spread screen, pending the student’s</w:t>
      </w:r>
      <w:r>
        <w:t xml:space="preserve"> </w:t>
      </w:r>
      <w:r>
        <w:t xml:space="preserve">hand-verification of true eligibility. (iv) The four-week windows are short by design (to</w:t>
      </w:r>
      <w:r>
        <w:t xml:space="preserve"> </w:t>
      </w:r>
      <w:r>
        <w:t xml:space="preserve">isolate the event) and cannot speak to longer-run adjustment.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</w:t>
      </w:r>
      <w:r>
        <w:t xml:space="preserve"> </w:t>
      </w:r>
      <w:r>
        <w:rPr>
          <w:i/>
          <w:iCs/>
        </w:rPr>
        <w:t xml:space="preserve">American Economic Review: Insights</w:t>
      </w:r>
      <w:r>
        <w:t xml:space="preserve"> </w:t>
      </w:r>
      <w:r>
        <w:t xml:space="preserve">2(2), 193–208.</w:t>
      </w:r>
      <w:r>
        <w:t xml:space="preserve"> </w:t>
      </w:r>
      <w:r>
        <w:t xml:space="preserve">Albuquerque, R., Song, S., Yao, C., 2020.</w:t>
      </w:r>
      <w:r>
        <w:t xml:space="preserve"> </w:t>
      </w:r>
      <w:r>
        <w:t xml:space="preserve">The price effects of liquidity shocks: A study of the SEC’s tick size experiment.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138(3), 700–724.</w:t>
      </w:r>
      <w:r>
        <w:t xml:space="preserve"> </w:t>
      </w:r>
      <w:r>
        <w:t xml:space="preserve">Angel, J.J., 1997. Tick size, share prices, and stock</w:t>
      </w:r>
      <w:r>
        <w:t xml:space="preserve"> </w:t>
      </w:r>
      <w:r>
        <w:t xml:space="preserve">splits.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52(2), 655–681.</w:t>
      </w:r>
      <w:r>
        <w:t xml:space="preserve"> </w:t>
      </w:r>
      <w:r>
        <w:t xml:space="preserve">Bessembinder, H., 2003. Trade execution costs</w:t>
      </w:r>
      <w:r>
        <w:t xml:space="preserve"> </w:t>
      </w:r>
      <w:r>
        <w:t xml:space="preserve">and market quality after decimalization.</w:t>
      </w:r>
      <w:r>
        <w:t xml:space="preserve"> </w:t>
      </w:r>
      <w:r>
        <w:rPr>
          <w:i/>
          <w:iCs/>
        </w:rPr>
        <w:t xml:space="preserve">Journal of Financial and Quantitative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  <w:r>
        <w:t xml:space="preserve"> </w:t>
      </w:r>
      <w:r>
        <w:t xml:space="preserve">38(4), 747–777.</w:t>
      </w:r>
      <w:r>
        <w:t xml:space="preserve"> </w:t>
      </w:r>
      <w:r>
        <w:t xml:space="preserve">Callaway, B., Sant’Anna, P.H.C., 2021.</w:t>
      </w:r>
      <w:r>
        <w:t xml:space="preserve"> </w:t>
      </w:r>
      <w:r>
        <w:t xml:space="preserve">Difference-in-differences with multiple time periods.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225(2),</w:t>
      </w:r>
      <w:r>
        <w:t xml:space="preserve"> </w:t>
      </w:r>
      <w:r>
        <w:t xml:space="preserve">200–230.</w:t>
      </w:r>
      <w:r>
        <w:t xml:space="preserve"> </w:t>
      </w:r>
      <w:r>
        <w:t xml:space="preserve">Chung, K.H., Zhang, H., 2014. A simple</w:t>
      </w:r>
      <w:r>
        <w:t xml:space="preserve"> </w:t>
      </w:r>
      <w:r>
        <w:t xml:space="preserve">approximation of intraday spreads using daily data.</w:t>
      </w:r>
      <w:r>
        <w:t xml:space="preserve"> </w:t>
      </w:r>
      <w:r>
        <w:rPr>
          <w:i/>
          <w:iCs/>
        </w:rPr>
        <w:t xml:space="preserve">Journal of Financial Markets</w:t>
      </w:r>
      <w:r>
        <w:t xml:space="preserve"> </w:t>
      </w:r>
      <w:r>
        <w:t xml:space="preserve">17, 94–120.</w:t>
      </w:r>
      <w:r>
        <w:t xml:space="preserve"> </w:t>
      </w:r>
      <w:r>
        <w:t xml:space="preserve">Comerton-Forde, C., Grégoire, V.,</w:t>
      </w:r>
      <w:r>
        <w:t xml:space="preserve"> </w:t>
      </w:r>
      <w:r>
        <w:t xml:space="preserve">Zhong, Z., 2019. Inverted fee structures, tick size, and market quality.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Financial Economics</w:t>
      </w:r>
      <w:r>
        <w:t xml:space="preserve"> </w:t>
      </w:r>
      <w:r>
        <w:t xml:space="preserve">134(1), 141–164.</w:t>
      </w:r>
      <w:r>
        <w:t xml:space="preserve"> </w:t>
      </w:r>
      <w:r>
        <w:t xml:space="preserve">Corwin, S.A., Schultz, P., 2012. A simple way</w:t>
      </w:r>
      <w:r>
        <w:t xml:space="preserve"> </w:t>
      </w:r>
      <w:r>
        <w:t xml:space="preserve">to estimate bid–ask spreads from daily high and low prices.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67(2), 719–760.</w:t>
      </w:r>
      <w:r>
        <w:t xml:space="preserve"> </w:t>
      </w:r>
      <w:r>
        <w:t xml:space="preserve">Foucault, T., Pagano, M., Röell, A., 2013.</w:t>
      </w:r>
      <w:r>
        <w:t xml:space="preserve"> </w:t>
      </w:r>
      <w:r>
        <w:rPr>
          <w:i/>
          <w:iCs/>
        </w:rPr>
        <w:t xml:space="preserve">Market Liquidity: Theory, Evidence, and Policy</w:t>
      </w:r>
      <w:r>
        <w:t xml:space="preserve">. Oxford University Press.</w:t>
      </w:r>
      <w:r>
        <w:t xml:space="preserve"> </w:t>
      </w:r>
      <w:r>
        <w:t xml:space="preserve">Goldstein, M.A., Kavajecz, K.A., 2000.</w:t>
      </w:r>
      <w:r>
        <w:t xml:space="preserve"> </w:t>
      </w:r>
      <w:r>
        <w:t xml:space="preserve">Eighths, sixteenths, and market depth: changes in tick size and liquidity provision on the</w:t>
      </w:r>
      <w:r>
        <w:t xml:space="preserve"> </w:t>
      </w:r>
      <w:r>
        <w:t xml:space="preserve">NYSE.</w:t>
      </w:r>
      <w:r>
        <w:t xml:space="preserve"> </w:t>
      </w:r>
      <w:r>
        <w:rPr>
          <w:i/>
          <w:iCs/>
        </w:rPr>
        <w:t xml:space="preserve">Journal of Financial Economics</w:t>
      </w:r>
      <w:r>
        <w:t xml:space="preserve"> </w:t>
      </w:r>
      <w:r>
        <w:t xml:space="preserve">56(1), 125–149.</w:t>
      </w:r>
      <w:r>
        <w:t xml:space="preserve"> </w:t>
      </w:r>
      <w:r>
        <w:t xml:space="preserve">Harris, L., 1994. Minimum price variations, discrete</w:t>
      </w:r>
      <w:r>
        <w:t xml:space="preserve"> </w:t>
      </w:r>
      <w:r>
        <w:t xml:space="preserve">bid–ask spreads, and quotation sizes.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7(1), 149–178.</w:t>
      </w:r>
      <w:r>
        <w:t xml:space="preserve"> </w:t>
      </w:r>
      <w:r>
        <w:t xml:space="preserve">Holden, C.W., Jacobsen, S., 2014. Liquidity</w:t>
      </w:r>
      <w:r>
        <w:t xml:space="preserve"> </w:t>
      </w:r>
      <w:r>
        <w:t xml:space="preserve">measurement problems in fast, competitive markets: expensive and cheap solutions.</w:t>
      </w:r>
      <w:r>
        <w:t xml:space="preserve"> </w:t>
      </w:r>
      <w:r>
        <w:rPr>
          <w:i/>
          <w:iCs/>
        </w:rPr>
        <w:t xml:space="preserve">Journal of Finance</w:t>
      </w:r>
      <w:r>
        <w:t xml:space="preserve"> </w:t>
      </w:r>
      <w:r>
        <w:t xml:space="preserve">69(4), 1747–1785.</w:t>
      </w:r>
      <w:r>
        <w:t xml:space="preserve"> </w:t>
      </w:r>
      <w:r>
        <w:t xml:space="preserve">Imbens, G.W., Rubin, D.B., 2015.</w:t>
      </w:r>
      <w:r>
        <w:t xml:space="preserve"> </w:t>
      </w:r>
      <w:r>
        <w:rPr>
          <w:i/>
          <w:iCs/>
        </w:rPr>
        <w:t xml:space="preserve">Causal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 for Statistics, Social, and Biomedical Sciences: An Introduction</w:t>
      </w:r>
      <w:r>
        <w:t xml:space="preserve">. Cambridge</w:t>
      </w:r>
      <w:r>
        <w:t xml:space="preserve"> </w:t>
      </w:r>
      <w:r>
        <w:t xml:space="preserve">University Press.</w:t>
      </w:r>
      <w:r>
        <w:t xml:space="preserve"> </w:t>
      </w:r>
      <w:r>
        <w:t xml:space="preserve">O’Hara, M., Saar, G., Zhong, Z., 2019. Relative</w:t>
      </w:r>
      <w:r>
        <w:t xml:space="preserve"> </w:t>
      </w:r>
      <w:r>
        <w:t xml:space="preserve">tick size and the trading environment.</w:t>
      </w:r>
      <w:r>
        <w:t xml:space="preserve"> </w:t>
      </w:r>
      <w:r>
        <w:rPr>
          <w:i/>
          <w:iCs/>
        </w:rPr>
        <w:t xml:space="preserve">Review of Asset Pricing Studies</w:t>
      </w:r>
      <w:r>
        <w:t xml:space="preserve"> </w:t>
      </w:r>
      <w:r>
        <w:t xml:space="preserve">9(1),</w:t>
      </w:r>
      <w:r>
        <w:t xml:space="preserve"> </w:t>
      </w:r>
      <w:r>
        <w:t xml:space="preserve">47–90.</w:t>
      </w:r>
      <w:r>
        <w:t xml:space="preserve"> </w:t>
      </w:r>
      <w:r>
        <w:t xml:space="preserve">Petersen, M.A., 2009. Estimating standard errors in</w:t>
      </w:r>
      <w:r>
        <w:t xml:space="preserve"> </w:t>
      </w:r>
      <w:r>
        <w:t xml:space="preserve">finance panel data sets: comparing approaches.</w:t>
      </w:r>
      <w:r>
        <w:t xml:space="preserve"> </w:t>
      </w:r>
      <w:r>
        <w:rPr>
          <w:i/>
          <w:iCs/>
        </w:rPr>
        <w:t xml:space="preserve">Review of Financial Studies</w:t>
      </w:r>
      <w:r>
        <w:t xml:space="preserve"> </w:t>
      </w:r>
      <w:r>
        <w:t xml:space="preserve">22(1),</w:t>
      </w:r>
      <w:r>
        <w:t xml:space="preserve"> </w:t>
      </w:r>
      <w:r>
        <w:t xml:space="preserve">435–480.</w:t>
      </w:r>
      <w:r>
        <w:t xml:space="preserve"> </w:t>
      </w:r>
      <w:r>
        <w:t xml:space="preserve">Roth, J., 2022. Pretest with caution: event-study estimates after</w:t>
      </w:r>
      <w:r>
        <w:t xml:space="preserve"> </w:t>
      </w:r>
      <w:r>
        <w:t xml:space="preserve">testing for parallel trends.</w:t>
      </w:r>
      <w:r>
        <w:t xml:space="preserve"> </w:t>
      </w:r>
      <w:r>
        <w:rPr>
          <w:i/>
          <w:iCs/>
        </w:rPr>
        <w:t xml:space="preserve">American Economic Review: Insights</w:t>
      </w:r>
      <w:r>
        <w:t xml:space="preserve"> </w:t>
      </w:r>
      <w:r>
        <w:t xml:space="preserve">4(3), 305–322.</w:t>
      </w:r>
      <w:r>
        <w:t xml:space="preserve"> </w:t>
      </w:r>
      <w:r>
        <w:t xml:space="preserve">U.S. Securities and Exchange Commission, 2024. Regulation NMS:</w:t>
      </w:r>
      <w:r>
        <w:t xml:space="preserve"> </w:t>
      </w:r>
      <w:r>
        <w:t xml:space="preserve">Minimum Pricing Increments, Access Fees, and Transparency of Better Priced Orders. Adopting</w:t>
      </w:r>
      <w:r>
        <w:t xml:space="preserve"> </w:t>
      </w:r>
      <w:r>
        <w:t xml:space="preserve">Release No. 34-101070, September 18, 2024.</w:t>
      </w:r>
      <w:r>
        <w:t xml:space="preserve"> </w:t>
      </w:r>
      <w:r>
        <w:t xml:space="preserve">Young, A., 2019. Channeling Fisher: randomization tests and the</w:t>
      </w:r>
      <w:r>
        <w:t xml:space="preserve"> </w:t>
      </w:r>
      <w:r>
        <w:t xml:space="preserve">statistical insignificance of seemingly significant experimental results.</w:t>
      </w:r>
      <w:r>
        <w:t xml:space="preserve"> </w:t>
      </w:r>
      <w:r>
        <w:rPr>
          <w:i/>
          <w:iCs/>
        </w:rPr>
        <w:t xml:space="preserve">Quarterly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Economics</w:t>
      </w:r>
      <w:r>
        <w:t xml:space="preserve"> </w:t>
      </w:r>
      <w:r>
        <w:t xml:space="preserve">134(2), 557–598.</w:t>
      </w:r>
    </w:p>
    <w:bookmarkEnd w:id="40"/>
    <w:bookmarkEnd w:id="41"/>
    <w:bookmarkStart w:id="55" w:name="tables"/>
    <w:p>
      <w:pPr>
        <w:pStyle w:val="Heading1"/>
      </w:pPr>
      <w:r>
        <w:t xml:space="preserve">Tables</w:t>
      </w:r>
    </w:p>
    <w:bookmarkStart w:id="42" w:name="tab:balance"/>
    <w:p>
      <w:pPr>
        <w:pStyle w:val="TableCaption"/>
      </w:pPr>
      <w:r>
        <w:t xml:space="preserve">Pre-period covariate balance, treated vs. control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re-period covariate balance, treated vs. control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Diff.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(pre-period mean)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(tick-constr.)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(wide)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(T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quoted spread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 quoted spread (cents)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-19.37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ln(price)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-68.65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ln($ volume)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-26.32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ln(#trades)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</w:p>
        </w:tc>
      </w:tr>
    </w:tbl>
    <w:bookmarkEnd w:id="4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Means over the pre-period (Oct 6–31, 2025) across stock-days.</w:t>
      </w:r>
      <w:r>
        <w:t xml:space="preserve"> </w:t>
      </w:r>
      <w:r>
        <w:t xml:space="preserve">Treated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tick-constrained (September mean dollar quoted spread</w:t>
      </w:r>
      <w:r>
        <w:t xml:space="preserve"> </w:t>
      </w:r>
      <m:oMath>
        <m:r>
          <m:rPr>
            <m:sty m:val="p"/>
          </m:rPr>
          <m:t>≤</m:t>
        </m:r>
        <m:r>
          <m:rPr>
            <m:sty m:val="p"/>
          </m:rPr>
          <m:t>$</m:t>
        </m:r>
        <m:r>
          <m:t>0.015</m:t>
        </m:r>
      </m:oMath>
      <w:r>
        <w:t xml:space="preserve">); control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wide-spread (</w:t>
      </w:r>
      <m:oMath>
        <m:r>
          <m:rPr>
            <m:sty m:val="p"/>
          </m:rPr>
          <m:t>≥</m:t>
        </m:r>
        <m:r>
          <m:rPr>
            <m:sty m:val="p"/>
          </m:rPr>
          <m:t>$</m:t>
        </m:r>
        <m:r>
          <m:t>0.020</m:t>
        </m:r>
      </m:oMath>
      <w:r>
        <w:t xml:space="preserve">). Column</w:t>
      </w:r>
      <w:r>
        <w:t xml:space="preserve"> </w:t>
      </w:r>
      <w:r>
        <w:t xml:space="preserve">“</w:t>
      </w:r>
      <m:oMath>
        <m:r>
          <m:t>t</m:t>
        </m:r>
      </m:oMath>
      <w:r>
        <w:t xml:space="preserve">”</w:t>
      </w:r>
      <w:r>
        <w:t xml:space="preserve"> </w:t>
      </w:r>
      <w:r>
        <w:t xml:space="preserve">is a Welch two-sample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stock-day</w:t>
      </w:r>
      <w:r>
        <w:t xml:space="preserve"> </w:t>
      </w:r>
      <w:r>
        <w:t xml:space="preserve">observations (illustrative; the DiD uses stock-clustered SE). 75 treated, 75 control.</w:t>
      </w:r>
    </w:p>
    <w:bookmarkStart w:id="43" w:name="tab:did2x2"/>
    <w:p>
      <w:pPr>
        <w:pStyle w:val="TableCaption"/>
      </w:pPr>
      <w:r>
        <w:t xml:space="preserve">Difference-in-differences 2</w:t>
      </w:r>
      <m:oMath>
        <m:r>
          <m:rPr>
            <m:sty m:val="p"/>
          </m:rPr>
          <m:t>×</m:t>
        </m:r>
      </m:oMath>
      <w:r>
        <w:t xml:space="preserve">2 means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fference-in-differences 2\times2 mean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Relative spread (bps)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Dollar spread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(lr)</w:t>
            </w:r>
            <w: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(wide)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15.746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(tick-constrained)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4.424</w:t>
            </w:r>
          </w:p>
        </w:tc>
      </w:tr>
    </w:tbl>
    <w:bookmarkEnd w:id="4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Cell means of the (winsorized 1/99) relative quoted spread (bps) and</w:t>
      </w:r>
      <w:r>
        <w:t xml:space="preserve"> </w:t>
      </w:r>
      <w:r>
        <w:t xml:space="preserve">dollar quoted spread (cents). Pre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Oct 6–31; Post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Nov 3–28, 2025. The bottom row is</w:t>
      </w:r>
      <w:r>
        <w:t xml:space="preserve"> </w:t>
      </w:r>
      <w:r>
        <w:t xml:space="preserve">the DiD (treated change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control change).</w:t>
      </w:r>
    </w:p>
    <w:bookmarkStart w:id="44" w:name="tab:did_main"/>
    <w:p>
      <w:pPr>
        <w:pStyle w:val="TableCaption"/>
      </w:pPr>
      <w:r>
        <w:t xml:space="preserve">Main DiD: relative quoted spread (bps)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in DiD: relative quoted spread (bp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2x2, no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+ Stock 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TWFE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TWFE + 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(3d) TWFE, cluster stock+day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0.581</w:t>
            </w:r>
          </w:p>
        </w:tc>
      </w:tr>
    </w:tbl>
    <w:bookmarkEnd w:id="4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relative quoted spread (bps, winsorized 1/99). Coefficient on</w:t>
      </w:r>
      <w:r>
        <w:t xml:space="preserve"> </w:t>
      </w:r>
      <w:r>
        <w:t xml:space="preserve">Treated</w:t>
      </w:r>
      <m:oMath>
        <m:r>
          <m:rPr>
            <m:sty m:val="p"/>
          </m:rPr>
          <m:t>×</m:t>
        </m:r>
      </m:oMath>
      <w:r>
        <w:t xml:space="preserve">Post. Specs (2)–(4) add stock FE, day FE, and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price/</w:t>
      </w:r>
      <m:oMath>
        <m:r>
          <m:rPr>
            <m:sty m:val="p"/>
          </m:rPr>
          <m:t>ln</m:t>
        </m:r>
        <m:r>
          <m:rPr>
            <m:sty m:val="p"/>
          </m:rPr>
          <m:t>$</m:t>
        </m:r>
      </m:oMath>
      <w:r>
        <w:t xml:space="preserve">volume</w:t>
      </w:r>
      <w:r>
        <w:t xml:space="preserve"> </w:t>
      </w:r>
      <w:r>
        <w:t xml:space="preserve">controls. SE clustered by stock; row (3d) double-clusters by stock and day.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 A negative coefficient would support H1; the</w:t>
      </w:r>
      <w:r>
        <w:t xml:space="preserve"> </w:t>
      </w:r>
      <w:r>
        <w:t xml:space="preserve">estimate is positive.</w:t>
      </w:r>
    </w:p>
    <w:bookmarkStart w:id="45" w:name="tab:altoutcomes"/>
    <w:p>
      <w:pPr>
        <w:pStyle w:val="TableCaption"/>
      </w:pPr>
      <w:r>
        <w:t xml:space="preserve">Alternative outcomes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ternative outcom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/ specification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 spread (cents), TWFE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4.448***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 spread (cents), +controls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4.360***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(4.57)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Eff-spread proxy (bps), TWFE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Eff-spread proxy (bps), +ctrl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0.718*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(1.82)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</w:t>
            </w:r>
          </w:p>
        </w:tc>
      </w:tr>
    </w:tbl>
    <w:bookmarkEnd w:id="4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DiD (Treated</w:t>
      </w:r>
      <m:oMath>
        <m:r>
          <m:rPr>
            <m:sty m:val="p"/>
          </m:rPr>
          <m:t>×</m:t>
        </m:r>
      </m:oMath>
      <w:r>
        <w:t xml:space="preserve">Post) for the dollar quoted spread (cents) and the</w:t>
      </w:r>
      <w:r>
        <w:t xml:space="preserve"> </w:t>
      </w:r>
      <w:r>
        <w:t xml:space="preserve">closing effective-spread proxy (bps), TWFE with/without controls, SE clustered by stock.</w:t>
      </w:r>
      <w:r>
        <w:t xml:space="preserve"> </w:t>
      </w:r>
      <w:r>
        <w:t xml:space="preserve">The effective-spread proxy</w:t>
      </w:r>
      <w:r>
        <w:t xml:space="preserve"> </w:t>
      </w:r>
      <m:oMath>
        <m:r>
          <m:t>2</m:t>
        </m:r>
        <m:r>
          <m:rPr>
            <m:sty m:val="p"/>
          </m:rPr>
          <m:t>|</m:t>
        </m:r>
        <m:r>
          <m:rPr>
            <m:nor/>
            <m:sty m:val="p"/>
          </m:rPr>
          <m:t>close</m:t>
        </m:r>
        <m:r>
          <m:rPr>
            <m:sty m:val="p"/>
          </m:rPr>
          <m:t>−</m:t>
        </m:r>
        <m:r>
          <m:rPr>
            <m:nor/>
            <m:sty m:val="p"/>
          </m:rPr>
          <m:t>mid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nor/>
            <m:sty m:val="p"/>
          </m:rPr>
          <m:t>mid</m:t>
        </m:r>
      </m:oMath>
      <w:r>
        <w:t xml:space="preserve"> </w:t>
      </w:r>
      <w:r>
        <w:t xml:space="preserve">is a crude daily measure</w:t>
      </w:r>
      <w:r>
        <w:t xml:space="preserve"> </w:t>
      </w:r>
      <w:r>
        <w:t xml:space="preserve">and is reported only for completeness.</w:t>
      </w:r>
    </w:p>
    <w:bookmarkStart w:id="46" w:name="tab:eventstudy"/>
    <w:p>
      <w:pPr>
        <w:pStyle w:val="TableCaption"/>
      </w:pPr>
      <w:r>
        <w:t xml:space="preserve">Event-study: weekly DiD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ent-study: weekly DiD coefficien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week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week coef. (bps)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(3.78)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(2.69)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 (base)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0.543**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1.598***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(5.88)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(3.79)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1.427***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1.071***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(4.87)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(4.77)</w:t>
            </w:r>
          </w:p>
        </w:tc>
      </w:tr>
    </w:tbl>
    <w:bookmarkEnd w:id="4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Coefficients on Treated</w:t>
      </w:r>
      <m:oMath>
        <m:r>
          <m:rPr>
            <m:sty m:val="p"/>
          </m:rPr>
          <m:t>×</m:t>
        </m:r>
      </m:oMath>
      <w:r>
        <w:t xml:space="preserve">(event-week) from a TWFE regression of</w:t>
      </w:r>
      <w:r>
        <w:t xml:space="preserve"> </w:t>
      </w:r>
      <w:r>
        <w:t xml:space="preserve">the relative quoted spread (bps), base week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Week 0 contains Nov 3, 2025. Significant</w:t>
      </w:r>
      <w:r>
        <w:t xml:space="preserve"> </w:t>
      </w:r>
      <w:r>
        <w:t xml:space="preserve">pre-event coefficients (weeks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  <w:r>
        <w:t xml:space="preserve">) indicate non-parallel trends.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47" w:name="tab:placebo"/>
    <w:p>
      <w:pPr>
        <w:pStyle w:val="TableCaption"/>
      </w:pPr>
      <w:r>
        <w:t xml:space="preserve">Placebo: fake event inside the pre-period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acebo: fake event inside the pre-perio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Treated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Post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nor/>
                      <m:sty m:val="p"/>
                    </m:rPr>
                    <m:t>fake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Placebo fake-event 2025-10-06 (pre-period 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-0.772***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(-5.47)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5967</w:t>
            </w:r>
          </w:p>
        </w:tc>
      </w:tr>
    </w:tbl>
    <w:bookmarkEnd w:id="4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true post-period is dropped; a fake event of Oct 6, 2025 is</w:t>
      </w:r>
      <w:r>
        <w:t xml:space="preserve"> </w:t>
      </w:r>
      <w:r>
        <w:t xml:space="preserve">assigned within the pre-period (Sep 8–Oct 31). A valid design would return zero; the large</w:t>
      </w:r>
      <w:r>
        <w:t xml:space="preserve"> </w:t>
      </w:r>
      <w:r>
        <w:t xml:space="preserve">significant coefficient shows the parallel-trends assumption fails.</w:t>
      </w:r>
    </w:p>
    <w:bookmarkStart w:id="48" w:name="tab:withingroup"/>
    <w:p>
      <w:pPr>
        <w:pStyle w:val="TableCaption"/>
      </w:pPr>
      <w:r>
        <w:t xml:space="preserve">Within-group pre/post changes (description)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ithin-group pre/post changes (description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paired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(tick-constrained)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 spread (cents)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-10.7%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-3.62***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(tick-constrained)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spread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 spread (cents)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-22.6%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-4.60***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spread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-17.4%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-4.68***</w:t>
            </w:r>
          </w:p>
        </w:tc>
      </w:tr>
    </w:tbl>
    <w:bookmarkEnd w:id="4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Stock-level pre</w:t>
      </w:r>
      <m:oMath>
        <m:r>
          <m:rPr>
            <m:sty m:val="p"/>
          </m:rPr>
          <m:t>→</m:t>
        </m:r>
      </m:oMath>
      <w:r>
        <w:t xml:space="preserve">post changes, averaged within group, with a paired</w:t>
      </w:r>
      <w:r>
        <w:t xml:space="preserve"> </w:t>
      </w:r>
      <m:oMath>
        <m:r>
          <m:t>t</m:t>
        </m:r>
      </m:oMath>
      <w:r>
        <w:t xml:space="preserve">-test across the 75 stocks in each arm. Both groups’ dollar spreads fall; the control</w:t>
      </w:r>
      <w:r>
        <w:t xml:space="preserve"> </w:t>
      </w:r>
      <w:r>
        <w:t xml:space="preserve">(unconstrained) group falls more.</w:t>
      </w:r>
    </w:p>
    <w:bookmarkStart w:id="49" w:name="tab:censoring"/>
    <w:p>
      <w:pPr>
        <w:pStyle w:val="TableCaption"/>
      </w:pPr>
      <w:r>
        <w:t xml:space="preserve">Penny-grid censoring of the daily closing quote (mechanism)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nny-grid censoring of the daily closing quote (mechanism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Stock-days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t xml:space="preserve">1.0c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1.0c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$ spread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(tick-constrained)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Treated (tick-constrained)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(wide)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17.729</w:t>
            </w:r>
          </w:p>
        </w:tc>
      </w:tr>
    </w:tbl>
    <w:bookmarkEnd w:id="4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Share of stock-days whose closing dollar spread equals exactly $0.01</w:t>
      </w:r>
      <w:r>
        <w:t xml:space="preserve"> </w:t>
      </w:r>
      <w:r>
        <w:t xml:space="preserve">and whose spread is strictly below $0.01 (sub-penny). Treated stocks are never sub-penny at</w:t>
      </w:r>
      <w:r>
        <w:t xml:space="preserve"> </w:t>
      </w:r>
      <w:r>
        <w:t xml:space="preserve">the close, before or after the reform, so the $0.005 margin is not observable in daily</w:t>
      </w:r>
      <w:r>
        <w:t xml:space="preserve"> </w:t>
      </w:r>
      <w:r>
        <w:t xml:space="preserve">data.</w:t>
      </w:r>
      <w:r>
        <w:t xml:space="preserve"> </w:t>
      </w:r>
      <w:r>
        <w:t xml:space="preserve">“Mean $ spread”</w:t>
      </w:r>
      <w:r>
        <w:t xml:space="preserve"> </w:t>
      </w:r>
      <w:r>
        <w:t xml:space="preserve">is the raw (unwinsorized) closing dollar spread in cents.</w:t>
      </w:r>
    </w:p>
    <w:bookmarkStart w:id="50" w:name="tab:hetero"/>
    <w:p>
      <w:pPr>
        <w:pStyle w:val="TableCaption"/>
      </w:pPr>
      <w:r>
        <w:t xml:space="preserve">Heterogeneity of the DiD by observable pre-rule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DiD by observable pre-rule moderato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Relative spread (bps)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Dollar spread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(pre-rule)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Sept. volatility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+0.929***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+5.596***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dollar volume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+1.005***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+6.084***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Nasdaq-listed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+0.900***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-0.227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+4.398***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industry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+0.729***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+4.515***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-1.756</w:t>
            </w:r>
          </w:p>
        </w:tc>
      </w:tr>
    </w:tbl>
    <w:bookmarkEnd w:id="5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adds an interaction DiD</w:t>
      </w:r>
      <m:oMath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rPr>
            <m:nor/>
            <m:sty m:val="p"/>
          </m:rPr>
          <m:t>Post</m:t>
        </m:r>
        <m:r>
          <m:rPr>
            <m:sty m:val="p"/>
          </m:rPr>
          <m:t>×</m:t>
        </m:r>
        <m:r>
          <m:t>M</m:t>
        </m:r>
      </m:oMath>
      <w:r>
        <w:t xml:space="preserve">) to</w:t>
      </w:r>
      <w:r>
        <w:t xml:space="preserve"> </w:t>
      </w:r>
      <w:r>
        <w:t xml:space="preserve">the two-way fixed-effects specification,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pre-rule moderator that varies within</w:t>
      </w:r>
      <w:r>
        <w:t xml:space="preserve"> </w:t>
      </w:r>
      <w:r>
        <w:t xml:space="preserve">both arms: above-median September return volatility, above-median dollar volume, a</w:t>
      </w:r>
      <w:r>
        <w:t xml:space="preserve"> </w:t>
      </w:r>
      <w:r>
        <w:t xml:space="preserve">Nasdaq-listing indicator, and a financial-industry indicator. Columns report the base DiD</w:t>
      </w:r>
      <w:r>
        <w:t xml:space="preserve"> </w:t>
      </w:r>
      <w:r>
        <w:t xml:space="preserve">(low-</w:t>
      </w:r>
      <m:oMath>
        <m:r>
          <m:t>M</m:t>
        </m:r>
      </m:oMath>
      <w:r>
        <w:t xml:space="preserve"> </w:t>
      </w:r>
      <w:r>
        <w:t xml:space="preserve">group) and the DiD</w:t>
      </w:r>
      <m:oMath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for the relative and dollar quoted spread. SE</w:t>
      </w:r>
      <w:r>
        <w:t xml:space="preserve"> </w:t>
      </w:r>
      <w:r>
        <w:t xml:space="preserve">clustered by stock. Price is deliberately excluded as a moderator (near-collinear with</w:t>
      </w:r>
      <w:r>
        <w:t xml:space="preserve"> </w:t>
      </w:r>
      <w:r>
        <w:t xml:space="preserve">treatment). No subgroup shows the negative (narrowing) sign H1 predicts.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51" w:name="tab:overlap"/>
    <w:p>
      <w:pPr>
        <w:pStyle w:val="TableCaption"/>
      </w:pPr>
      <w:r>
        <w:t xml:space="preserve">Covariate overlap: normalized differences (treated vs. control)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variate overlap: normalized differences (treated vs. control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Covariate (Sept. screen)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Treated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Norm. diff.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($)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447.768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return vol.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dollar volume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20.651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Rel. spread (screen)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+0.11</w:t>
            </w:r>
          </w:p>
        </w:tc>
      </w:tr>
    </w:tbl>
    <w:bookmarkEnd w:id="5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September screening-window means and the Imbens–Rubin normalized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Sup>
              <m:e>
                <m:r>
                  <m:t>s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s</m:t>
                </m:r>
              </m:e>
              <m:sub>
                <m:r>
                  <m:t>C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for each covariate. Values above</w:t>
      </w:r>
      <w:r>
        <w:t xml:space="preserve"> </w:t>
      </w:r>
      <m:oMath>
        <m:r>
          <m:rPr>
            <m:sty m:val="p"/>
          </m:rPr>
          <m:t>≈</m:t>
        </m:r>
        <m:r>
          <m:t>0.25</m:t>
        </m:r>
      </m:oMath>
      <w:r>
        <w:t xml:space="preserve"> </w:t>
      </w:r>
      <w:r>
        <w:t xml:space="preserve">in absolute terms indicate serious imbalance. The groups are balanced on</w:t>
      </w:r>
      <w:r>
        <w:t xml:space="preserve"> </w:t>
      </w:r>
      <w:r>
        <w:t xml:space="preserve">volatility and relative spread but severely imbalanced on price and dollar volume, so the</w:t>
      </w:r>
      <w:r>
        <w:t xml:space="preserve"> </w:t>
      </w:r>
      <w:r>
        <w:t xml:space="preserve">wide-spread controls do not provide common support. Only 17 of 75 control stocks fall inside the</w:t>
      </w:r>
      <w:r>
        <w:t xml:space="preserve"> </w:t>
      </w:r>
      <w:r>
        <w:t xml:space="preserve">treated price range ($5.9–$177.8). A price-and-volatility-matched control is the student’s</w:t>
      </w:r>
      <w:r>
        <w:t xml:space="preserve"> </w:t>
      </w:r>
      <w:r>
        <w:t xml:space="preserve">reserved next step.</w:t>
      </w:r>
    </w:p>
    <w:bookmarkStart w:id="52" w:name="tab:altdef"/>
    <w:p>
      <w:pPr>
        <w:pStyle w:val="TableCaption"/>
      </w:pPr>
      <w:r>
        <w:t xml:space="preserve">The DiD under alternative screen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DiD under alternative screen definition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 definition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DiD (bps)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#stocks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(all 150 stocks)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+0.732***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(+4.18)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Tighter treated screen (dqs_scr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$0.012)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+0.820***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(+4.58)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Narrower control screen (dqs_scr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$0.03)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+0.916***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(+4.44)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Donut: drop names near $0.015 cutoff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+1.003***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(+4.79)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mega-caps (screen price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$500)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+0.394***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(+2.59)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5157</w:t>
            </w:r>
          </w:p>
        </w:tc>
      </w:tr>
    </w:tbl>
    <w:bookmarkEnd w:id="5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relative quoted spread (bps), two-way fixed-effects DiD</w:t>
      </w:r>
      <w:r>
        <w:t xml:space="preserve"> </w:t>
      </w:r>
      <w:r>
        <w:t xml:space="preserve">(Treated</w:t>
      </w:r>
      <m:oMath>
        <m:r>
          <m:rPr>
            <m:sty m:val="p"/>
          </m:rPr>
          <m:t>×</m:t>
        </m:r>
      </m:oMath>
      <w:r>
        <w:t xml:space="preserve">Post), SE clustered by stock, re-estimated on subsets of the same 150 stocks</w:t>
      </w:r>
      <w:r>
        <w:t xml:space="preserve"> </w:t>
      </w:r>
      <w:r>
        <w:t xml:space="preserve">under the stated observable screen. The wrong-signed, significant estimate survives every</w:t>
      </w:r>
      <w:r>
        <w:t xml:space="preserve"> </w:t>
      </w:r>
      <w:r>
        <w:t xml:space="preserve">reasonable redefinition, including dropping mega-caps.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  <m:r>
          <m:rPr>
            <m:sty m:val="p"/>
          </m:rPr>
          <m:t>,</m:t>
        </m:r>
        <m:sSup>
          <m:e>
            <m:r>
              <m:t> 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53" w:name="tab:ri"/>
    <w:p>
      <w:pPr>
        <w:pStyle w:val="TableCaption"/>
      </w:pPr>
      <w:r>
        <w:t xml:space="preserve">Randomization inference (500 permutations of treatment)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500 permutations of treatment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DiD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spread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+0.7316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[-0.3701, +0.3568]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 spread (cents)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+4.3598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[-1.9935, +2.0250]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0.002</w:t>
            </w:r>
          </w:p>
        </w:tc>
      </w:tr>
    </w:tbl>
    <w:bookmarkEnd w:id="5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time-invariant treatment label is permuted across the 150 stocks 500</w:t>
      </w:r>
      <w:r>
        <w:t xml:space="preserve"> </w:t>
      </w:r>
      <w:r>
        <w:t xml:space="preserve">times and the two-way fixed-effects DiD is re-estimated each time.</w:t>
      </w:r>
      <w:r>
        <w:t xml:space="preserve"> </w:t>
      </w:r>
      <w:r>
        <w:t xml:space="preserve">“Perm. 95% interval”</w:t>
      </w:r>
      <w:r>
        <w:t xml:space="preserve"> </w:t>
      </w:r>
      <w:r>
        <w:t xml:space="preserve">is</w:t>
      </w:r>
      <w:r>
        <w:t xml:space="preserve"> </w:t>
      </w:r>
      <w:r>
        <w:t xml:space="preserve">the 2.5–97.5 percentile of the permutation distribution; the RI</w:t>
      </w:r>
      <w:r>
        <w:t xml:space="preserve"> </w:t>
      </w:r>
      <m:oMath>
        <m:r>
          <m:t>p</m:t>
        </m:r>
      </m:oMath>
      <w:r>
        <w:t xml:space="preserve">-value is the share of</w:t>
      </w:r>
      <w:r>
        <w:t xml:space="preserve"> </w:t>
      </w:r>
      <w:r>
        <w:t xml:space="preserve">permutations with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coefficient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rPr>
            <m:nor/>
            <m:sty m:val="p"/>
          </m:rPr>
          <m:t>actual</m:t>
        </m:r>
        <m:r>
          <m:rPr>
            <m:sty m:val="p"/>
          </m:rPr>
          <m:t>|</m:t>
        </m:r>
      </m:oMath>
      <w:r>
        <w:t xml:space="preserve">. The actual estimate lies far</w:t>
      </w:r>
      <w:r>
        <w:t xml:space="preserve"> </w:t>
      </w:r>
      <w:r>
        <w:t xml:space="preserve">outside the permutation distribution: because random assignment ignores price and liquidity,</w:t>
      </w:r>
      <w:r>
        <w:t xml:space="preserve"> </w:t>
      </w:r>
      <w:r>
        <w:t xml:space="preserve">this locates the estimate in the size/price structure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stocks are treated, not in</w:t>
      </w:r>
      <w:r>
        <w:t xml:space="preserve"> </w:t>
      </w:r>
      <w:r>
        <w:t xml:space="preserve">the reform. See Figure </w:t>
      </w:r>
      <w:hyperlink w:anchor="fig:randinf">
        <w:r>
          <w:rPr>
            <w:rStyle w:val="Hyperlink"/>
          </w:rPr>
          <w:t xml:space="preserve">4</w:t>
        </w:r>
      </w:hyperlink>
      <w:r>
        <w:t xml:space="preserve">.</w:t>
      </w:r>
    </w:p>
    <w:bookmarkStart w:id="54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 treated 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MDE % of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spread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Dollar spread (cents)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2.6716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Eff.-spread proxy (bps)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17.1%</w:t>
            </w:r>
          </w:p>
        </w:tc>
      </w:tr>
    </w:tbl>
    <w:bookmarkEnd w:id="5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</w:t>
      </w:r>
      <w:r>
        <w:t xml:space="preserve"> </w:t>
      </w:r>
      <w:r>
        <w:t xml:space="preserve">preferred-specification DiD, expressed as a share of the pre-period treated mean. For the</w:t>
      </w:r>
      <w:r>
        <w:t xml:space="preserve"> </w:t>
      </w:r>
      <w:r>
        <w:t xml:space="preserve">relative spread the MDE is</w:t>
      </w:r>
      <w:r>
        <w:t xml:space="preserve"> </w:t>
      </w:r>
      <m:oMath>
        <m:r>
          <m:t>0.49</m:t>
        </m:r>
      </m:oMath>
      <w:r>
        <w:t xml:space="preserve"> bps; a $0.01</w:t>
      </w:r>
      <m:oMath>
        <m:r>
          <m:rPr>
            <m:sty m:val="p"/>
          </m:rPr>
          <m:t>→</m:t>
        </m:r>
      </m:oMath>
      <w:r>
        <w:t xml:space="preserve">$0.005 narrowing at the median treated</w:t>
      </w:r>
      <w:r>
        <w:t xml:space="preserve"> </w:t>
      </w:r>
      <w:r>
        <w:t xml:space="preserve">midpoint ($48.90) is</w:t>
      </w:r>
      <w:r>
        <w:t xml:space="preserve"> </w:t>
      </w:r>
      <m:oMath>
        <m:r>
          <m:t>1.02</m:t>
        </m:r>
      </m:oMath>
      <w:r>
        <w:t xml:space="preserve"> bps—above the MDE—so the reform’s margin would be detectable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daily close could represent a half-cent spread (Table </w:t>
      </w:r>
      <w:hyperlink w:anchor="tab:censoring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it</w:t>
      </w:r>
      <w:r>
        <w:t xml:space="preserve"> </w:t>
      </w:r>
      <w:r>
        <w:t xml:space="preserve">never does). The dollar-spread MDE is large relative to its small treated mean and is read</w:t>
      </w:r>
      <w:r>
        <w:t xml:space="preserve"> </w:t>
      </w:r>
      <w:r>
        <w:t xml:space="preserve">cautiously.</w:t>
      </w:r>
    </w:p>
    <w:bookmarkEnd w:id="55"/>
    <w:bookmarkStart w:id="72" w:name="figures"/>
    <w:p>
      <w:pPr>
        <w:pStyle w:val="Heading1"/>
      </w:pPr>
      <w:r>
        <w:t xml:space="preserve">Figures</w:t>
      </w:r>
    </w:p>
    <w:bookmarkStart w:id="59" w:name="fig:eventtime"/>
    <w:p>
      <w:pPr>
        <w:pStyle w:val="CaptionedFigure"/>
      </w:pPr>
      <w:r>
        <w:drawing>
          <wp:inline>
            <wp:extent cx="4267200" cy="277592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1_eventtime_spreads.pdf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7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Event-time mean relative quoted spread (bps) for treated (tick-constrained) and</w:t>
      </w:r>
      <w:r>
        <w:t xml:space="preserve"> </w:t>
      </w:r>
      <w:r>
        <w:t xml:space="preserve">control (wide-spread) stocks, by week relative to the Nov 3, 2025 compliance date. The two</w:t>
      </w:r>
      <w:r>
        <w:t xml:space="preserve"> </w:t>
      </w:r>
      <w:r>
        <w:t xml:space="preserve">series do not move in parallel, and neither shows a clean step at week 0.</w:t>
      </w:r>
    </w:p>
    <w:bookmarkEnd w:id="59"/>
    <w:bookmarkStart w:id="63" w:name="fig:eventstudy"/>
    <w:p>
      <w:pPr>
        <w:pStyle w:val="CaptionedFigure"/>
      </w:pPr>
      <w:r>
        <w:drawing>
          <wp:inline>
            <wp:extent cx="4267200" cy="277592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2_eventstudy_coefs.pdf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7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Event-study DiD coefficients (Treated</w:t>
      </w:r>
      <m:oMath>
        <m:r>
          <m:rPr>
            <m:sty m:val="p"/>
          </m:rPr>
          <m:t>×</m:t>
        </m:r>
      </m:oMath>
      <w:r>
        <w:t xml:space="preserve">week) on the relative quoted spread,</w:t>
      </w:r>
      <w:r>
        <w:t xml:space="preserve"> </w:t>
      </w:r>
      <w:r>
        <w:t xml:space="preserve">with 95% confidence intervals, base week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Significant pre-event coefficients reveal</w:t>
      </w:r>
      <w:r>
        <w:t xml:space="preserve"> </w:t>
      </w:r>
      <w:r>
        <w:t xml:space="preserve">non-parallel pre-trends; there is no downward step at the event.</w:t>
      </w:r>
    </w:p>
    <w:bookmarkEnd w:id="63"/>
    <w:bookmarkStart w:id="67" w:name="fig:censoring"/>
    <w:p>
      <w:pPr>
        <w:pStyle w:val="CaptionedFigure"/>
      </w:pPr>
      <w:r>
        <w:drawing>
          <wp:inline>
            <wp:extent cx="4000500" cy="277164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3_censoring.pdf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Penny-grid censoring. Among treated (tick-constrained) stocks, the share of</w:t>
      </w:r>
      <w:r>
        <w:t xml:space="preserve"> </w:t>
      </w:r>
      <w:r>
        <w:t xml:space="preserve">stock-days with a sub-penny closing spread is 0.0% both before and after the reform, while</w:t>
      </w:r>
      <w:r>
        <w:t xml:space="preserve"> </w:t>
      </w:r>
      <w:r>
        <w:t xml:space="preserve">the share pinned at exactly one cent rises. The half-cent margin is invisible in daily</w:t>
      </w:r>
      <w:r>
        <w:t xml:space="preserve"> </w:t>
      </w:r>
      <w:r>
        <w:t xml:space="preserve">closing quotes.</w:t>
      </w:r>
    </w:p>
    <w:bookmarkEnd w:id="67"/>
    <w:bookmarkStart w:id="71" w:name="fig:randinf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4_randinf.pd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 for the relative-quoted-spread DiD. Histogram: the distribution</w:t>
      </w:r>
      <w:r>
        <w:t xml:space="preserve"> </w:t>
      </w:r>
      <w:r>
        <w:t xml:space="preserve">of the DiD coefficient under 500 random permutations of the treatment label across the 150</w:t>
      </w:r>
      <w:r>
        <w:t xml:space="preserve"> </w:t>
      </w:r>
      <w:r>
        <w:t xml:space="preserve">stocks. The actual estimate (red line,</w:t>
      </w:r>
      <w:r>
        <w:t xml:space="preserve"> </w:t>
      </w:r>
      <m:oMath>
        <m:r>
          <m:rPr>
            <m:sty m:val="p"/>
          </m:rPr>
          <m:t>+</m:t>
        </m:r>
        <m:r>
          <m:t>0.73</m:t>
        </m:r>
      </m:oMath>
      <w:r>
        <w:t xml:space="preserve"> bps) lies far in the right tail (RI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0.002</m:t>
        </m:r>
      </m:oMath>
      <w:r>
        <w:t xml:space="preserve">);</w:t>
      </w:r>
      <w:r>
        <w:t xml:space="preserve"> </w:t>
      </w:r>
      <w:r>
        <w:t xml:space="preserve">because random assignment ignores price and liquidity, this locates the estimate in the price</w:t>
      </w:r>
      <w:r>
        <w:t xml:space="preserve"> </w:t>
      </w:r>
      <w:r>
        <w:t xml:space="preserve">structure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stocks are treated, not in the November 3 reform.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Borra: ASSIP 2026, George Mason University.</w:t>
      </w:r>
      <w:r>
        <w:t xml:space="preserve"> </w:t>
      </w:r>
      <w:r>
        <w:t xml:space="preserve">Gao (corresponding author): Costello College of Business, George Mason 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 ASSIP 2026</w:t>
      </w:r>
      <w:r>
        <w:t xml:space="preserve"> </w:t>
      </w:r>
      <w:r>
        <w:t xml:space="preserve">Empirical Finance research group. All results use public WRDS CRSP daily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crsp.dsf_v2</w:t>
      </w:r>
      <w:r>
        <w:t xml:space="preserve">, CIZ format); every reported number traces to a regression-output 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No number is</w:t>
      </w:r>
      <w:r>
        <w:t xml:space="preserve"> </w:t>
      </w:r>
      <w:r>
        <w:t xml:space="preserve">hand-entered or simulated. We thank the ASSIP 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df" /><Relationship Type="http://schemas.openxmlformats.org/officeDocument/2006/relationships/image" Id="rId60" Target="media/rId60.pdf" /><Relationship Type="http://schemas.openxmlformats.org/officeDocument/2006/relationships/image" Id="rId64" Target="media/rId64.pdf" /><Relationship Type="http://schemas.openxmlformats.org/officeDocument/2006/relationships/image" Id="rId68" Target="media/rId68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 the 2025 Half-Cent Tick and Access-Fee Cut Tighten Spreads? A Daily-Data Difference-in-Differences, and Why It Cannot Yet Answer the Question</dc:title>
  <dc:creator>Kushal Borra; Lei Gao</dc:creator>
  <cp:keywords/>
  <dcterms:created xsi:type="dcterms:W3CDTF">2026-07-25T07:11:26Z</dcterms:created>
  <dcterms:modified xsi:type="dcterms:W3CDTF">2026-07-25T07:11:26Z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On November 3, 2025, the SEC’s amendments to Regulation NMS took effect: a $0.005 (“half-cent”) minimum pricing increment for tick-constrained NMS stocks and a cut in the Rule 610 access-fee cap from $0.0030 to $0.0010 per share. We ask whether tick-constrained (treated) stocks’ quoted spreads narrowed relative to wide-spread (control) stocks. Because WRDS TAQ intraday NBBO is not available on our account, we use the brief’s sanctioned fallback—the CRSP daily closing consolidated NBBO (a Chung–Zhang-style daily spread proxy)—for 150 NMS common stocks (75 tick-constrained, 75 wide) over four weeks before and after the compliance date (5,820 stock-days). The difference-in-differences (DiD) estimate for the relative quoted spread is +0.73 basis points (t=4.2; t=2.9 double-clustered)—the wrong sign, driven entirely by wide-spread controls narrowing more than treated names. We do not interpret this as a treatment effect, because the design fails its own identifying checks: a placebo “event” inside the pre-period is large and significant (-0.77 bps, t=-5.5) and the event-study shows non-parallel pre-trends. More fundamentally, the daily close is censored to the penny grid for exactly the stocks the reform targets: 0.0% of treated stock-days show a sub-penny closing spread either before or after the reform, and the share pinned at exactly $0.01 rose from 81% to 89%. Both treated and control dollar spreads fell from October to November (treated -10.7\%, control -22.6\%; both p&lt;0.001), a market-wide move the daily design cannot separate from the reform. Four extensions turn this from “we found nothing” into an informative, design-based null. Heterogeneity: no observable subgroup (by volatility, volume, listing venue, or industry) shows the predicted narrowing—the wrong sign is uniform. Overlap: treated and control stocks are balanced on volatility and relative spread but differ by a normalized 2.4 standard deviations in log price and 1.1 in log volume, so the wide-spread controls are not a counterfactual—motivating a price-matched control. Randomization inference (500 permutations of treatment) places the actual estimate far outside the permutation distribution (p&lt;0.002), confirming it reflects the systematic price/liquidity structure of which stocks are treated, not the reform. Power: at 80% power the design detects a 0.49 bps narrowing, below the \approx\!1.0 bps a half-cent move would produce at the median treated price—so the effect would be detectable if the daily close could take half-cent values, which the censoring table shows it never does. We report a transparent, measurement-limited null and specify the TAQ intraday test required to answer the question. JEL: G14, G18, G12, G28. Keywords: tick size, minimum pricing increment, access fees, bid–ask spread, Regulation NMS, difference-in-differences, randomization inference, statistical power, market microstructure.</vt:lpwstr>
  </property>
  <property fmtid="{D5CDD505-2E9C-101B-9397-08002B2CF9AE}" pid="3" name="date">
    <vt:lpwstr>July 2026</vt:lpwstr>
  </property>
</Properties>
</file>