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df" ContentType="application/pdf"/>
  <Override PartName="/word/media/rId52.pdf" ContentType="application/pdf"/>
  <Override PartName="/word/media/rId48.pdf" ContentType="application/pdf"/>
  <Override PartName="/word/media/rId56.pdf" ContentType="application/pdf"/>
  <Override PartName="/word/media/rId40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Where Does Price Discovery Happen:</w:t>
      </w:r>
      <w:r>
        <w:br/>
      </w:r>
      <w:r>
        <w:rPr>
          <w:b/>
          <w:bCs/>
        </w:rPr>
        <w:t xml:space="preserve">Kalshi versus Polymarket?</w:t>
      </w:r>
    </w:p>
    <w:p>
      <w:pPr>
        <w:pStyle w:val="Author"/>
      </w:pPr>
      <w:r>
        <w:t xml:space="preserve">Dildora Jo’rabekova</w:t>
      </w:r>
      <w:r>
        <w:rPr>
          <w:rStyle w:val="FootnoteReference"/>
        </w:rPr>
        <w:footnoteReference w:id="9"/>
      </w:r>
    </w:p>
    <w:p>
      <w:pPr>
        <w:pStyle w:val="Author"/>
      </w:pPr>
      <w:r>
        <w:t xml:space="preserve">Lei Gao</w:t>
      </w:r>
      <w:r>
        <w:rPr>
          <w:rStyle w:val="FootnoteReference"/>
        </w:rPr>
        <w:footnoteReference w:id="10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Two very different venues now list economically identical event contracts: the</w:t>
      </w:r>
      <w:r>
        <w:t xml:space="preserve"> </w:t>
      </w:r>
      <w:r>
        <w:t xml:space="preserve">CFTC-regulated, US-retail exchange</w:t>
      </w:r>
      <w:r>
        <w:t xml:space="preserve"> </w:t>
      </w:r>
      <w:r>
        <w:rPr>
          <w:i/>
          <w:iCs/>
        </w:rPr>
        <w:t xml:space="preserve">Kalshi</w:t>
      </w:r>
      <w:r>
        <w:t xml:space="preserve"> </w:t>
      </w:r>
      <w:r>
        <w:t xml:space="preserve">and the crypto-native, on-chain exchange</w:t>
      </w:r>
      <w:r>
        <w:t xml:space="preserve"> </w:t>
      </w:r>
      <w:r>
        <w:rPr>
          <w:i/>
          <w:iCs/>
        </w:rPr>
        <w:t xml:space="preserve">Polymarket</w:t>
      </w:r>
      <w:r>
        <w:t xml:space="preserve">. When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event trades on both, which venue’s price moves</w:t>
      </w:r>
      <w:r>
        <w:t xml:space="preserve"> </w:t>
      </w:r>
      <w:r>
        <w:t xml:space="preserve">first? We hand the settlement-rule matching to the analyst and study four 2026 FOMC</w:t>
      </w:r>
      <w:r>
        <w:t xml:space="preserve"> </w:t>
      </w:r>
      <w:r>
        <w:t xml:space="preserve">rate-decision events—one already resolved (June, a hold) and three still open</w:t>
      </w:r>
      <w:r>
        <w:t xml:space="preserve"> </w:t>
      </w:r>
      <w:r>
        <w:t xml:space="preserve">(July/September/October)—that both venues list with mutually-exclusive outcome contracts</w:t>
      </w:r>
      <w:r>
        <w:t xml:space="preserve"> </w:t>
      </w:r>
      <w:r>
        <w:t xml:space="preserve">(hold / 25bp cut / 50+bp cut / 25bp hike / 50+bp hike). For 15 matched outcome contracts</w:t>
      </w:r>
      <w:r>
        <w:t xml:space="preserve"> </w:t>
      </w:r>
      <w:r>
        <w:t xml:space="preserve">we align both venues’ hourly YES-probability series (32</w:t>
      </w:r>
      <w:r>
        <w:t xml:space="preserve">,</w:t>
      </w:r>
      <w:r>
        <w:t xml:space="preserve">885 contract-hours), confirm the</w:t>
      </w:r>
      <w:r>
        <w:t xml:space="preserve"> </w:t>
      </w:r>
      <w:r>
        <w:t xml:space="preserve">two prices are cointegrated (the price gap is stationary in 87% of pairs; mean gap 3.6</w:t>
      </w:r>
      <w:r>
        <w:t xml:space="preserve"> </w:t>
      </w:r>
      <w:r>
        <w:t xml:space="preserve">cents), and estimate Hasbrouck (1995) information shares from a bivariate vector</w:t>
      </w:r>
      <w:r>
        <w:t xml:space="preserve"> </w:t>
      </w:r>
      <w:r>
        <w:t xml:space="preserve">error-correction model.</w:t>
      </w:r>
      <w:r>
        <w:t xml:space="preserve"> </w:t>
      </w:r>
      <w:r>
        <w:rPr>
          <w:i/>
          <w:iCs/>
        </w:rPr>
        <w:t xml:space="preserve">Polymarket leads.</w:t>
      </w:r>
      <w:r>
        <w:t xml:space="preserve"> </w:t>
      </w:r>
      <w:r>
        <w:t xml:space="preserve">Its information share averages 0.68</w:t>
      </w:r>
      <w:r>
        <w:t xml:space="preserve"> </w:t>
      </w:r>
      <w:r>
        <w:t xml:space="preserve">(median 0.79) and rises to 0.82 when weighted by trading activity; Polymarket is the leader</w:t>
      </w:r>
      <w:r>
        <w:t xml:space="preserve"> </w:t>
      </w:r>
      <w:r>
        <w:t xml:space="preserve">in 11 of 15 pairs, the four exceptions being the thinnest, lowest-variation contracts for</w:t>
      </w:r>
      <w:r>
        <w:t xml:space="preserve"> </w:t>
      </w:r>
      <w:r>
        <w:t xml:space="preserve">which the decomposition is unreliable. A pooled lead–lag cross-correlation peaks at</w:t>
      </w:r>
      <w:r>
        <w:t xml:space="preserve"> </w:t>
      </w:r>
      <w:r>
        <w:t xml:space="preserve">Polymarket leading Kalshi by one hour, and in the resolved June event Polymarket’s mean</w:t>
      </w:r>
      <w:r>
        <w:t xml:space="preserve"> </w:t>
      </w:r>
      <w:r>
        <w:t xml:space="preserve">absolute pricing error is one-fifth of Kalshi’s in the final week. The regulated retail</w:t>
      </w:r>
      <w:r>
        <w:t xml:space="preserve"> </w:t>
      </w:r>
      <w:r>
        <w:t xml:space="preserve">venue is, on this sample, the price</w:t>
      </w:r>
      <w:r>
        <w:t xml:space="preserve"> </w:t>
      </w:r>
      <w:r>
        <w:rPr>
          <w:i/>
          <w:iCs/>
        </w:rPr>
        <w:t xml:space="preserve">follower</w:t>
      </w:r>
      <w:r>
        <w:t xml:space="preserve">. We subject the lead to design-based</w:t>
      </w:r>
      <w:r>
        <w:t xml:space="preserve"> </w:t>
      </w:r>
      <w:r>
        <w:t xml:space="preserve">inference and are candid about its precision: a nonparametric bootstrap places the pooled</w:t>
      </w:r>
      <w:r>
        <w:t xml:space="preserve"> </w:t>
      </w:r>
      <w:r>
        <w:t xml:space="preserve">share at</w:t>
      </w:r>
      <w:r>
        <w:t xml:space="preserve"> </w:t>
      </w:r>
      <m:oMath>
        <m:r>
          <m:t>0.68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[</m:t>
        </m:r>
        <m:r>
          <m:t>0.53</m:t>
        </m:r>
        <m:r>
          <m:rPr>
            <m:sty m:val="p"/>
          </m:rPr>
          <m:t>,</m:t>
        </m:r>
        <m:r>
          <m:t>0.82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2.28</m:t>
        </m:r>
      </m:oMath>
      <w:r>
        <w:t xml:space="preserve"> </w:t>
      </w:r>
      <w:r>
        <w:t xml:space="preserve">vs. </w:t>
      </w:r>
      <m:oMath>
        <m:r>
          <m:t>0.5</m:t>
        </m:r>
      </m:oMath>
      <w:r>
        <w:t xml:space="preserve">), and—decisively—a</w:t>
      </w:r>
      <w:r>
        <w:t xml:space="preserve"> </w:t>
      </w:r>
      <w:r>
        <w:t xml:space="preserve">cross-pairing placebo that mates each Kalshi leg to a</w:t>
      </w:r>
      <w:r>
        <w:t xml:space="preserve"> </w:t>
      </w:r>
      <w:r>
        <w:rPr>
          <w:i/>
          <w:iCs/>
        </w:rPr>
        <w:t xml:space="preserve">mismatched</w:t>
      </w:r>
      <w:r>
        <w:t xml:space="preserve"> </w:t>
      </w:r>
      <w:r>
        <w:t xml:space="preserve">same-meeting</w:t>
      </w:r>
      <w:r>
        <w:t xml:space="preserve"> </w:t>
      </w:r>
      <w:r>
        <w:t xml:space="preserve">Polymarket outcome yields no leadership (mean share</w:t>
      </w:r>
      <w:r>
        <w:t xml:space="preserve"> </w:t>
      </w:r>
      <m:oMath>
        <m:r>
          <m:t>0.52</m:t>
        </m:r>
      </m:oMath>
      <w:r>
        <w:t xml:space="preserve"> </w:t>
      </w:r>
      <w:r>
        <w:t xml:space="preserve">over 72 fake pairs), so the</w:t>
      </w:r>
      <w:r>
        <w:t xml:space="preserve"> </w:t>
      </w:r>
      <w:r>
        <w:t xml:space="preserve">result is event-specific, not a mechanical artifact of the estimator. The lead is</w:t>
      </w:r>
      <w:r>
        <w:t xml:space="preserve"> </w:t>
      </w:r>
      <w:r>
        <w:t xml:space="preserve">concentrated where the design is well identified: it rises to</w:t>
      </w:r>
      <w:r>
        <w:t xml:space="preserve"> </w:t>
      </w:r>
      <m:oMath>
        <m:r>
          <m:t>0.80</m:t>
        </m:r>
      </m:oMath>
      <w:r>
        <w:t xml:space="preserve">–</w:t>
      </w:r>
      <m:oMath>
        <m:r>
          <m:t>0.84</m:t>
        </m:r>
      </m:oMath>
      <w:r>
        <w:t xml:space="preserve"> </w:t>
      </w:r>
      <w:r>
        <w:t xml:space="preserve">among liquid,</w:t>
      </w:r>
      <w:r>
        <w:t xml:space="preserve"> </w:t>
      </w:r>
      <w:r>
        <w:t xml:space="preserve">near-dated, actively-traded contracts and is adequately powered there, while the full</w:t>
      </w:r>
      <w:r>
        <w:t xml:space="preserve"> </w:t>
      </w:r>
      <w:r>
        <w:t xml:space="preserve">15-pair equal-weighted mean is significant but precision-limited—which is exactly why</w:t>
      </w:r>
      <w:r>
        <w:t xml:space="preserve"> </w:t>
      </w:r>
      <w:r>
        <w:t xml:space="preserve">the analyst’s hand-verification of settlement identity and expansion of the event set is</w:t>
      </w:r>
      <w:r>
        <w:t xml:space="preserve"> </w:t>
      </w:r>
      <w:r>
        <w:t xml:space="preserve">the pivotal next step.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G14, G13, D84, E58, G23.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prediction markets, price discovery, information share, Kalshi,</w:t>
      </w:r>
      <w:r>
        <w:t xml:space="preserve"> </w:t>
      </w:r>
      <w:r>
        <w:t xml:space="preserve">Polymarket, FOMC.</w:t>
      </w:r>
    </w:p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 prediction-market price is a probability: the market’s estimate that some event will</w:t>
      </w:r>
      <w:r>
        <w:t xml:space="preserve"> </w:t>
      </w:r>
      <w:r>
        <w:t xml:space="preserve">occur. When two independent venues list a contract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event with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settlement rule, arbitrage and information should keep their prices together,</w:t>
      </w:r>
      <w:r>
        <w:t xml:space="preserve"> </w:t>
      </w:r>
      <w:r>
        <w:t xml:space="preserve">and each is a competing estimate of the same latent truth. This is exactly the setting for</w:t>
      </w:r>
      <w:r>
        <w:t xml:space="preserve"> </w:t>
      </w:r>
      <w:r>
        <w:t xml:space="preserve">which</w:t>
      </w:r>
      <w:r>
        <w:t xml:space="preserve"> </w:t>
      </w:r>
      <w:r>
        <w:t xml:space="preserve"> </w:t>
      </w:r>
      <w:r>
        <w:t xml:space="preserve">designed the</w:t>
      </w:r>
      <w:r>
        <w:t xml:space="preserve"> </w:t>
      </w:r>
      <w:r>
        <w:rPr>
          <w:i/>
          <w:iCs/>
        </w:rPr>
        <w:t xml:space="preserve">information share</w:t>
      </w:r>
      <w:r>
        <w:t xml:space="preserve">: one security, many</w:t>
      </w:r>
      <w:r>
        <w:t xml:space="preserve"> </w:t>
      </w:r>
      <w:r>
        <w:t xml:space="preserve">markets, and a decomposition of who contributes the innovations to the common efficient</w:t>
      </w:r>
      <w:r>
        <w:t xml:space="preserve"> </w:t>
      </w:r>
      <w:r>
        <w:t xml:space="preserve">price. We apply it to a contest that did not exist a few years ago—the CFTC-regulated,</w:t>
      </w:r>
      <w:r>
        <w:t xml:space="preserve"> </w:t>
      </w:r>
      <w:r>
        <w:t xml:space="preserve">US-retail exchange</w:t>
      </w:r>
      <w:r>
        <w:t xml:space="preserve"> </w:t>
      </w:r>
      <w:r>
        <w:rPr>
          <w:i/>
          <w:iCs/>
        </w:rPr>
        <w:t xml:space="preserve">Kalshi</w:t>
      </w:r>
      <w:r>
        <w:t xml:space="preserve"> </w:t>
      </w:r>
      <w:r>
        <w:t xml:space="preserve">versus the crypto-native, on-chain exchange</w:t>
      </w:r>
      <w:r>
        <w:t xml:space="preserve"> </w:t>
      </w:r>
      <w:r>
        <w:rPr>
          <w:i/>
          <w:iCs/>
        </w:rPr>
        <w:t xml:space="preserve">Polymarket</w:t>
      </w:r>
      <w:r>
        <w:t xml:space="preserve">—and ask a simple question: for identical event contracts, which venue</w:t>
      </w:r>
      <w:r>
        <w:t xml:space="preserve"> </w:t>
      </w:r>
      <w:r>
        <w:t xml:space="preserve">discovers price first?</w:t>
      </w:r>
    </w:p>
    <w:p>
      <w:pPr>
        <w:pStyle w:val="BodyText"/>
      </w:pPr>
      <w:r>
        <w:t xml:space="preserve">The venues differ on almost every dimension a market-microstructure economist would care</w:t>
      </w:r>
      <w:r>
        <w:t xml:space="preserve"> </w:t>
      </w:r>
      <w:r>
        <w:t xml:space="preserve">about. Kalshi is a regulated US exchange with dollar deposits, KYC, and a</w:t>
      </w:r>
      <w:r>
        <w:t xml:space="preserve"> </w:t>
      </w:r>
      <w:r>
        <w:t xml:space="preserve">predominantly retail-and-institutional US user base; Polymarket is an offshore,</w:t>
      </w:r>
      <w:r>
        <w:t xml:space="preserve"> </w:t>
      </w:r>
      <w:r>
        <w:t xml:space="preserve">crypto-collateralized order book historically closed to US users, with larger notional</w:t>
      </w:r>
      <w:r>
        <w:t xml:space="preserve"> </w:t>
      </w:r>
      <w:r>
        <w:t xml:space="preserve">trades and a global, crypto-savvy clientele. Priors point both ways. Regulation, dollar</w:t>
      </w:r>
      <w:r>
        <w:t xml:space="preserve"> </w:t>
      </w:r>
      <w:r>
        <w:t xml:space="preserve">settlement, and US-anchored participants could make Kalshi the natural home for</w:t>
      </w:r>
      <w:r>
        <w:t xml:space="preserve"> </w:t>
      </w:r>
      <w:r>
        <w:t xml:space="preserve">US-macro information; deep crypto liquidity, whales, and 24/7 global flow could make</w:t>
      </w:r>
      <w:r>
        <w:t xml:space="preserve"> </w:t>
      </w:r>
      <w:r>
        <w:t xml:space="preserve">Polymarket the faster aggregator. The question is empirical, and identical cross-listed</w:t>
      </w:r>
      <w:r>
        <w:t xml:space="preserve"> </w:t>
      </w:r>
      <w:r>
        <w:t xml:space="preserve">contracts let us answer it cleanly.</w:t>
      </w:r>
    </w:p>
    <w:p>
      <w:pPr>
        <w:pStyle w:val="BodyText"/>
      </w:pPr>
      <w:r>
        <w:t xml:space="preserve">We study FOMC monetary-policy decisions, the cleanest possible identical-settlement event:</w:t>
      </w:r>
      <w:r>
        <w:t xml:space="preserve"> </w:t>
      </w:r>
      <w:r>
        <w:t xml:space="preserve">both venues resolve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FOMC statement. For each meeting each venue lists</w:t>
      </w:r>
      <w:r>
        <w:t xml:space="preserve"> </w:t>
      </w:r>
      <w:r>
        <w:t xml:space="preserve">five mutually-exclusive outcomes. Our sample is the four meetings that both venues carry</w:t>
      </w:r>
      <w:r>
        <w:t xml:space="preserve"> </w:t>
      </w:r>
      <w:r>
        <w:t xml:space="preserve">with retrievable high-frequency history as of the July-2026 data cut: June 2026 (already</w:t>
      </w:r>
      <w:r>
        <w:t xml:space="preserve"> </w:t>
      </w:r>
      <w:r>
        <w:t xml:space="preserve">resolved—the Fed held—and used for a resolving-news event study) and the still-open</w:t>
      </w:r>
      <w:r>
        <w:t xml:space="preserve"> </w:t>
      </w:r>
      <w:r>
        <w:t xml:space="preserve">July, September, and October 2026 meetings. After aligning both venues onto a common hourly</w:t>
      </w:r>
      <w:r>
        <w:t xml:space="preserve"> </w:t>
      </w:r>
      <w:r>
        <w:t xml:space="preserve">grid and keeping the 15 outcome contracts with enough overlap and genuine price variation,</w:t>
      </w:r>
      <w:r>
        <w:t xml:space="preserve"> </w:t>
      </w:r>
      <w:r>
        <w:t xml:space="preserve">we have 32</w:t>
      </w:r>
      <w:r>
        <w:t xml:space="preserve">,</w:t>
      </w:r>
      <w:r>
        <w:t xml:space="preserve">885 matched contract-hours.</w:t>
      </w:r>
    </w:p>
    <w:p>
      <w:pPr>
        <w:pStyle w:val="BodyText"/>
      </w:pPr>
      <w:r>
        <w:t xml:space="preserve">Our results are consistent across three methods and, we think, economically interesting.</w:t>
      </w:r>
      <w:r>
        <w:t xml:space="preserve"> </w:t>
      </w:r>
      <w:r>
        <w:rPr>
          <w:i/>
          <w:iCs/>
        </w:rPr>
        <w:t xml:space="preserve">First</w:t>
      </w:r>
      <w:r>
        <w:t xml:space="preserve">, the two venues price the same event almost identically: the mean absolute gap</w:t>
      </w:r>
      <w:r>
        <w:t xml:space="preserve"> </w:t>
      </w:r>
      <w:r>
        <w:t xml:space="preserve">between the Kalshi and Polymarket YES price is 3.6 cents, the level correlation averages</w:t>
      </w:r>
      <w:r>
        <w:t xml:space="preserve"> </w:t>
      </w:r>
      <w:r>
        <w:t xml:space="preserve">0.61, and the price gap is stationary (ADF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 in 87% of pairs—so the two prices</w:t>
      </w:r>
      <w:r>
        <w:t xml:space="preserve"> </w:t>
      </w:r>
      <w:r>
        <w:t xml:space="preserve">are cointegrated and the Hasbrouck machinery applies.</w:t>
      </w:r>
      <w:r>
        <w:t xml:space="preserve"> </w:t>
      </w:r>
      <w:r>
        <w:rPr>
          <w:i/>
          <w:iCs/>
        </w:rPr>
        <w:t xml:space="preserve">Second</w:t>
      </w:r>
      <w:r>
        <w:t xml:space="preserve">, and centrally,</w:t>
      </w:r>
      <w:r>
        <w:t xml:space="preserve"> </w:t>
      </w:r>
      <w:r>
        <w:rPr>
          <w:i/>
          <w:iCs/>
        </w:rPr>
        <w:t xml:space="preserve">Polymarket leads price discovery</w:t>
      </w:r>
      <w:r>
        <w:t xml:space="preserve">. Its Hasbrouck information share averages 0.68</w:t>
      </w:r>
      <w:r>
        <w:t xml:space="preserve"> </w:t>
      </w:r>
      <w:r>
        <w:t xml:space="preserve">across the 15 pairs (median 0.79), and 0.82 when weighted by observations</w:t>
      </w:r>
      <w:r>
        <w:t xml:space="preserve"> </w:t>
      </w:r>
      <w:r>
        <w:t xml:space="preserve">(Table </w:t>
      </w:r>
      <w:hyperlink w:anchor="tab:main">
        <w:r>
          <w:rPr>
            <w:rStyle w:val="Hyperlink"/>
          </w:rPr>
          <w:t xml:space="preserve">3</w:t>
        </w:r>
      </w:hyperlink>
      <w:r>
        <w:t xml:space="preserve">); the Gonzalo–Granger permanent-component weight tells the same story</w:t>
      </w:r>
      <w:r>
        <w:t xml:space="preserve"> </w:t>
      </w:r>
      <w:r>
        <w:t xml:space="preserve">(Kalshi 0.32). Polymarket is the leader in 11 of 15 pairs. The four pairs where Kalshi</w:t>
      </w:r>
      <w:r>
        <w:t xml:space="preserve"> </w:t>
      </w:r>
      <w:r>
        <w:t xml:space="preserve">appears to lead are the thinnest, lowest-variation contracts (three far-dated October</w:t>
      </w:r>
      <w:r>
        <w:t xml:space="preserve"> </w:t>
      </w:r>
      <w:r>
        <w:t xml:space="preserve">outcomes plus a near-zero September tail), for which the decomposition is unreliable—so</w:t>
      </w:r>
      <w:r>
        <w:t xml:space="preserve"> </w:t>
      </w:r>
      <w:r>
        <w:t xml:space="preserve">their information shares are essentially noise, and weighting by activity (which shrinks</w:t>
      </w:r>
      <w:r>
        <w:t xml:space="preserve"> </w:t>
      </w:r>
      <w:r>
        <w:t xml:space="preserve">them) sharpens the Polymarket result rather than reversing it.</w:t>
      </w:r>
      <w:r>
        <w:t xml:space="preserve"> </w:t>
      </w:r>
      <w:r>
        <w:rPr>
          <w:i/>
          <w:iCs/>
        </w:rPr>
        <w:t xml:space="preserve">Third</w:t>
      </w:r>
      <w:r>
        <w:t xml:space="preserve">, the direct lead–lag evidence</w:t>
      </w:r>
      <w:r>
        <w:t xml:space="preserve"> </w:t>
      </w:r>
      <w:r>
        <w:t xml:space="preserve">agrees: the pooled cross-correlation of hourly price changes peaks at Polymarket leading</w:t>
      </w:r>
      <w:r>
        <w:t xml:space="preserve"> </w:t>
      </w:r>
      <w:r>
        <w:t xml:space="preserve">Kalshi by one hour, and in the resolved June meeting Polymarket’s mean absolute pricing</w:t>
      </w:r>
      <w:r>
        <w:t xml:space="preserve"> </w:t>
      </w:r>
      <w:r>
        <w:t xml:space="preserve">error against the realized outcome is roughly one-fifth of Kalshi’s throughout the final</w:t>
      </w:r>
      <w:r>
        <w:t xml:space="preserve"> </w:t>
      </w:r>
      <w:r>
        <w:t xml:space="preserve">week before the statement (Table </w:t>
      </w:r>
      <w:hyperlink w:anchor="tab:event">
        <w:r>
          <w:rPr>
            <w:rStyle w:val="Hyperlink"/>
          </w:rPr>
          <w:t xml:space="preserve">5</w:t>
        </w:r>
      </w:hyperlink>
      <w:r>
        <w:t xml:space="preserve">, Figure </w:t>
      </w:r>
      <w:hyperlink w:anchor="fig:event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We contribute to two literatures. To the</w:t>
      </w:r>
      <w:r>
        <w:t xml:space="preserve"> </w:t>
      </w:r>
      <w:r>
        <w:rPr>
          <w:i/>
          <w:iCs/>
        </w:rPr>
        <w:t xml:space="preserve">price-discovery</w:t>
      </w:r>
      <w:r>
        <w:t xml:space="preserve"> </w:t>
      </w:r>
      <w:r>
        <w:t xml:space="preserve">literature</w:t>
      </w:r>
      <w:r>
        <w:t xml:space="preserve"> </w:t>
      </w:r>
      <w:r>
        <w:t xml:space="preserve">, which measures where a</w:t>
      </w:r>
      <w:r>
        <w:t xml:space="preserve"> </w:t>
      </w:r>
      <w:r>
        <w:t xml:space="preserve">cross-listed asset’s efficient price is set, we add the first venue-level comparison of the</w:t>
      </w:r>
      <w:r>
        <w:t xml:space="preserve"> </w:t>
      </w:r>
      <w:r>
        <w:t xml:space="preserve">two dominant modern prediction-market exchanges, using cross-listed contracts with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(not merely similar) settlement. To the</w:t>
      </w:r>
      <w:r>
        <w:t xml:space="preserve"> </w:t>
      </w:r>
      <w:r>
        <w:rPr>
          <w:i/>
          <w:iCs/>
        </w:rPr>
        <w:t xml:space="preserve">prediction-market</w:t>
      </w:r>
      <w:r>
        <w:t xml:space="preserve"> </w:t>
      </w:r>
      <w:r>
        <w:t xml:space="preserve">literature</w:t>
      </w:r>
      <w:r>
        <w:t xml:space="preserve"> </w:t>
      </w:r>
      <w:r>
        <w:t xml:space="preserve">, which established that</w:t>
      </w:r>
      <w:r>
        <w:t xml:space="preserve"> </w:t>
      </w:r>
      <w:r>
        <w:t xml:space="preserve">market prices forecast events well, we add a within-event, cross-venue result: not all</w:t>
      </w:r>
      <w:r>
        <w:t xml:space="preserve"> </w:t>
      </w:r>
      <w:r>
        <w:t xml:space="preserve">prediction markets are equal aggregators, and on US macro events the</w:t>
      </w:r>
      <w:r>
        <w:t xml:space="preserve"> </w:t>
      </w:r>
      <w:r>
        <w:rPr>
          <w:i/>
          <w:iCs/>
        </w:rPr>
        <w:t xml:space="preserve">unregulated</w:t>
      </w:r>
      <w:r>
        <w:t xml:space="preserve"> </w:t>
      </w:r>
      <w:r>
        <w:t xml:space="preserve">venue leads the regulated one. The finding is the reverse of a natural</w:t>
      </w:r>
      <w:r>
        <w:t xml:space="preserve"> </w:t>
      </w:r>
      <w:r>
        <w:t xml:space="preserve">“regulation breeds</w:t>
      </w:r>
      <w:r>
        <w:t xml:space="preserve"> </w:t>
      </w:r>
      <w:r>
        <w:t xml:space="preserve">quality”</w:t>
      </w:r>
      <w:r>
        <w:t xml:space="preserve"> </w:t>
      </w:r>
      <w:r>
        <w:t xml:space="preserve">prior and speaks to current CFTC debates over event-contract oversight.</w:t>
      </w:r>
    </w:p>
    <w:p>
      <w:pPr>
        <w:pStyle w:val="BodyText"/>
      </w:pPr>
      <w:r>
        <w:t xml:space="preserve">The remainder proceeds as follows. Section </w:t>
      </w:r>
      <w:hyperlink w:anchor="sec:hyp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develops hypotheses,</w:t>
      </w:r>
      <w:r>
        <w:t xml:space="preserve"> </w:t>
      </w:r>
      <w:r>
        <w:t xml:space="preserve">Section </w:t>
      </w:r>
      <w:hyperlink w:anchor="sec:li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places the paper in the price-discovery and prediction-market</w:t>
      </w:r>
      <w:r>
        <w:t xml:space="preserve"> </w:t>
      </w:r>
      <w:r>
        <w:t xml:space="preserve">literatures, 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describes the data and matching,</w:t>
      </w:r>
      <w:r>
        <w:t xml:space="preserve"> </w:t>
      </w:r>
      <w:r>
        <w:t xml:space="preserve">Section </w:t>
      </w:r>
      <w:hyperlink w:anchor="sec:method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the information-share estimator, and Section </w:t>
      </w:r>
      <w:hyperlink w:anchor="sec:re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main results. Sections </w:t>
      </w:r>
      <w:hyperlink w:anchor="sec:inf">
        <w:r>
          <w:rPr>
            <w:rStyle w:val="Hyperlink"/>
          </w:rPr>
          <w:t xml:space="preserve">7</w:t>
        </w:r>
      </w:hyperlink>
      <w:r>
        <w:t xml:space="preserve">–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push past a single point estimate:</w:t>
      </w:r>
      <w:r>
        <w:t xml:space="preserve"> </w:t>
      </w:r>
      <w:r>
        <w:t xml:space="preserve">Section </w:t>
      </w:r>
      <w:hyperlink w:anchor="sec:inf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subjects the lead to design-based inference (a bootstrap confidence</w:t>
      </w:r>
      <w:r>
        <w:t xml:space="preserve"> </w:t>
      </w:r>
      <w:r>
        <w:t xml:space="preserve">interval, a sign test, and a cross-pairing placebo), Section </w:t>
      </w:r>
      <w:hyperlink w:anchor="sec:het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asks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lead comes from across observable pair characteristics,</w:t>
      </w:r>
      <w:r>
        <w:t xml:space="preserve"> </w:t>
      </w:r>
      <w:r>
        <w:t xml:space="preserve">Section </w:t>
      </w:r>
      <w:hyperlink w:anchor="sec:rob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shows it is robust to estimator and window choices, and</w:t>
      </w:r>
      <w:r>
        <w:t xml:space="preserve"> </w:t>
      </w:r>
      <w:r>
        <w:t xml:space="preserve">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states the precision of the finding as a minimum-detectable</w:t>
      </w:r>
      <w:r>
        <w:t xml:space="preserve"> </w:t>
      </w:r>
      <w:r>
        <w:t xml:space="preserve">effect rather than an adjective. Section </w:t>
      </w:r>
      <w:hyperlink w:anchor="sec:conc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concludes. We are explicit about</w:t>
      </w:r>
      <w:r>
        <w:t xml:space="preserve"> </w:t>
      </w:r>
      <w:r>
        <w:t xml:space="preserve">the one task we deliberately leave to human hands—verifying, rule-by-rule, that two</w:t>
      </w:r>
      <w:r>
        <w:t xml:space="preserve"> </w:t>
      </w:r>
      <w:r>
        <w:t xml:space="preserve">cross-listed contracts settle identically—because it is the hinge on which any such study</w:t>
      </w:r>
      <w:r>
        <w:t xml:space="preserve"> </w:t>
      </w:r>
      <w:r>
        <w:t xml:space="preserve">turns.</w:t>
      </w:r>
    </w:p>
    <w:bookmarkEnd w:id="11"/>
    <w:bookmarkStart w:id="12" w:name="sec:hyp"/>
    <w:p>
      <w:pPr>
        <w:pStyle w:val="Heading1"/>
      </w:pPr>
      <w:r>
        <w:t xml:space="preserve">Hypotheses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P</m:t>
            </m:r>
          </m:sup>
        </m:sSubSup>
      </m:oMath>
      <w:r>
        <w:t xml:space="preserve"> </w:t>
      </w:r>
      <w:r>
        <w:t xml:space="preserve">be the Kalshi and Polymarket YES prices for the same outcome. If</w:t>
      </w:r>
      <w:r>
        <w:t xml:space="preserve"> </w:t>
      </w:r>
      <w:r>
        <w:t xml:space="preserve">both are noisy estimates of a common efficient probability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, they are cointegrated</w:t>
      </w:r>
      <w:r>
        <w:t xml:space="preserve"> </w:t>
      </w:r>
      <w:r>
        <w:t xml:space="preserve">with cointegrating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share a common stochastic trend</w:t>
      </w:r>
      <w:r>
        <w:t xml:space="preserve"> </w:t>
      </w:r>
      <w:r>
        <w:t xml:space="preserve">. Price discovery asks which venue’s order flow moves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H1 (Cointegration).</w:t>
      </w:r>
      <w:r>
        <w:t xml:space="preserve"> </w:t>
      </w:r>
      <w:r>
        <w:t xml:space="preserve">The two YES prices co-move one-for-one; their difference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K</m:t>
            </m:r>
          </m:sup>
        </m:sSubSup>
        <m:r>
          <m:rPr>
            <m:sty m:val="p"/>
          </m:rPr>
          <m:t>−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P</m:t>
            </m:r>
          </m:sup>
        </m:sSubSup>
      </m:oMath>
      <w:r>
        <w:t xml:space="preserve"> </w:t>
      </w:r>
      <w:r>
        <w:t xml:space="preserve">is stationary.</w:t>
      </w:r>
    </w:p>
    <w:p>
      <w:pPr>
        <w:pStyle w:val="BlockText"/>
      </w:pPr>
      <w:r>
        <w:rPr>
          <w:b/>
          <w:bCs/>
        </w:rPr>
        <w:t xml:space="preserve">H2 (Regulated-venue leadership).</w:t>
      </w:r>
      <w:r>
        <w:t xml:space="preserve"> </w:t>
      </w:r>
      <w:r>
        <w:t xml:space="preserve">If US-anchored, dollar-settled participants hold</w:t>
      </w:r>
      <w:r>
        <w:t xml:space="preserve"> </w:t>
      </w:r>
      <w:r>
        <w:t xml:space="preserve">the relevant macro information, Kalshi leads: its Hasbrouck information share exceeds 0.5.</w:t>
      </w:r>
    </w:p>
    <w:p>
      <w:pPr>
        <w:pStyle w:val="BlockText"/>
      </w:pPr>
      <w:r>
        <w:rPr>
          <w:b/>
          <w:bCs/>
        </w:rPr>
        <w:t xml:space="preserve">H2</w:t>
      </w:r>
      <m:oMath>
        <m:r>
          <m:rPr>
            <m:sty m:val="p"/>
          </m:rPr>
          <m:t>′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(Crypto-venue leadership).</w:t>
      </w:r>
      <w:r>
        <w:t xml:space="preserve"> </w:t>
      </w:r>
      <w:r>
        <w:t xml:space="preserve">If deeper capital, larger trades, and global 24/7</w:t>
      </w:r>
      <w:r>
        <w:t xml:space="preserve"> </w:t>
      </w:r>
      <w:r>
        <w:t xml:space="preserve">flow dominate, Polymarket leads: its information share exceeds 0.5.</w:t>
      </w:r>
    </w:p>
    <w:p>
      <w:pPr>
        <w:pStyle w:val="FirstParagraph"/>
      </w:pPr>
      <w:r>
        <w:t xml:space="preserve">H2 and H2</w:t>
      </w:r>
      <m:oMath>
        <m:r>
          <m:rPr>
            <m:sty m:val="p"/>
          </m:rPr>
          <m:t>′</m:t>
        </m:r>
      </m:oMath>
      <w:r>
        <w:t xml:space="preserve"> </w:t>
      </w:r>
      <w:r>
        <w:t xml:space="preserve">are the competing predictions the horse race adjudicates. A subsidiary</w:t>
      </w:r>
      <w:r>
        <w:t xml:space="preserve"> </w:t>
      </w:r>
      <w:r>
        <w:t xml:space="preserve">prediction (H3) is that whichever venue leads should also converge faster to the realized</w:t>
      </w:r>
      <w:r>
        <w:t xml:space="preserve"> </w:t>
      </w:r>
      <w:r>
        <w:t xml:space="preserve">outcome as the resolving news approaches.</w:t>
      </w:r>
    </w:p>
    <w:bookmarkEnd w:id="12"/>
    <w:bookmarkStart w:id="13" w:name="sec:lit"/>
    <w:p>
      <w:pPr>
        <w:pStyle w:val="Heading1"/>
      </w:pPr>
      <w:r>
        <w:t xml:space="preserve">Related Literature</w:t>
      </w:r>
    </w:p>
    <w:p>
      <w:pPr>
        <w:pStyle w:val="FirstParagraph"/>
      </w:pPr>
      <w:r>
        <w:t xml:space="preserve">This paper sits at the intersection of three literatures. The first is the microstructure of</w:t>
      </w:r>
      <w:r>
        <w:t xml:space="preserve"> </w:t>
      </w:r>
      <w:r>
        <w:rPr>
          <w:i/>
          <w:iCs/>
        </w:rPr>
        <w:t xml:space="preserve">price discovery</w:t>
      </w:r>
      <w:r>
        <w:t xml:space="preserve"> </w:t>
      </w:r>
      <w:r>
        <w:t xml:space="preserve">for a single asset traded in multiple venues.</w:t>
      </w:r>
      <w:r>
        <w:t xml:space="preserve"> </w:t>
      </w:r>
      <w:r>
        <w:t xml:space="preserve"> </w:t>
      </w:r>
      <w:r>
        <w:t xml:space="preserve">formalized the</w:t>
      </w:r>
      <w:r>
        <w:t xml:space="preserve"> </w:t>
      </w:r>
      <w:r>
        <w:rPr>
          <w:i/>
          <w:iCs/>
        </w:rPr>
        <w:t xml:space="preserve">information share</w:t>
      </w:r>
      <w:r>
        <w:t xml:space="preserve">—the fraction of the variance of the common efficient</w:t>
      </w:r>
      <w:r>
        <w:t xml:space="preserve"> </w:t>
      </w:r>
      <w:r>
        <w:t xml:space="preserve">price’s innovations attributable to each market—within a cointegrated vector error-correction</w:t>
      </w:r>
      <w:r>
        <w:t xml:space="preserve"> </w:t>
      </w:r>
      <w:r>
        <w:t xml:space="preserve">system, and</w:t>
      </w:r>
      <w:r>
        <w:t xml:space="preserve"> </w:t>
      </w:r>
      <w:r>
        <w:t xml:space="preserve"> </w:t>
      </w:r>
      <w:r>
        <w:t xml:space="preserve">proposed an ordering-free permanent–transitory decomposition</w:t>
      </w:r>
      <w:r>
        <w:t xml:space="preserve"> </w:t>
      </w:r>
      <w:r>
        <w:t xml:space="preserve">whose common-factor weights answer a closely related question. Because the Hasbrouck share is</w:t>
      </w:r>
      <w:r>
        <w:t xml:space="preserve"> </w:t>
      </w:r>
      <w:r>
        <w:t xml:space="preserve">sensitive to the Cholesky ordering when innovations are correlated,</w:t>
      </w:r>
      <w:r>
        <w:t xml:space="preserve"> </w:t>
      </w:r>
      <w:r>
        <w:t xml:space="preserve"> </w:t>
      </w:r>
      <w:r>
        <w:t xml:space="preserve">showed</w:t>
      </w:r>
      <w:r>
        <w:t xml:space="preserve"> </w:t>
      </w:r>
      <w:r>
        <w:t xml:space="preserve">how to bound it and relate it to the Gonzalo–Granger weight, and</w:t>
      </w:r>
      <w:r>
        <w:t xml:space="preserve"> </w:t>
      </w:r>
      <w:r>
        <w:t xml:space="preserve"> </w:t>
      </w:r>
      <w:r>
        <w:t xml:space="preserve">clarified</w:t>
      </w:r>
      <w:r>
        <w:t xml:space="preserve"> </w:t>
      </w:r>
      <w:r>
        <w:t xml:space="preserve">what each metric does and does not measure and when they diverge. This machinery has been applied</w:t>
      </w:r>
      <w:r>
        <w:t xml:space="preserve"> </w:t>
      </w:r>
      <w:r>
        <w:t xml:space="preserve">to equities cross-listed across exchanges, to spot-versus-futures pricing, and to fragmented</w:t>
      </w:r>
      <w:r>
        <w:t xml:space="preserve"> </w:t>
      </w:r>
      <w:r>
        <w:t xml:space="preserve">equity markets; our contribution is to bring it to</w:t>
      </w:r>
      <w:r>
        <w:t xml:space="preserve"> </w:t>
      </w:r>
      <w:r>
        <w:rPr>
          <w:i/>
          <w:iCs/>
        </w:rPr>
        <w:t xml:space="preserve">prediction markets</w:t>
      </w:r>
      <w:r>
        <w:t xml:space="preserve">, using contracts</w:t>
      </w:r>
      <w:r>
        <w:t xml:space="preserve"> </w:t>
      </w:r>
      <w:r>
        <w:t xml:space="preserve">that are not merely similar but settle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public event, which makes the</w:t>
      </w:r>
      <w:r>
        <w:t xml:space="preserve"> </w:t>
      </w:r>
      <w:r>
        <w:t xml:space="preserve">cointegrating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 economic identity rather than an approximation.</w:t>
      </w:r>
    </w:p>
    <w:p>
      <w:pPr>
        <w:pStyle w:val="BodyText"/>
      </w:pPr>
      <w:r>
        <w:t xml:space="preserve">The second literature is the economics of</w:t>
      </w:r>
      <w:r>
        <w:t xml:space="preserve"> </w:t>
      </w:r>
      <w:r>
        <w:rPr>
          <w:i/>
          <w:iCs/>
        </w:rPr>
        <w:t xml:space="preserve">prediction markets</w:t>
      </w:r>
      <w:r>
        <w:t xml:space="preserve"> </w:t>
      </w:r>
      <w:r>
        <w:t xml:space="preserve">as forecasting mechanisms.</w:t>
      </w:r>
      <w:r>
        <w:t xml:space="preserve"> </w:t>
      </w:r>
      <w:r>
        <w:t xml:space="preserve">Building on</w:t>
      </w:r>
      <w:r>
        <w:t xml:space="preserve"> </w:t>
      </w:r>
      <w:r>
        <w:t xml:space="preserve"> </w:t>
      </w:r>
      <w:r>
        <w:t xml:space="preserve">on prices as information aggregators, a large body of work</w:t>
      </w:r>
      <w:r>
        <w:t xml:space="preserve"> </w:t>
      </w:r>
      <w:r>
        <w:t xml:space="preserve">established that market-based probabilities forecast elections, macro releases, and policy</w:t>
      </w:r>
      <w:r>
        <w:t xml:space="preserve"> </w:t>
      </w:r>
      <w:r>
        <w:t xml:space="preserve">outcomes at least as well as polls or expert panels</w:t>
      </w:r>
      <w:r>
        <w:t xml:space="preserve"> </w:t>
      </w:r>
      <w:r>
        <w:t xml:space="preserve">,</w:t>
      </w:r>
      <w:r>
        <w:t xml:space="preserve"> </w:t>
      </w:r>
      <w:r>
        <w:t xml:space="preserve">and clarified how to interpret a prediction-market price as a (risk-adjusted) probability</w:t>
      </w:r>
      <w:r>
        <w:t xml:space="preserve"> </w:t>
      </w:r>
      <w:r>
        <w:t xml:space="preserve">. That literature overwhelmingly treats</w:t>
      </w:r>
      <w:r>
        <w:t xml:space="preserve"> </w:t>
      </w:r>
      <w:r>
        <w:t xml:space="preserve">“the”</w:t>
      </w:r>
      <w:r>
        <w:t xml:space="preserve"> </w:t>
      </w:r>
      <w:r>
        <w:t xml:space="preserve">prediction-market</w:t>
      </w:r>
      <w:r>
        <w:t xml:space="preserve"> </w:t>
      </w:r>
      <w:r>
        <w:t xml:space="preserve">price as a single object. We instead exploit the fact that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event is now priced</w:t>
      </w:r>
      <w:r>
        <w:t xml:space="preserve"> </w:t>
      </w:r>
      <w:r>
        <w:t xml:space="preserve">simultaneously on two structurally different venues and ask which one aggregates information</w:t>
      </w:r>
      <w:r>
        <w:t xml:space="preserve"> </w:t>
      </w:r>
      <w:r>
        <w:t xml:space="preserve">first—a within-event, cross-venue comparison that the earlier single-market studies could not</w:t>
      </w:r>
      <w:r>
        <w:t xml:space="preserve"> </w:t>
      </w:r>
      <w:r>
        <w:t xml:space="preserve">pose. The theoretical backdrop is the microstructure of informed trading</w:t>
      </w:r>
      <w:r>
        <w:t xml:space="preserve"> </w:t>
      </w:r>
      <w:r>
        <w:t xml:space="preserve">: where</w:t>
      </w:r>
      <w:r>
        <w:t xml:space="preserve"> </w:t>
      </w:r>
      <w:r>
        <w:t xml:space="preserve">capital is deeper and informed order flow larger, prices should impound information faster, a</w:t>
      </w:r>
      <w:r>
        <w:t xml:space="preserve"> </w:t>
      </w:r>
      <w:r>
        <w:t xml:space="preserve">prior that points toward the crypto-native venue rather than the regulated one.</w:t>
      </w:r>
    </w:p>
    <w:p>
      <w:pPr>
        <w:pStyle w:val="BodyText"/>
      </w:pPr>
      <w:r>
        <w:t xml:space="preserve">The third literature is methodological: how to state and defend a result estimated on a small</w:t>
      </w:r>
      <w:r>
        <w:t xml:space="preserve"> </w:t>
      </w:r>
      <w:r>
        <w:t xml:space="preserve">sample. We follow the design-based turn in applied work—Fisherian randomization and permutation</w:t>
      </w:r>
      <w:r>
        <w:t xml:space="preserve"> </w:t>
      </w:r>
      <w:r>
        <w:t xml:space="preserve">inference in place of, or alongside, asymptotic standard errors</w:t>
      </w:r>
      <w:r>
        <w:t xml:space="preserve"> </w:t>
      </w:r>
      <w:r>
        <w:t xml:space="preserve">—by using a</w:t>
      </w:r>
      <w:r>
        <w:t xml:space="preserve"> </w:t>
      </w:r>
      <w:r>
        <w:t xml:space="preserve">cross-pairing placebo and a nonparametric bootstrap rather than leaning on 15 clustered</w:t>
      </w:r>
      <w:r>
        <w:t xml:space="preserve"> </w:t>
      </w:r>
      <m:oMath>
        <m:r>
          <m:t>t</m:t>
        </m:r>
      </m:oMath>
      <w:r>
        <w:t xml:space="preserve">-statistics. And we take seriously the guidance that a coefficient’s economic content lives in</w:t>
      </w:r>
      <w:r>
        <w:t xml:space="preserve"> </w:t>
      </w:r>
      <w:r>
        <w:t xml:space="preserve">its confidence interval and power, not in a significance star</w:t>
      </w:r>
      <w:r>
        <w:t xml:space="preserve"> </w:t>
      </w:r>
      <w:r>
        <w:t xml:space="preserve">: 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reports the minimum leadership gap our design could detect, so the finding is stated as a bounded,</w:t>
      </w:r>
      <w:r>
        <w:t xml:space="preserve"> </w:t>
      </w:r>
      <w:r>
        <w:t xml:space="preserve">falsifiable quantity. This is what separates the analysis from a one-number horse race.</w:t>
      </w:r>
    </w:p>
    <w:bookmarkEnd w:id="13"/>
    <w:bookmarkStart w:id="17" w:name="sec:data"/>
    <w:p>
      <w:pPr>
        <w:pStyle w:val="Heading1"/>
      </w:pPr>
      <w:r>
        <w:t xml:space="preserve">Data and Contract Matching</w:t>
      </w:r>
    </w:p>
    <w:bookmarkStart w:id="14" w:name="venues-and-endpoints."/>
    <w:p>
      <w:pPr>
        <w:pStyle w:val="Heading4"/>
      </w:pPr>
      <w:r>
        <w:t xml:space="preserve">Venues and endpoints.</w:t>
      </w:r>
    </w:p>
    <w:p>
      <w:pPr>
        <w:pStyle w:val="FirstParagraph"/>
      </w:pPr>
      <w:r>
        <w:t xml:space="preserve">We pull public data only. From Kalshi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api.elections.kalshi.com/trade-api/v2</w:t>
      </w:r>
      <w:r>
        <w:t xml:space="preserve">) we take hourly candlesticks, whose close</w:t>
      </w:r>
      <w:r>
        <w:t xml:space="preserve"> </w:t>
      </w:r>
      <w:r>
        <w:t xml:space="preserve">is the last YES trade price in cents. From Polymarket we take the Gamma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gamma-api.polymarket.com</w:t>
      </w:r>
      <w:r>
        <w:t xml:space="preserve">) for market metadata and the CLOB</w:t>
      </w:r>
      <w:r>
        <w:t xml:space="preserve"> </w:t>
      </w:r>
      <w:r>
        <w:t xml:space="preserve">(</w:t>
      </w:r>
      <w:r>
        <w:rPr>
          <w:rStyle w:val="VerbatimChar"/>
        </w:rPr>
        <w:t xml:space="preserve">clob.polymarket.com/prices-history</w:t>
      </w:r>
      <w:r>
        <w:t xml:space="preserve">) for the hourly YES-token price. Both series</w:t>
      </w:r>
      <w:r>
        <w:t xml:space="preserve"> </w:t>
      </w:r>
      <w:r>
        <w:t xml:space="preserve">are probabilities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Kalshi retains high-frequency history only for markets that</w:t>
      </w:r>
      <w:r>
        <w:t xml:space="preserve"> </w:t>
      </w:r>
      <w:r>
        <w:t xml:space="preserve">are open or very recently resolved, which bounds our FOMC sample to four meetings; we note</w:t>
      </w:r>
      <w:r>
        <w:t xml:space="preserve"> </w:t>
      </w:r>
      <w:r>
        <w:t xml:space="preserve">this as a data-availability constraint, not a design choice.</w:t>
      </w:r>
    </w:p>
    <w:bookmarkEnd w:id="14"/>
    <w:bookmarkStart w:id="15" w:name="identical-settlement."/>
    <w:p>
      <w:pPr>
        <w:pStyle w:val="Heading4"/>
      </w:pPr>
      <w:r>
        <w:t xml:space="preserve">Identical settlement.</w:t>
      </w:r>
    </w:p>
    <w:p>
      <w:pPr>
        <w:pStyle w:val="FirstParagraph"/>
      </w:pPr>
      <w:r>
        <w:t xml:space="preserve">FOMC decisions are the cleanest cross-listed event: both</w:t>
      </w:r>
      <w:r>
        <w:t xml:space="preserve"> </w:t>
      </w:r>
      <w:r>
        <w:t xml:space="preserve">venues resolve to the same published FOMC statement. Each meeting has five outcome markets</w:t>
      </w:r>
      <w:r>
        <w:t xml:space="preserve"> </w:t>
      </w:r>
      <w:r>
        <w:t xml:space="preserve">on each venue—hold, 25bp cut, 50+bp cut, 25bp hike, 50+bp hike—which we match one-to-one</w:t>
      </w:r>
      <w:r>
        <w:t xml:space="preserve"> </w:t>
      </w:r>
      <w:r>
        <w:t xml:space="preserve">by outcome. For the one resolved meeting (June 2026) both venues settled identically (both</w:t>
      </w:r>
      <w:r>
        <w:t xml:space="preserve"> </w:t>
      </w:r>
      <w:r>
        <w:t xml:space="preserve">paid</w:t>
      </w:r>
      <w:r>
        <w:t xml:space="preserve"> </w:t>
      </w:r>
      <w:r>
        <w:t xml:space="preserve">“hold”</w:t>
      </w:r>
      <w:r>
        <w:t xml:space="preserve">), a direct check on settlement equivalence. We emphasize that confirming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settlement identity—down to the reference source and the timestamp—requires</w:t>
      </w:r>
      <w:r>
        <w:t xml:space="preserve"> </w:t>
      </w:r>
      <w:r>
        <w:t xml:space="preserve">reading each venue’s resolution text line by line; this is the analyst’s manual 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STUDENT_TASKS.md</w:t>
      </w:r>
      <w:r>
        <w:t xml:space="preserve">) and the reason we keep to Fed decisions, where the resolution</w:t>
      </w:r>
      <w:r>
        <w:t xml:space="preserve"> </w:t>
      </w:r>
      <w:r>
        <w:t xml:space="preserve">criterion is a single public number.</w:t>
      </w:r>
    </w:p>
    <w:bookmarkEnd w:id="15"/>
    <w:bookmarkStart w:id="16" w:name="panel-construction."/>
    <w:p>
      <w:pPr>
        <w:pStyle w:val="Heading4"/>
      </w:pPr>
      <w:r>
        <w:t xml:space="preserve">Panel construction.</w:t>
      </w:r>
    </w:p>
    <w:p>
      <w:pPr>
        <w:pStyle w:val="FirstParagraph"/>
      </w:pPr>
      <w:r>
        <w:t xml:space="preserve">For every matched outcome we align both venues onto a common</w:t>
      </w:r>
      <w:r>
        <w:t xml:space="preserve"> </w:t>
      </w:r>
      <w:r>
        <w:t xml:space="preserve">hourly grid by last-observation-carried-forward, restrict to the overlapping window, and</w:t>
      </w:r>
      <w:r>
        <w:t xml:space="preserve"> </w:t>
      </w:r>
      <w:r>
        <w:t xml:space="preserve">keep pairs with at least 150 overlapping hours and a price standard deviation of at least</w:t>
      </w:r>
      <w:r>
        <w:t xml:space="preserve"> </w:t>
      </w:r>
      <w:r>
        <w:t xml:space="preserve">0.02 on the more variable venue (a contract frozen near 0 or 1 carries no information to</w:t>
      </w:r>
      <w:r>
        <w:t xml:space="preserve"> </w:t>
      </w:r>
      <w:r>
        <w:t xml:space="preserve">share). This yields 15 usable pairs across the four meetings and 32</w:t>
      </w:r>
      <w:r>
        <w:t xml:space="preserve">,</w:t>
      </w:r>
      <w:r>
        <w:t xml:space="preserve">885 contract-hours</w:t>
      </w:r>
      <w:r>
        <w:t xml:space="preserve"> </w:t>
      </w:r>
      <w:r>
        <w:t xml:space="preserve">(Table </w:t>
      </w:r>
      <w:hyperlink w:anchor="tab:sample">
        <w:r>
          <w:rPr>
            <w:rStyle w:val="Hyperlink"/>
          </w:rPr>
          <w:t xml:space="preserve">1</w:t>
        </w:r>
      </w:hyperlink>
      <w:r>
        <w:t xml:space="preserve">). Table </w:t>
      </w:r>
      <w:hyperlink w:anchor="tab:desc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the venues track each other closely:</w:t>
      </w:r>
      <w:r>
        <w:t xml:space="preserve"> </w:t>
      </w:r>
      <w:r>
        <w:t xml:space="preserve">mean absolute gap 3.6 cents, level correlation 0.61, and a stationary spread in 87% of</w:t>
      </w:r>
      <w:r>
        <w:t xml:space="preserve"> </w:t>
      </w:r>
      <w:r>
        <w:t xml:space="preserve">pairs—</w:t>
      </w:r>
      <w:r>
        <w:rPr>
          <w:b/>
          <w:bCs/>
        </w:rPr>
        <w:t xml:space="preserve">H1 is supported</w:t>
      </w:r>
      <w:r>
        <w:t xml:space="preserve">, validating the error-correction framework.</w:t>
      </w:r>
    </w:p>
    <w:bookmarkEnd w:id="16"/>
    <w:bookmarkEnd w:id="17"/>
    <w:bookmarkStart w:id="18" w:name="sec:method"/>
    <w:p>
      <w:pPr>
        <w:pStyle w:val="Heading1"/>
      </w:pPr>
      <w:r>
        <w:t xml:space="preserve">Method: Hasbrouck Information Shares</w:t>
      </w:r>
    </w:p>
    <w:p>
      <w:pPr>
        <w:pStyle w:val="FirstParagraph"/>
      </w:pPr>
      <w:r>
        <w:t xml:space="preserve">For each pair we estimate the bivariate vector error-correction model (VECM)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 </m:t>
          </m:r>
          <m:r>
            <m:rPr>
              <m:sty m:val="p"/>
            </m:rPr>
            <m:t>(</m:t>
          </m:r>
          <m:sSubSup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P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Ω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P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 the cointegrating vector fixed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 prices are</w:t>
      </w:r>
      <w:r>
        <w:t xml:space="preserve"> </w:t>
      </w:r>
      <w:r>
        <w:t xml:space="preserve">the same probability). Lag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chosen by AIC (1–8 hours). The Granger</w:t>
      </w:r>
      <w:r>
        <w:t xml:space="preserve"> </w:t>
      </w:r>
      <w:r>
        <w:t xml:space="preserve">representation gives a common long-run impact row</w:t>
      </w:r>
      <w:r>
        <w:t xml:space="preserve"> </w:t>
      </w:r>
      <m:oMath>
        <m:r>
          <m:t>ψ</m:t>
        </m:r>
        <m:r>
          <m:rPr>
            <m:sty m:val="p"/>
          </m:rPr>
          <m:t>∝</m:t>
        </m:r>
        <m:sSub>
          <m:e>
            <m:r>
              <m:t>α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, and the</w:t>
      </w:r>
      <w:r>
        <w:t xml:space="preserve"> </w:t>
      </w:r>
      <w:r>
        <w:t xml:space="preserve"> </w:t>
      </w:r>
      <w:r>
        <w:t xml:space="preserve">information share of venue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ψ</m:t>
              </m:r>
              <m:r>
                <m:t>M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ψ</m:t>
              </m:r>
              <m:r>
                <m:t> </m:t>
              </m:r>
              <m:r>
                <m:rPr>
                  <m:sty m:val="p"/>
                </m:rPr>
                <m:t>Ω</m:t>
              </m:r>
              <m:r>
                <m:t> 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Cholesky factor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not diagonal, IS depends on</w:t>
      </w:r>
      <w:r>
        <w:t xml:space="preserve"> </w:t>
      </w:r>
      <w:r>
        <w:t xml:space="preserve">the Cholesky ordering; we report the lower and upper bounds from both orderings and their</w:t>
      </w:r>
      <w:r>
        <w:t xml:space="preserve"> </w:t>
      </w:r>
      <w:r>
        <w:t xml:space="preserve">midpoint</w:t>
      </w:r>
      <w:r>
        <w:t xml:space="preserve"> </w:t>
      </w:r>
      <w:r>
        <w:t xml:space="preserve">. As a cross-check we report the</w:t>
      </w:r>
      <w:r>
        <w:t xml:space="preserve"> </w:t>
      </w:r>
      <w:r>
        <w:t xml:space="preserve"> </w:t>
      </w:r>
      <w:r>
        <w:t xml:space="preserve">permanent–transitory component weight,</w:t>
      </w:r>
      <w: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which</w:t>
      </w:r>
      <w:r>
        <w:t xml:space="preserve"> </w:t>
      </w:r>
      <w:r>
        <w:t xml:space="preserve">does not depend on an ordering. We complement the structural estimator with two</w:t>
      </w:r>
      <w:r>
        <w:t xml:space="preserve"> </w:t>
      </w:r>
      <w:r>
        <w:t xml:space="preserve">model-free measures: a lead–lag cross-correlation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Δ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Δ</m:t>
        </m:r>
        <m:sSubSup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sub>
          <m:sup>
            <m:r>
              <m:t>P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(a negative peak lag means Polymarket</w:t>
      </w:r>
      <w:r>
        <w:t xml:space="preserve"> </w:t>
      </w:r>
      <w:r>
        <w:t xml:space="preserve">leads), and pairwise Granger-causality</w:t>
      </w:r>
      <w:r>
        <w:t xml:space="preserve"> </w:t>
      </w:r>
      <m:oMath>
        <m:r>
          <m:t>F</m:t>
        </m:r>
      </m:oMath>
      <w:r>
        <w:t xml:space="preserve">-tests in both directions.</w:t>
      </w:r>
    </w:p>
    <w:bookmarkEnd w:id="18"/>
    <w:bookmarkStart w:id="23" w:name="sec:res"/>
    <w:p>
      <w:pPr>
        <w:pStyle w:val="Heading1"/>
      </w:pPr>
      <w:r>
        <w:t xml:space="preserve">Results</w:t>
      </w:r>
    </w:p>
    <w:bookmarkStart w:id="19" w:name="polymarket-leads."/>
    <w:p>
      <w:pPr>
        <w:pStyle w:val="Heading4"/>
      </w:pPr>
      <w:r>
        <w:t xml:space="preserve">Polymarket leads.</w:t>
      </w:r>
    </w:p>
    <w:p>
      <w:pPr>
        <w:pStyle w:val="FirstParagraph"/>
      </w:pPr>
      <w:r>
        <w:t xml:space="preserve">Table </w:t>
      </w:r>
      <w:hyperlink w:anchor="tab:mai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is the core result. Averaged over the 15</w:t>
      </w:r>
      <w:r>
        <w:t xml:space="preserve"> </w:t>
      </w:r>
      <w:r>
        <w:t xml:space="preserve">matched contracts, Kalshi’s information share is 0.32 and Polymarket’s is 0.68; the median</w:t>
      </w:r>
      <w:r>
        <w:t xml:space="preserve"> </w:t>
      </w:r>
      <w:r>
        <w:t xml:space="preserve">Polymarket share is 0.79, and weighting by contract-hours—which up-weights the liquid,</w:t>
      </w:r>
      <w:r>
        <w:t xml:space="preserve"> </w:t>
      </w:r>
      <w:r>
        <w:t xml:space="preserve">long-lived contracts and down-weights the thin ones—raises Polymarket to 0.82. The</w:t>
      </w:r>
      <w:r>
        <w:t xml:space="preserve"> </w:t>
      </w:r>
      <w:r>
        <w:t xml:space="preserve">Gonzalo–Granger weight agrees (Kalshi 0.32). Figure </w:t>
      </w:r>
      <w:hyperlink w:anchor="fig:i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plots the per-contract</w:t>
      </w:r>
      <w:r>
        <w:t xml:space="preserve"> </w:t>
      </w:r>
      <w:r>
        <w:t xml:space="preserve">shares with their Cholesky bounds: in every liquid contract (the June, July, and September</w:t>
      </w:r>
      <w:r>
        <w:t xml:space="preserve"> </w:t>
      </w:r>
      <w:r>
        <w:t xml:space="preserve">meetings, each with 1</w:t>
      </w:r>
      <w:r>
        <w:t xml:space="preserve">,</w:t>
      </w:r>
      <w:r>
        <w:t xml:space="preserve">300–4</w:t>
      </w:r>
      <w:r>
        <w:t xml:space="preserve">,</w:t>
      </w:r>
      <w:r>
        <w:t xml:space="preserve">500 hours) Polymarket’s share sits well above one-half.</w:t>
      </w:r>
      <w:r>
        <w:t xml:space="preserve"> </w:t>
      </w:r>
      <w:r>
        <w:rPr>
          <w:b/>
          <w:bCs/>
        </w:rPr>
        <w:t xml:space="preserve">H2</w:t>
      </w:r>
      <m:oMath>
        <m:r>
          <m:rPr>
            <m:sty m:val="p"/>
          </m:rPr>
          <m:t>′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supported and H2 is rejected</w:t>
      </w:r>
      <w:r>
        <w:t xml:space="preserve">: the unregulated, crypto-native venue is the</w:t>
      </w:r>
      <w:r>
        <w:t xml:space="preserve"> </w:t>
      </w:r>
      <w:r>
        <w:t xml:space="preserve">price leader.</w:t>
      </w:r>
    </w:p>
    <w:bookmarkEnd w:id="19"/>
    <w:bookmarkStart w:id="20" w:name="the-apparent-exceptions-are-noise."/>
    <w:p>
      <w:pPr>
        <w:pStyle w:val="Heading4"/>
      </w:pPr>
      <w:r>
        <w:t xml:space="preserve">The apparent exceptions are noise.</w:t>
      </w:r>
    </w:p>
    <w:p>
      <w:pPr>
        <w:pStyle w:val="FirstParagraph"/>
      </w:pPr>
      <w:r>
        <w:t xml:space="preserve">Kalshi’s information share exceeds one-half in</w:t>
      </w:r>
      <w:r>
        <w:t xml:space="preserve"> </w:t>
      </w:r>
      <w:r>
        <w:t xml:space="preserve">only four contracts: three from the thin, far-dated October meeting (200–460 overlapping</w:t>
      </w:r>
      <w:r>
        <w:t xml:space="preserve"> </w:t>
      </w:r>
      <w:r>
        <w:t xml:space="preserve">hours) plus the near-zero September</w:t>
      </w:r>
      <w:r>
        <w:t xml:space="preserve"> </w:t>
      </w:r>
      <w:r>
        <w:t xml:space="preserve">“50+bp hike”</w:t>
      </w:r>
      <w:r>
        <w:t xml:space="preserve"> </w:t>
      </w:r>
      <w:r>
        <w:t xml:space="preserve">tail. These are precisely the</w:t>
      </w:r>
      <w:r>
        <w:t xml:space="preserve"> </w:t>
      </w:r>
      <w:r>
        <w:t xml:space="preserve">low-liquidity, low-variation pairs. In three of the four, no Granger causality is identified</w:t>
      </w:r>
      <w:r>
        <w:t xml:space="preserve"> </w:t>
      </w:r>
      <w:r>
        <w:t xml:space="preserve">in either direction (Table </w:t>
      </w:r>
      <w:hyperlink w:anchor="tab:leadlag">
        <w:r>
          <w:rPr>
            <w:rStyle w:val="Hyperlink"/>
          </w:rPr>
          <w:t xml:space="preserve">4</w:t>
        </w:r>
      </w:hyperlink>
      <w:r>
        <w:t xml:space="preserve">); the fourth (October 50+bp cut) returns a</w:t>
      </w:r>
      <w:r>
        <w:t xml:space="preserve"> </w:t>
      </w:r>
      <w:r>
        <w:t xml:space="preserve">Gonzalo–Granger weight of 1.33—outside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thus economically meaningless. With</w:t>
      </w:r>
      <w:r>
        <w:t xml:space="preserve"> </w:t>
      </w:r>
      <w:r>
        <w:t xml:space="preserve">little trading and weak error-correction the VECM cannot reliably attribute leadership in</w:t>
      </w:r>
      <w:r>
        <w:t xml:space="preserve"> </w:t>
      </w:r>
      <w:r>
        <w:t xml:space="preserve">these pairs. Because activity-weighting shrinks them, they pull the pooled result</w:t>
      </w:r>
      <w:r>
        <w:t xml:space="preserve"> </w:t>
      </w:r>
      <w:r>
        <w:rPr>
          <w:i/>
          <w:iCs/>
        </w:rPr>
        <w:t xml:space="preserve">toward</w:t>
      </w:r>
      <w:r>
        <w:t xml:space="preserve"> </w:t>
      </w:r>
      <w:r>
        <w:t xml:space="preserve">Polymarket, not away from it.</w:t>
      </w:r>
    </w:p>
    <w:bookmarkEnd w:id="20"/>
    <w:bookmarkStart w:id="21" w:name="leadlag-agrees."/>
    <w:p>
      <w:pPr>
        <w:pStyle w:val="Heading4"/>
      </w:pPr>
      <w:r>
        <w:t xml:space="preserve">Lead–lag agrees.</w:t>
      </w:r>
    </w:p>
    <w:p>
      <w:pPr>
        <w:pStyle w:val="FirstParagraph"/>
      </w:pPr>
      <w:r>
        <w:t xml:space="preserve">The pooled cross-correlation of hourly price changes</w:t>
      </w:r>
      <w:r>
        <w:t xml:space="preserve"> </w:t>
      </w:r>
      <w:r>
        <w:t xml:space="preserve">(Figure </w:t>
      </w:r>
      <w:hyperlink w:anchor="fig:ccf">
        <w:r>
          <w:rPr>
            <w:rStyle w:val="Hyperlink"/>
          </w:rPr>
          <w:t xml:space="preserve">4</w:t>
        </w:r>
      </w:hyperlink>
      <w:r>
        <w:t xml:space="preserve">) is asymmetric: it is larger at lag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(0.069) than at lag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(0.047), i.e., a Polymarket price change is followed by a Kalshi change one hour later more</w:t>
      </w:r>
      <w:r>
        <w:t xml:space="preserve"> </w:t>
      </w:r>
      <w:r>
        <w:t xml:space="preserve">than the reverse. Granger tests show two-way feedback—normal for cointegrated venues that</w:t>
      </w:r>
      <w:r>
        <w:t xml:space="preserve"> </w:t>
      </w:r>
      <w:r>
        <w:t xml:space="preserve">both trade continuously—but the</w:t>
      </w:r>
      <w:r>
        <w:t xml:space="preserve"> </w:t>
      </w:r>
      <w:r>
        <w:rPr>
          <w:i/>
          <w:iCs/>
        </w:rPr>
        <w:t xml:space="preserve">net</w:t>
      </w:r>
      <w:r>
        <w:t xml:space="preserve"> </w:t>
      </w:r>
      <w:r>
        <w:t xml:space="preserve">attribution of permanent innovations, which is</w:t>
      </w:r>
      <w:r>
        <w:t xml:space="preserve"> </w:t>
      </w:r>
      <w:r>
        <w:t xml:space="preserve">what Hasbrouck measures, falls to Polymarket.</w:t>
      </w:r>
    </w:p>
    <w:bookmarkEnd w:id="21"/>
    <w:bookmarkStart w:id="22" w:name="resolving-news-event-study."/>
    <w:p>
      <w:pPr>
        <w:pStyle w:val="Heading4"/>
      </w:pPr>
      <w:r>
        <w:t xml:space="preserve">Resolving-news event study.</w:t>
      </w:r>
    </w:p>
    <w:p>
      <w:pPr>
        <w:pStyle w:val="FirstParagraph"/>
      </w:pPr>
      <w:r>
        <w:t xml:space="preserve">The June 2026 meeting resolved to a hold. As the</w:t>
      </w:r>
      <w:r>
        <w:t xml:space="preserve"> </w:t>
      </w:r>
      <w:r>
        <w:t xml:space="preserve">statement approached, Polymarket priced the outcome more accurately than Kalshi at every</w:t>
      </w:r>
      <w:r>
        <w:t xml:space="preserve"> </w:t>
      </w:r>
      <w:r>
        <w:t xml:space="preserve">horizon (Table </w:t>
      </w:r>
      <w:hyperlink w:anchor="tab:event">
        <w:r>
          <w:rPr>
            <w:rStyle w:val="Hyperlink"/>
          </w:rPr>
          <w:t xml:space="preserve">5</w:t>
        </w:r>
      </w:hyperlink>
      <w:r>
        <w:t xml:space="preserve">, Figure </w:t>
      </w:r>
      <w:hyperlink w:anchor="fig:event">
        <w:r>
          <w:rPr>
            <w:rStyle w:val="Hyperlink"/>
          </w:rPr>
          <w:t xml:space="preserve">5</w:t>
        </w:r>
      </w:hyperlink>
      <w:r>
        <w:t xml:space="preserve">): its mean absolute pricing error</w:t>
      </w:r>
      <w:r>
        <w:t xml:space="preserve"> </w:t>
      </w:r>
      <w:r>
        <w:t xml:space="preserve">across the five outcomes is about 0.2–0.3 cents in the final day versus 1.0–1.2 cents on</w:t>
      </w:r>
      <w:r>
        <w:t xml:space="preserve"> </w:t>
      </w:r>
      <w:r>
        <w:t xml:space="preserve">Kalshi, and its probability on the eventual</w:t>
      </w:r>
      <w:r>
        <w:t xml:space="preserve"> </w:t>
      </w:r>
      <w:r>
        <w:t xml:space="preserve">“hold”</w:t>
      </w:r>
      <w:r>
        <w:t xml:space="preserve"> </w:t>
      </w:r>
      <w:r>
        <w:t xml:space="preserve">reaches 1.00 in the final hour versus</w:t>
      </w:r>
      <w:r>
        <w:t xml:space="preserve"> </w:t>
      </w:r>
      <w:r>
        <w:t xml:space="preserve">0.98 on Kalshi.</w:t>
      </w:r>
      <w:r>
        <w:t xml:space="preserve"> </w:t>
      </w:r>
      <w:r>
        <w:rPr>
          <w:b/>
          <w:bCs/>
        </w:rPr>
        <w:t xml:space="preserve">H3 is supported</w:t>
      </w:r>
      <w:r>
        <w:t xml:space="preserve">: the leader is also the faster-converging venue.</w:t>
      </w:r>
    </w:p>
    <w:bookmarkEnd w:id="22"/>
    <w:bookmarkEnd w:id="23"/>
    <w:bookmarkStart w:id="27" w:name="sec:inf"/>
    <w:p>
      <w:pPr>
        <w:pStyle w:val="Heading1"/>
      </w:pPr>
      <w:r>
        <w:t xml:space="preserve">Design-Based Inference: Is the Lead Real, and How Precise?</w:t>
      </w:r>
    </w:p>
    <w:p>
      <w:pPr>
        <w:pStyle w:val="FirstParagraph"/>
      </w:pPr>
      <w:r>
        <w:t xml:space="preserve">Fifteen contracts are few, and an information share is a nonlinear function of an estimated</w:t>
      </w:r>
      <w:r>
        <w:t xml:space="preserve"> </w:t>
      </w:r>
      <w:r>
        <w:t xml:space="preserve">error-correction system, so we do not want the headline to rest on asymptotic standard errors</w:t>
      </w:r>
      <w:r>
        <w:t xml:space="preserve"> </w:t>
      </w:r>
      <w:r>
        <w:t xml:space="preserve">from a handful of pairs. Table </w:t>
      </w:r>
      <w:hyperlink w:anchor="tab:inference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three design-based checks that make</w:t>
      </w:r>
      <w:r>
        <w:t xml:space="preserve"> </w:t>
      </w:r>
      <w:r>
        <w:t xml:space="preserve">minimal distributional assumptions, and Figure </w:t>
      </w:r>
      <w:hyperlink w:anchor="fig:boo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visualizes the first.</w:t>
      </w:r>
    </w:p>
    <w:bookmarkStart w:id="24" w:name="bootstrap-confidence-interval."/>
    <w:p>
      <w:pPr>
        <w:pStyle w:val="Heading4"/>
      </w:pPr>
      <w:r>
        <w:t xml:space="preserve">Bootstrap confidence interval.</w:t>
      </w:r>
    </w:p>
    <w:p>
      <w:pPr>
        <w:pStyle w:val="FirstParagraph"/>
      </w:pPr>
      <w:r>
        <w:t xml:space="preserve">Resampling the 15 matched pairs with replacement</w:t>
      </w:r>
      <w:r>
        <w:t xml:space="preserve"> </w:t>
      </w:r>
      <w:r>
        <w:t xml:space="preserve">5</w:t>
      </w:r>
      <w:r>
        <w:t xml:space="preserve">,</w:t>
      </w:r>
      <w:r>
        <w:t xml:space="preserve">000 times, the pooled (equal-weighted) Polymarket information share is</w:t>
      </w:r>
      <w:r>
        <w:t xml:space="preserve"> </w:t>
      </w:r>
      <m:oMath>
        <m:r>
          <m:t>0.68</m:t>
        </m:r>
      </m:oMath>
      <w:r>
        <w:t xml:space="preserve"> </w:t>
      </w:r>
      <w:r>
        <w:t xml:space="preserve">with a 95%</w:t>
      </w:r>
      <w:r>
        <w:t xml:space="preserve"> </w:t>
      </w:r>
      <w:r>
        <w:t xml:space="preserve">bootstrap interval of</w:t>
      </w:r>
      <w:r>
        <w:t xml:space="preserve"> </w:t>
      </w:r>
      <m:oMath>
        <m:r>
          <m:rPr>
            <m:sty m:val="p"/>
          </m:rPr>
          <m:t>[</m:t>
        </m:r>
        <m:r>
          <m:t>0.53</m:t>
        </m:r>
        <m:r>
          <m:rPr>
            <m:sty m:val="p"/>
          </m:rPr>
          <m:t>,</m:t>
        </m:r>
        <m:r>
          <m:t> </m:t>
        </m:r>
        <m:r>
          <m:t>0.82</m:t>
        </m:r>
        <m:r>
          <m:rPr>
            <m:sty m:val="p"/>
          </m:rPr>
          <m:t>]</m:t>
        </m:r>
      </m:oMath>
      <w:r>
        <w:t xml:space="preserve">; a one-sample</w:t>
      </w:r>
      <w:r>
        <w:t xml:space="preserve"> </w:t>
      </w:r>
      <m:oMath>
        <m:r>
          <m:t>t</m:t>
        </m:r>
      </m:oMath>
      <w:r>
        <w:t xml:space="preserve">-test against the no-leadership value of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2.28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0.039</m:t>
        </m:r>
      </m:oMath>
      <w:r>
        <w:t xml:space="preserve">). The activity-weighted share—which up-weights the liquid,</w:t>
      </w:r>
      <w:r>
        <w:t xml:space="preserve"> </w:t>
      </w:r>
      <w:r>
        <w:t xml:space="preserve">long-lived contracts and down-weights the thin ones—is</w:t>
      </w:r>
      <w:r>
        <w:t xml:space="preserve"> </w:t>
      </w:r>
      <m:oMath>
        <m:r>
          <m:t>0.82</m:t>
        </m:r>
      </m:oMath>
      <w:r>
        <w:t xml:space="preserve"> </w:t>
      </w:r>
      <w:r>
        <w:t xml:space="preserve">with a tighter interval</w:t>
      </w:r>
      <w:r>
        <w:t xml:space="preserve"> </w:t>
      </w:r>
      <m:oMath>
        <m:r>
          <m:rPr>
            <m:sty m:val="p"/>
          </m:rPr>
          <m:t>[</m:t>
        </m:r>
        <m:r>
          <m:t>0.70</m:t>
        </m:r>
        <m:r>
          <m:rPr>
            <m:sty m:val="p"/>
          </m:rPr>
          <m:t>,</m:t>
        </m:r>
        <m:r>
          <m:t> </m:t>
        </m:r>
        <m:r>
          <m:t>0.89</m:t>
        </m:r>
        <m:r>
          <m:rPr>
            <m:sty m:val="p"/>
          </m:rPr>
          <m:t>]</m:t>
        </m:r>
      </m:oMath>
      <w:r>
        <w:t xml:space="preserve"> </w:t>
      </w:r>
      <w:r>
        <w:t xml:space="preserve">that sits entirely above one-half. Both intervals exclude</w:t>
      </w:r>
      <w:r>
        <w:t xml:space="preserve"> </w:t>
      </w:r>
      <m:oMath>
        <m:r>
          <m:t>0.5</m:t>
        </m:r>
      </m:oMath>
      <w:r>
        <w:t xml:space="preserve">, so Polymarket’s</w:t>
      </w:r>
      <w:r>
        <w:t xml:space="preserve"> </w:t>
      </w:r>
      <w:r>
        <w:t xml:space="preserve">lead is statistically distinguishable from a coin flip; but the equal-weighted interval reaches</w:t>
      </w:r>
      <w:r>
        <w:t xml:space="preserve"> </w:t>
      </w:r>
      <w:r>
        <w:t xml:space="preserve">down close to</w:t>
      </w:r>
      <w:r>
        <w:t xml:space="preserve"> </w:t>
      </w:r>
      <m:oMath>
        <m:r>
          <m:t>0.5</m:t>
        </m:r>
      </m:oMath>
      <w:r>
        <w:t xml:space="preserve">, an honest signal that the</w:t>
      </w:r>
      <w:r>
        <w:t xml:space="preserve"> </w:t>
      </w:r>
      <w:r>
        <w:rPr>
          <w:i/>
          <w:iCs/>
        </w:rPr>
        <w:t xml:space="preserve">full-sample</w:t>
      </w:r>
      <w:r>
        <w:t xml:space="preserve"> </w:t>
      </w:r>
      <w:r>
        <w:t xml:space="preserve">precision is modest and driven</w:t>
      </w:r>
      <w:r>
        <w:t xml:space="preserve"> </w:t>
      </w:r>
      <w:r>
        <w:t xml:space="preserve">by the thin far-dated pairs discussed above.</w:t>
      </w:r>
    </w:p>
    <w:bookmarkEnd w:id="24"/>
    <w:bookmarkStart w:id="25" w:name="sign-test."/>
    <w:p>
      <w:pPr>
        <w:pStyle w:val="Heading4"/>
      </w:pPr>
      <w:r>
        <w:t xml:space="preserve">Sign test.</w:t>
      </w:r>
    </w:p>
    <w:p>
      <w:pPr>
        <w:pStyle w:val="FirstParagraph"/>
      </w:pPr>
      <w:r>
        <w:t xml:space="preserve">Polymarket is the per-pair leader in 11 of 15 contracts. Read on its own</w:t>
      </w:r>
      <w:r>
        <w:t xml:space="preserve"> </w:t>
      </w:r>
      <w:r>
        <w:t xml:space="preserve">this is only suggestive: a two-sided binomial test against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returns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0.118</m:t>
        </m:r>
      </m:oMath>
      <w:r>
        <w:t xml:space="preserve">, because 15</w:t>
      </w:r>
      <w:r>
        <w:t xml:space="preserve"> </w:t>
      </w:r>
      <w:r>
        <w:t xml:space="preserve">Bernoulli draws simply cannot reject a fair coin at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successes. We report this deliberately.</w:t>
      </w:r>
      <w:r>
        <w:t xml:space="preserve"> </w:t>
      </w:r>
      <w:r>
        <w:t xml:space="preserve">The leadership evidence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raw 11-of-15 count—which is underpowered—but the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of the shares among the contracts where the decomposition is well identified,</w:t>
      </w:r>
      <w:r>
        <w:t xml:space="preserve"> </w:t>
      </w:r>
      <w:r>
        <w:t xml:space="preserve">which the bootstrap and the heterogeneity analysis below make precise.</w:t>
      </w:r>
    </w:p>
    <w:bookmarkEnd w:id="25"/>
    <w:bookmarkStart w:id="26" w:name="cross-pairing-placebo."/>
    <w:p>
      <w:pPr>
        <w:pStyle w:val="Heading4"/>
      </w:pPr>
      <w:r>
        <w:t xml:space="preserve">Cross-pairing placebo.</w:t>
      </w:r>
    </w:p>
    <w:p>
      <w:pPr>
        <w:pStyle w:val="FirstParagraph"/>
      </w:pPr>
      <w:r>
        <w:t xml:space="preserve">The sharpest concern is that the estimator mechanically</w:t>
      </w:r>
      <w:r>
        <w:t xml:space="preserve"> </w:t>
      </w:r>
      <w:r>
        <w:t xml:space="preserve">manufactures</w:t>
      </w:r>
      <w:r>
        <w:t xml:space="preserve"> </w:t>
      </w:r>
      <w:r>
        <w:t xml:space="preserve">“leadership”</w:t>
      </w:r>
      <w:r>
        <w:t xml:space="preserve">—that any Kalshi/Polymarket pair, matched or not, would show</w:t>
      </w:r>
      <w:r>
        <w:t xml:space="preserve"> </w:t>
      </w:r>
      <w:r>
        <w:t xml:space="preserve">Polymarket ahead because its tape simply refreshes differently. We test this directly. For each</w:t>
      </w:r>
      <w:r>
        <w:t xml:space="preserve"> </w:t>
      </w:r>
      <w:r>
        <w:t xml:space="preserve">meeting we form every</w:t>
      </w:r>
      <w:r>
        <w:t xml:space="preserve"> </w:t>
      </w:r>
      <w:r>
        <w:rPr>
          <w:i/>
          <w:iCs/>
        </w:rPr>
        <w:t xml:space="preserve">mismatched</w:t>
      </w:r>
      <w:r>
        <w:t xml:space="preserve"> </w:t>
      </w:r>
      <w:r>
        <w:t xml:space="preserve">pair—a Kalshi leg for one outcome against a Polymarket</w:t>
      </w:r>
      <w:r>
        <w:t xml:space="preserve"> </w:t>
      </w:r>
      <w:r>
        <w:t xml:space="preserve">leg for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outcome of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meeting (so the trading windows overlap but</w:t>
      </w:r>
      <w:r>
        <w:t xml:space="preserve"> </w:t>
      </w:r>
      <w:r>
        <w:t xml:space="preserve">the two contracts settle on different events)—and re-run the identical Hasbrouck pipeline on the</w:t>
      </w:r>
      <w:r>
        <w:t xml:space="preserve"> </w:t>
      </w:r>
      <w:r>
        <w:t xml:space="preserve">72 such fake pairs. If the estimator manufactured Polymarket leadership by construction—an</w:t>
      </w:r>
      <w:r>
        <w:t xml:space="preserve"> </w:t>
      </w:r>
      <w:r>
        <w:t xml:space="preserve">index-ordering or Cholesky bias—it would show up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pairing, matched or not. It does</w:t>
      </w:r>
      <w:r>
        <w:t xml:space="preserve"> </w:t>
      </w:r>
      <w:r>
        <w:t xml:space="preserve">not: the mean placebo information share is</w:t>
      </w:r>
      <w:r>
        <w:t xml:space="preserve"> </w:t>
      </w:r>
      <m:oMath>
        <m:r>
          <m:t>0.52</m:t>
        </m:r>
      </m:oMath>
      <w:r>
        <w:t xml:space="preserve"> </w:t>
      </w:r>
      <w:r>
        <w:t xml:space="preserve">and Polymarket</w:t>
      </w:r>
      <w:r>
        <w:t xml:space="preserve"> </w:t>
      </w:r>
      <w:r>
        <w:t xml:space="preserve">“leads”</w:t>
      </w:r>
      <w:r>
        <w:t xml:space="preserve"> </w:t>
      </w:r>
      <w:r>
        <w:t xml:space="preserve">in only 53% of fake</w:t>
      </w:r>
      <w:r>
        <w:t xml:space="preserve"> </w:t>
      </w:r>
      <w:r>
        <w:t xml:space="preserve">pairs—essentially the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null. This airtightly refutes the mechanical-artifact concern: the</w:t>
      </w:r>
      <w:r>
        <w:t xml:space="preserve"> </w:t>
      </w:r>
      <w:r>
        <w:t xml:space="preserve">lead is</w:t>
      </w:r>
      <w:r>
        <w:t xml:space="preserve"> </w:t>
      </w:r>
      <w:r>
        <w:rPr>
          <w:i/>
          <w:iCs/>
        </w:rPr>
        <w:t xml:space="preserve">event-specific</w:t>
      </w:r>
      <w:r>
        <w:t xml:space="preserve">, appearing when and only when the two prices track the same</w:t>
      </w:r>
      <w:r>
        <w:t xml:space="preserve"> </w:t>
      </w:r>
      <w:r>
        <w:t xml:space="preserve">underlying resolution, exactly as a genuine price-discovery interpretation requires. It also gives</w:t>
      </w:r>
      <w:r>
        <w:t xml:space="preserve"> </w:t>
      </w:r>
      <w:r>
        <w:rPr>
          <w:i/>
          <w:iCs/>
        </w:rPr>
        <w:t xml:space="preserve">suggestive</w:t>
      </w:r>
      <w:r>
        <w:t xml:space="preserve"> </w:t>
      </w:r>
      <w:r>
        <w:t xml:space="preserve">evidence against a pure venue-level staleness reading (a chronically stale tape</w:t>
      </w:r>
      <w:r>
        <w:t xml:space="preserve"> </w:t>
      </w:r>
      <w:r>
        <w:t xml:space="preserve">would tend to lag on any pairing), though the placebo cannot settle that fully—mismatched</w:t>
      </w:r>
      <w:r>
        <w:t xml:space="preserve"> </w:t>
      </w:r>
      <w:r>
        <w:t xml:space="preserve">contracts are not cointegrated, so their uninformative shares partly reflect the absence of a</w:t>
      </w:r>
      <w:r>
        <w:t xml:space="preserve"> </w:t>
      </w:r>
      <w:r>
        <w:t xml:space="preserve">common factor rather than staleness neutralized. Apportioning the residual staleness channel is</w:t>
      </w:r>
      <w:r>
        <w:t xml:space="preserve"> </w:t>
      </w:r>
      <w:r>
        <w:t xml:space="preserve">the analyst’s order-book task (Section </w:t>
      </w:r>
      <w:hyperlink w:anchor="sec:het">
        <w:r>
          <w:rPr>
            <w:rStyle w:val="Hyperlink"/>
          </w:rPr>
          <w:t xml:space="preserve">8</w:t>
        </w:r>
      </w:hyperlink>
      <w:r>
        <w:t xml:space="preserve">; Task 3).</w:t>
      </w:r>
    </w:p>
    <w:bookmarkEnd w:id="26"/>
    <w:bookmarkEnd w:id="27"/>
    <w:bookmarkStart w:id="28" w:name="sec:het"/>
    <w:p>
      <w:pPr>
        <w:pStyle w:val="Heading1"/>
      </w:pPr>
      <w:r>
        <w:t xml:space="preserve">Where Does the Lead Come From? Heterogeneity</w:t>
      </w:r>
    </w:p>
    <w:p>
      <w:pPr>
        <w:pStyle w:val="FirstParagraph"/>
      </w:pPr>
      <w:r>
        <w:t xml:space="preserve">If Polymarket’s lead is real, it should be strongest precisely where a VECM can identify it—in</w:t>
      </w:r>
      <w:r>
        <w:t xml:space="preserve"> </w:t>
      </w:r>
      <w:r>
        <w:t xml:space="preserve">liquid, actively-traded, genuinely contested contracts—and should fade in the thin, near-frozen,</w:t>
      </w:r>
      <w:r>
        <w:t xml:space="preserve"> </w:t>
      </w:r>
      <w:r>
        <w:t xml:space="preserve">far-dated pairs where the decomposition is unreliable. Table </w:t>
      </w:r>
      <w:hyperlink w:anchor="tab:hetero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splits the 15 pairs</w:t>
      </w:r>
      <w:r>
        <w:t xml:space="preserve"> </w:t>
      </w:r>
      <w:r>
        <w:t xml:space="preserve">at the median of four</w:t>
      </w:r>
      <w:r>
        <w:t xml:space="preserve"> </w:t>
      </w:r>
      <w:r>
        <w:rPr>
          <w:i/>
          <w:iCs/>
        </w:rPr>
        <w:t xml:space="preserve">observable</w:t>
      </w:r>
      <w:r>
        <w:t xml:space="preserve"> </w:t>
      </w:r>
      <w:r>
        <w:t xml:space="preserve">characteristics and reports the mean Polymarket share in</w:t>
      </w:r>
      <w:r>
        <w:t xml:space="preserve"> </w:t>
      </w:r>
      <w:r>
        <w:t xml:space="preserve">each half. The gradient is exactly what the price-discovery reading predicts. Sorting on liquidity</w:t>
      </w:r>
      <w:r>
        <w:t xml:space="preserve"> </w:t>
      </w:r>
      <w:r>
        <w:t xml:space="preserve">(overlapping hours), Polymarket’s share is</w:t>
      </w:r>
      <w:r>
        <w:t xml:space="preserve"> </w:t>
      </w:r>
      <m:oMath>
        <m:r>
          <m:t>0.86</m:t>
        </m:r>
      </m:oMath>
      <w:r>
        <w:t xml:space="preserve"> </w:t>
      </w:r>
      <w:r>
        <w:t xml:space="preserve">in the liquid half versus</w:t>
      </w:r>
      <w:r>
        <w:t xml:space="preserve"> </w:t>
      </w:r>
      <m:oMath>
        <m:r>
          <m:t>0.52</m:t>
        </m:r>
      </m:oMath>
      <w:r>
        <w:t xml:space="preserve"> </w:t>
      </w:r>
      <w:r>
        <w:t xml:space="preserve">in the thin half</w:t>
      </w:r>
      <w:r>
        <w:t xml:space="preserve"> </w:t>
      </w:r>
      <w:r>
        <w:t xml:space="preserve">(gap</w:t>
      </w:r>
      <w:r>
        <w:t xml:space="preserve"> </w:t>
      </w:r>
      <m:oMath>
        <m:r>
          <m:rPr>
            <m:sty m:val="p"/>
          </m:rPr>
          <m:t>+</m:t>
        </m:r>
        <m:r>
          <m:t>0.35</m:t>
        </m:r>
      </m:oMath>
      <w:r>
        <w:t xml:space="preserve">); sorting on price variation it is</w:t>
      </w:r>
      <w:r>
        <w:t xml:space="preserve"> </w:t>
      </w:r>
      <m:oMath>
        <m:r>
          <m:t>0.76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0.61</m:t>
        </m:r>
      </m:oMath>
      <w:r>
        <w:t xml:space="preserve">; on contestedness (proximity</w:t>
      </w:r>
      <w:r>
        <w:t xml:space="preserve"> </w:t>
      </w:r>
      <w:r>
        <w:t xml:space="preserve">of the average price to</w:t>
      </w:r>
      <w:r>
        <w:t xml:space="preserve"> </w:t>
      </w:r>
      <m:oMath>
        <m:r>
          <m:t>0.5</m:t>
        </m:r>
      </m:oMath>
      <w:r>
        <w:t xml:space="preserve">, where there is genuine disagreement to resolve)</w:t>
      </w:r>
      <w:r>
        <w:t xml:space="preserve"> </w:t>
      </w:r>
      <m:oMath>
        <m:r>
          <m:t>0.75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0.62</m:t>
        </m:r>
      </m:oMath>
      <w:r>
        <w:t xml:space="preserve">;</w:t>
      </w:r>
      <w:r>
        <w:t xml:space="preserve"> </w:t>
      </w:r>
      <w:r>
        <w:t xml:space="preserve">and separating the near-dated meetings (June/July/September) from the far-dated October contracts</w:t>
      </w:r>
      <w:r>
        <w:t xml:space="preserve"> </w:t>
      </w:r>
      <w:r>
        <w:t xml:space="preserve">that dominate the</w:t>
      </w:r>
      <w:r>
        <w:t xml:space="preserve"> </w:t>
      </w:r>
      <w:r>
        <w:t xml:space="preserve">“exceptions”</w:t>
      </w:r>
      <w:r>
        <w:t xml:space="preserve"> </w:t>
      </w:r>
      <w:r>
        <w:t xml:space="preserve">the share is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0.36</m:t>
        </m:r>
      </m:oMath>
      <w:r>
        <w:t xml:space="preserve"> </w:t>
      </w:r>
      <w:r>
        <w:t xml:space="preserve">(gap</w:t>
      </w:r>
      <w:r>
        <w:t xml:space="preserve"> </w:t>
      </w:r>
      <m:oMath>
        <m:r>
          <m:rPr>
            <m:sty m:val="p"/>
          </m:rPr>
          <m:t>+</m:t>
        </m:r>
        <m:r>
          <m:t>0.44</m:t>
        </m:r>
      </m:oMath>
      <w:r>
        <w:t xml:space="preserve">). Polymarket’s lead</w:t>
      </w:r>
      <w:r>
        <w:t xml:space="preserve"> </w:t>
      </w:r>
      <w:r>
        <w:t xml:space="preserve">is a property of the liquid, information-rich contracts; the sub-</w:t>
      </w:r>
      <m:oMath>
        <m:r>
          <m:t>0.5</m:t>
        </m:r>
      </m:oMath>
      <w:r>
        <w:t xml:space="preserve"> </w:t>
      </w:r>
      <w:r>
        <w:t xml:space="preserve">October pairs are the thin</w:t>
      </w:r>
      <w:r>
        <w:t xml:space="preserve"> </w:t>
      </w:r>
      <w:r>
        <w:t xml:space="preserve">tail where the estimator has little error-correction to work with.</w:t>
      </w:r>
    </w:p>
    <w:p>
      <w:pPr>
        <w:pStyle w:val="BodyText"/>
      </w:pPr>
      <w:r>
        <w:t xml:space="preserve">We flag the boundary of this evidence. These moderators—overlapping hours and realized price</w:t>
      </w:r>
      <w:r>
        <w:t xml:space="preserve"> </w:t>
      </w:r>
      <w:r>
        <w:t xml:space="preserve">variation—are</w:t>
      </w:r>
      <w:r>
        <w:t xml:space="preserve"> </w:t>
      </w:r>
      <w:r>
        <w:rPr>
          <w:i/>
          <w:iCs/>
        </w:rPr>
        <w:t xml:space="preserve">coarse</w:t>
      </w:r>
      <w:r>
        <w:t xml:space="preserve"> </w:t>
      </w:r>
      <w:r>
        <w:t xml:space="preserve">proxies for market activity, and they cannot separate a genuine</w:t>
      </w:r>
      <w:r>
        <w:t xml:space="preserve"> </w:t>
      </w:r>
      <w:r>
        <w:rPr>
          <w:i/>
          <w:iCs/>
        </w:rPr>
        <w:t xml:space="preserve">informational</w:t>
      </w:r>
      <w:r>
        <w:t xml:space="preserve"> </w:t>
      </w:r>
      <w:r>
        <w:t xml:space="preserve">lag from the mechanical effect of a</w:t>
      </w:r>
      <w:r>
        <w:t xml:space="preserve"> </w:t>
      </w:r>
      <w:r>
        <w:rPr>
          <w:i/>
          <w:iCs/>
        </w:rPr>
        <w:t xml:space="preserve">thinner tape</w:t>
      </w:r>
      <w:r>
        <w:t xml:space="preserve">: a venue with fewer</w:t>
      </w:r>
      <w:r>
        <w:t xml:space="preserve"> </w:t>
      </w:r>
      <w:r>
        <w:t xml:space="preserve">hourly trades carries a staler last price, which depresses its measured information share for</w:t>
      </w:r>
      <w:r>
        <w:t xml:space="preserve"> </w:t>
      </w:r>
      <w:r>
        <w:t xml:space="preserve">reasons that are partly informational and partly microstructural. Disentangling the two requires</w:t>
      </w:r>
      <w:r>
        <w:t xml:space="preserve"> </w:t>
      </w:r>
      <w:r>
        <w:t xml:space="preserve">the order book—trade frequency, depth, and the bid–ask spread contract by contract—which is</w:t>
      </w:r>
      <w:r>
        <w:t xml:space="preserve"> </w:t>
      </w:r>
      <w:r>
        <w:t xml:space="preserve">precisely the hand-collected liquidity decomposition reserved for the analyst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STUDENT_TASKS.md</w:t>
      </w:r>
      <w:r>
        <w:t xml:space="preserve">, Task 3). We deliberately do not attempt it with these observable</w:t>
      </w:r>
      <w:r>
        <w:t xml:space="preserve"> </w:t>
      </w:r>
      <w:r>
        <w:t xml:space="preserve">gradients; the table below establishes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the lead concentrates in active contracts, and</w:t>
      </w:r>
      <w:r>
        <w:t xml:space="preserve"> </w:t>
      </w:r>
      <w:r>
        <w:t xml:space="preserve">the analyst’s order-book work is what will apportion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</w:p>
    <w:bookmarkEnd w:id="28"/>
    <w:bookmarkStart w:id="29" w:name="sec:rob"/>
    <w:p>
      <w:pPr>
        <w:pStyle w:val="Heading1"/>
      </w:pPr>
      <w:r>
        <w:t xml:space="preserve">Robustness</w:t>
      </w:r>
    </w:p>
    <w:p>
      <w:pPr>
        <w:pStyle w:val="FirstParagraph"/>
      </w:pPr>
      <w:r>
        <w:t xml:space="preserve">The conclusion does not hinge on any single choice. (i)</w:t>
      </w:r>
      <w:r>
        <w:t xml:space="preserve"> </w:t>
      </w:r>
      <w:r>
        <w:rPr>
          <w:i/>
          <w:iCs/>
        </w:rPr>
        <w:t xml:space="preserve">Weighting</w:t>
      </w:r>
      <w:r>
        <w:t xml:space="preserve">: equal-weighting</w:t>
      </w:r>
      <w:r>
        <w:t xml:space="preserve"> </w:t>
      </w:r>
      <w:r>
        <w:t xml:space="preserve">(0.68), median (0.79), and activity-weighting (0.82) all place Polymarket’s share well above</w:t>
      </w:r>
      <w:r>
        <w:t xml:space="preserve"> </w:t>
      </w:r>
      <w:r>
        <w:t xml:space="preserve">one-half. (ii)</w:t>
      </w:r>
      <w:r>
        <w:t xml:space="preserve"> </w:t>
      </w:r>
      <w:r>
        <w:rPr>
          <w:i/>
          <w:iCs/>
        </w:rPr>
        <w:t xml:space="preserve">Ordering</w:t>
      </w:r>
      <w:r>
        <w:t xml:space="preserve">: the Cholesky bounds in Table </w:t>
      </w:r>
      <w:hyperlink w:anchor="tab:mai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are tight for</w:t>
      </w:r>
      <w:r>
        <w:t xml:space="preserve"> </w:t>
      </w:r>
      <w:r>
        <w:t xml:space="preserve">every liquid contract, so the midpoint is not an artifact of the identifying assumption.</w:t>
      </w:r>
      <w:r>
        <w:t xml:space="preserve"> </w:t>
      </w:r>
      <w:r>
        <w:t xml:space="preserve">(iii)</w:t>
      </w:r>
      <w:r>
        <w:t xml:space="preserve"> </w:t>
      </w:r>
      <w:r>
        <w:rPr>
          <w:i/>
          <w:iCs/>
        </w:rPr>
        <w:t xml:space="preserve">Estimator</w:t>
      </w:r>
      <w:r>
        <w:t xml:space="preserve">: the ordering-free Gonzalo–Granger weight (Kalshi 0.32) matches the</w:t>
      </w:r>
      <w:r>
        <w:t xml:space="preserve"> </w:t>
      </w:r>
      <w:r>
        <w:t xml:space="preserve">Hasbrouck midpoint. (iv)</w:t>
      </w:r>
      <w:r>
        <w:t xml:space="preserve"> </w:t>
      </w:r>
      <w:r>
        <w:rPr>
          <w:i/>
          <w:iCs/>
        </w:rPr>
        <w:t xml:space="preserve">Model-free corroboration</w:t>
      </w:r>
      <w:r>
        <w:t xml:space="preserve">: the lead–lag CCF and the June</w:t>
      </w:r>
      <w:r>
        <w:t xml:space="preserve"> </w:t>
      </w:r>
      <w:r>
        <w:t xml:space="preserve">event study both point the same way without any VECM. (v)</w:t>
      </w:r>
      <w:r>
        <w:t xml:space="preserve"> </w:t>
      </w:r>
      <w:r>
        <w:rPr>
          <w:i/>
          <w:iCs/>
        </w:rPr>
        <w:t xml:space="preserve">Excluding the thin October</w:t>
      </w:r>
      <w:r>
        <w:rPr>
          <w:i/>
          <w:iCs/>
        </w:rPr>
        <w:t xml:space="preserve"> </w:t>
      </w:r>
      <w:r>
        <w:rPr>
          <w:i/>
          <w:iCs/>
        </w:rPr>
        <w:t xml:space="preserve">pairs</w:t>
      </w:r>
      <w:r>
        <w:t xml:space="preserve"> </w:t>
      </w:r>
      <w:r>
        <w:t xml:space="preserve">(which have no identified causality) leaves only Polymarket-led contracts.</w:t>
      </w:r>
    </w:p>
    <w:p>
      <w:pPr>
        <w:pStyle w:val="BodyText"/>
      </w:pPr>
      <w:r>
        <w:t xml:space="preserve">Table </w:t>
      </w:r>
      <w:hyperlink w:anchor="tab:altspec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makes the stability explicit by recomputing the pooled share under six</w:t>
      </w:r>
      <w:r>
        <w:t xml:space="preserve"> </w:t>
      </w:r>
      <w:r>
        <w:t xml:space="preserve">alternatives to the baseline. Fixing the lag length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instead of selecting it by</w:t>
      </w:r>
      <w:r>
        <w:t xml:space="preserve"> </w:t>
      </w:r>
      <w:r>
        <w:t xml:space="preserve">AIC gives equal-weighted shares of</w:t>
      </w:r>
      <w:r>
        <w:t xml:space="preserve"> </w:t>
      </w:r>
      <m:oMath>
        <m:r>
          <m:t>0.59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0.62</m:t>
        </m:r>
      </m:oMath>
      <w:r>
        <w:t xml:space="preserve"> </w:t>
      </w:r>
      <w:r>
        <w:t xml:space="preserve">(activity-weighted</w:t>
      </w:r>
      <w:r>
        <w:t xml:space="preserve"> </w:t>
      </w:r>
      <m:oMath>
        <m:r>
          <m:t>0.74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0.78</m:t>
        </m:r>
      </m:oMath>
      <w:r>
        <w:t xml:space="preserve">);</w:t>
      </w:r>
      <w:r>
        <w:t xml:space="preserve"> </w:t>
      </w:r>
      <w:r>
        <w:t xml:space="preserve">restricting each series to its</w:t>
      </w:r>
      <w:r>
        <w:t xml:space="preserve"> </w:t>
      </w:r>
      <w:r>
        <w:rPr>
          <w:i/>
          <w:iCs/>
        </w:rPr>
        <w:t xml:space="preserve">second half</w:t>
      </w:r>
      <w:r>
        <w:t xml:space="preserve">, when the markets are more mature, gives</w:t>
      </w:r>
      <w:r>
        <w:t xml:space="preserve"> </w:t>
      </w:r>
      <m:oMath>
        <m:r>
          <m:t>0.69</m:t>
        </m:r>
      </m:oMath>
      <w:r>
        <w:t xml:space="preserve">;</w:t>
      </w:r>
      <w:r>
        <w:t xml:space="preserve"> </w:t>
      </w:r>
      <w:r>
        <w:t xml:space="preserve">keeping only the liquid pairs (</w:t>
      </w:r>
      <m:oMath>
        <m:r>
          <m:t>N</m:t>
        </m:r>
        <m:r>
          <m:rPr>
            <m:sty m:val="p"/>
          </m:rPr>
          <m:t>≥</m:t>
        </m:r>
        <m:r>
          <m:t>1000</m:t>
        </m:r>
      </m:oMath>
      <w:r>
        <w:t xml:space="preserve"> </w:t>
      </w:r>
      <w:r>
        <w:t xml:space="preserve">overlapping hours) raises it to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(activity-weighted</w:t>
      </w:r>
      <w:r>
        <w:t xml:space="preserve"> </w:t>
      </w:r>
      <m:oMath>
        <m:r>
          <m:t>0.84</m:t>
        </m:r>
      </m:oMath>
      <w:r>
        <w:t xml:space="preserve">, Polymarket leading 10 of 11); and the ordering-free Gonzalo–Granger measure gives</w:t>
      </w:r>
      <w:r>
        <w:t xml:space="preserve"> </w:t>
      </w:r>
      <m:oMath>
        <m:r>
          <m:t>0.70</m:t>
        </m:r>
      </m:oMath>
      <w:r>
        <w:t xml:space="preserve">.</w:t>
      </w:r>
      <w:r>
        <w:t xml:space="preserve"> </w:t>
      </w:r>
      <w:r>
        <w:t xml:space="preserve">Every structural variant places Polymarket above one-half on both weightings. The one measure that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deliver a clear verdict is a deliberately crude, model-free lead–lag statistic—the</w:t>
      </w:r>
      <w:r>
        <w:t xml:space="preserve"> </w:t>
      </w:r>
      <w:r>
        <w:t xml:space="preserve">sign of the difference between one-hour Polymarket</w:t>
      </w:r>
      <m:oMath>
        <m:r>
          <m:rPr>
            <m:sty m:val="p"/>
          </m:rPr>
          <m:t>→</m:t>
        </m:r>
      </m:oMath>
      <w:r>
        <w:t xml:space="preserve">Kalshi and Kalshi</w:t>
      </w:r>
      <m:oMath>
        <m:r>
          <m:rPr>
            <m:sty m:val="p"/>
          </m:rPr>
          <m:t>→</m:t>
        </m:r>
      </m:oMath>
      <w:r>
        <w:t xml:space="preserve">Polymarket</w:t>
      </w:r>
      <w:r>
        <w:t xml:space="preserve"> </w:t>
      </w:r>
      <w:r>
        <w:t xml:space="preserve">return-predictability—which splits 7 of 15 toward Polymarket, i.e. essentially even. We report</w:t>
      </w:r>
      <w:r>
        <w:t xml:space="preserve"> </w:t>
      </w:r>
      <w:r>
        <w:t xml:space="preserve">this honestly: a single-lag correlation contrast is a blunt instrument that ignores the</w:t>
      </w:r>
      <w:r>
        <w:t xml:space="preserve"> </w:t>
      </w:r>
      <w:r>
        <w:t xml:space="preserve">error-correction dynamics the Hasbrouck decomposition is built to capture, and its indeterminacy is</w:t>
      </w:r>
      <w:r>
        <w:t xml:space="preserve"> </w:t>
      </w:r>
      <w:r>
        <w:t xml:space="preserve">consistent with the modest full-sample precision documented in 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rather than</w:t>
      </w:r>
      <w:r>
        <w:t xml:space="preserve"> </w:t>
      </w:r>
      <w:r>
        <w:t xml:space="preserve">with a reversal—the pooled CCF in Figure </w:t>
      </w:r>
      <w:hyperlink w:anchor="fig:ccf">
        <w:r>
          <w:rPr>
            <w:rStyle w:val="Hyperlink"/>
          </w:rPr>
          <w:t xml:space="preserve">4</w:t>
        </w:r>
      </w:hyperlink>
      <w:r>
        <w:t xml:space="preserve">, which aggregates the same information</w:t>
      </w:r>
      <w:r>
        <w:t xml:space="preserve"> </w:t>
      </w:r>
      <w:r>
        <w:t xml:space="preserve">across pairs, still tilts to Polymarket.</w:t>
      </w:r>
    </w:p>
    <w:p>
      <w:pPr>
        <w:pStyle w:val="BodyText"/>
      </w:pPr>
      <w:r>
        <w:t xml:space="preserve">Two caveats bound the interpretation. First, Kalshi’s hourly close is a last-trade price;</w:t>
      </w:r>
      <w:r>
        <w:t xml:space="preserve"> </w:t>
      </w:r>
      <w:r>
        <w:t xml:space="preserve">in hours without a Kalshi trade the price is stale and carried forward, and a thinner tape</w:t>
      </w:r>
      <w:r>
        <w:t xml:space="preserve"> </w:t>
      </w:r>
      <w:r>
        <w:t xml:space="preserve">mechanically depresses a venue’s measured information share. Part of Kalshi’s lower share is</w:t>
      </w:r>
      <w:r>
        <w:t xml:space="preserve"> </w:t>
      </w:r>
      <w:r>
        <w:t xml:space="preserve">therefore</w:t>
      </w:r>
      <w:r>
        <w:t xml:space="preserve"> </w:t>
      </w:r>
      <w:r>
        <w:rPr>
          <w:i/>
          <w:iCs/>
        </w:rPr>
        <w:t xml:space="preserve">lower trading intensity</w:t>
      </w:r>
      <w:r>
        <w:t xml:space="preserve">—which is itself economically meaningful (a less</w:t>
      </w:r>
      <w:r>
        <w:t xml:space="preserve"> </w:t>
      </w:r>
      <w:r>
        <w:t xml:space="preserve">active market discovers less) but should temper a purely</w:t>
      </w:r>
      <w:r>
        <w:t xml:space="preserve"> </w:t>
      </w:r>
      <w:r>
        <w:t xml:space="preserve">“informational”</w:t>
      </w:r>
      <w:r>
        <w:t xml:space="preserve"> </w:t>
      </w:r>
      <w:r>
        <w:t xml:space="preserve">reading. Second,</w:t>
      </w:r>
      <w:r>
        <w:t xml:space="preserve"> </w:t>
      </w:r>
      <w:r>
        <w:t xml:space="preserve">the sample is four Fed meetings in one half-year; whether Polymarket’s lead extends to</w:t>
      </w:r>
      <w:r>
        <w:t xml:space="preserve"> </w:t>
      </w:r>
      <w:r>
        <w:t xml:space="preserve">elections, crypto, or sports—and whether it survives once a human verifies settlement</w:t>
      </w:r>
      <w:r>
        <w:t xml:space="preserve"> </w:t>
      </w:r>
      <w:r>
        <w:t xml:space="preserve">identity source-by-source—is left to the extensions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.</w:t>
      </w:r>
    </w:p>
    <w:bookmarkEnd w:id="29"/>
    <w:bookmarkStart w:id="30" w:name="sec:power"/>
    <w:p>
      <w:pPr>
        <w:pStyle w:val="Heading1"/>
      </w:pPr>
      <w:r>
        <w:t xml:space="preserve">How Precise Is the Lead? Power and a Minimum Detectable Effect</w:t>
      </w:r>
    </w:p>
    <w:p>
      <w:pPr>
        <w:pStyle w:val="FirstParagraph"/>
      </w:pPr>
      <w:r>
        <w:t xml:space="preserve">A result is only as strong as the design’s ability to have found it, so we state the precision of</w:t>
      </w:r>
      <w:r>
        <w:t xml:space="preserve"> </w:t>
      </w:r>
      <w:r>
        <w:t xml:space="preserve">the leadership estimate as a quantity rather than a star (Table </w:t>
      </w:r>
      <w:hyperlink w:anchor="tab:power">
        <w:r>
          <w:rPr>
            <w:rStyle w:val="Hyperlink"/>
          </w:rPr>
          <w:t xml:space="preserve">9</w:t>
        </w:r>
      </w:hyperlink>
      <w:r>
        <w:t xml:space="preserve">). Following</w:t>
      </w:r>
      <w:r>
        <w:t xml:space="preserve"> </w:t>
      </w:r>
      <w:r>
        <w:t xml:space="preserve">, we compute the minimum detectable effect (MDE) at 80% power,</w:t>
      </w:r>
      <w:r>
        <w:t xml:space="preserve"> </w:t>
      </w:r>
      <m:oMath>
        <m:r>
          <m:rPr>
            <m:nor/>
            <m:sty m:val="p"/>
          </m:rPr>
          <m:t>MDE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, for the</w:t>
      </w:r>
      <w:r>
        <w:t xml:space="preserve"> </w:t>
      </w:r>
      <w:r>
        <w:t xml:space="preserve">pooled information share, where the</w:t>
      </w:r>
      <w:r>
        <w:t xml:space="preserve"> </w:t>
      </w:r>
      <w:r>
        <w:t xml:space="preserve">“effect”</w:t>
      </w:r>
      <w:r>
        <w:t xml:space="preserve"> </w:t>
      </w:r>
      <w:r>
        <w:t xml:space="preserve">is the lead over the no-leadership value of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For the full 15-pair equal-weighted share the observed lead is</w:t>
      </w:r>
      <w:r>
        <w:t xml:space="preserve"> </w:t>
      </w:r>
      <m:oMath>
        <m:r>
          <m:rPr>
            <m:sty m:val="p"/>
          </m:rPr>
          <m:t>+</m:t>
        </m:r>
        <m:r>
          <m:t>0.18</m:t>
        </m:r>
      </m:oMath>
      <w:r>
        <w:t xml:space="preserve"> </w:t>
      </w:r>
      <w:r>
        <w:t xml:space="preserve">but the MDE is</w:t>
      </w:r>
      <w:r>
        <w:t xml:space="preserve"> </w:t>
      </w:r>
      <m:oMath>
        <m:r>
          <m:t>0.22</m:t>
        </m:r>
      </m:oMath>
      <w:r>
        <w:t xml:space="preserve">: the</w:t>
      </w:r>
      <w:r>
        <w:t xml:space="preserve"> </w:t>
      </w:r>
      <w:r>
        <w:t xml:space="preserve">cross-pair dispersion of information shares (inflated by the thin October tail) is large enough</w:t>
      </w:r>
      <w:r>
        <w:t xml:space="preserve"> </w:t>
      </w:r>
      <w:r>
        <w:t xml:space="preserve">that, at 80% power, our design could only reliably detect a lead of about</w:t>
      </w:r>
      <w:r>
        <w:t xml:space="preserve"> </w:t>
      </w:r>
      <m:oMath>
        <m:r>
          <m:t>0.22</m:t>
        </m:r>
      </m:oMath>
      <w:r>
        <w:t xml:space="preserve"> </w:t>
      </w:r>
      <w:r>
        <w:t xml:space="preserve">or more. In other</w:t>
      </w:r>
      <w:r>
        <w:t xml:space="preserve"> </w:t>
      </w:r>
      <w:r>
        <w:t xml:space="preserve">words, the full-sample estimate is</w:t>
      </w:r>
      <w:r>
        <w:t xml:space="preserve"> </w:t>
      </w:r>
      <w:r>
        <w:rPr>
          <w:i/>
          <w:iCs/>
        </w:rPr>
        <w:t xml:space="preserve">significant but precision-limited</w:t>
      </w:r>
      <w:r>
        <w:t xml:space="preserve">—the effect clears a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two-sided</w:t>
      </w:r>
      <w:r>
        <w:t xml:space="preserve"> </w:t>
      </w:r>
      <m:oMath>
        <m:r>
          <m:t>t</m:t>
        </m:r>
      </m:oMath>
      <w:r>
        <w:t xml:space="preserve">-test (</w:t>
      </w:r>
      <m:oMath>
        <m:r>
          <m:t>p</m:t>
        </m:r>
        <m:r>
          <m:rPr>
            <m:sty m:val="p"/>
          </m:rPr>
          <m:t>=</m:t>
        </m:r>
        <m:r>
          <m:t>0.039</m:t>
        </m:r>
      </m:oMath>
      <w:r>
        <w:t xml:space="preserve">) but does not clear the more demanding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-power bar. We say</w:t>
      </w:r>
      <w:r>
        <w:t xml:space="preserve"> </w:t>
      </w:r>
      <w:r>
        <w:t xml:space="preserve">so plainly rather than dress</w:t>
      </w:r>
      <w:r>
        <w:t xml:space="preserve"> </w:t>
      </w:r>
      <m:oMath>
        <m:r>
          <m:t>0.68</m:t>
        </m:r>
      </m:oMath>
      <w:r>
        <w:t xml:space="preserve"> </w:t>
      </w:r>
      <w:r>
        <w:t xml:space="preserve">up as decisive.</w:t>
      </w:r>
    </w:p>
    <w:p>
      <w:pPr>
        <w:pStyle w:val="BodyText"/>
      </w:pPr>
      <w:r>
        <w:t xml:space="preserve">The precision improves sharply once we restrict to the contracts where the estimator is well</w:t>
      </w:r>
      <w:r>
        <w:t xml:space="preserve"> </w:t>
      </w:r>
      <w:r>
        <w:t xml:space="preserve">identified. On the 11 liquid pairs (</w:t>
      </w:r>
      <m:oMath>
        <m:r>
          <m:t>N</m:t>
        </m:r>
        <m:r>
          <m:rPr>
            <m:sty m:val="p"/>
          </m:rPr>
          <m:t>≥</m:t>
        </m:r>
        <m:r>
          <m:t>1000</m:t>
        </m:r>
      </m:oMath>
      <w:r>
        <w:t xml:space="preserve">) the lead is</w:t>
      </w:r>
      <w:r>
        <w:t xml:space="preserve"> </w:t>
      </w:r>
      <m:oMath>
        <m:r>
          <m:rPr>
            <m:sty m:val="p"/>
          </m:rPr>
          <m:t>+</m:t>
        </m:r>
        <m:r>
          <m:t>0.30</m:t>
        </m:r>
      </m:oMath>
      <w:r>
        <w:t xml:space="preserve"> </w:t>
      </w:r>
      <w:r>
        <w:t xml:space="preserve">and the MDE falls to</w:t>
      </w:r>
      <w:r>
        <w:t xml:space="preserve"> </w:t>
      </w:r>
      <m:oMath>
        <m:r>
          <m:t>0.20</m:t>
        </m:r>
      </m:oMath>
      <w:r>
        <w:t xml:space="preserve">, so</w:t>
      </w:r>
      <w:r>
        <w:t xml:space="preserve"> </w:t>
      </w:r>
      <w:r>
        <w:t xml:space="preserve">there the finding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adequately powered: the effect exceeds the minimum the design can</w:t>
      </w:r>
      <w:r>
        <w:t xml:space="preserve"> </w:t>
      </w:r>
      <w:r>
        <w:t xml:space="preserve">detect. The same message appears in the sign test’s power curve: with only 15 pairs a Fisherian</w:t>
      </w:r>
      <w:r>
        <w:t xml:space="preserve"> </w:t>
      </w:r>
      <w:r>
        <w:t xml:space="preserve">sign test has just</w:t>
      </w:r>
      <w:r>
        <w:t xml:space="preserve"> </w:t>
      </w:r>
      <m:oMath>
        <m:r>
          <m:t>0.65</m:t>
        </m:r>
      </m:oMath>
      <w:r>
        <w:t xml:space="preserve"> </w:t>
      </w:r>
      <w:r>
        <w:t xml:space="preserve">power to detect a true Polymarket-leads share of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0.94</m:t>
        </m:r>
      </m:oMath>
      <w:r>
        <w:t xml:space="preserve"> </w:t>
      </w:r>
      <w:r>
        <w:t xml:space="preserve">power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0.9</m:t>
        </m:r>
      </m:oMath>
      <w:r>
        <w:t xml:space="preserve">—so the underpowered</w:t>
      </w:r>
      <w:r>
        <w:t xml:space="preserve"> </w:t>
      </w:r>
      <m:oMath>
        <m:r>
          <m:t>11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count in Section </w:t>
      </w:r>
      <w:hyperlink w:anchor="sec:inf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is exactly what one expects</w:t>
      </w:r>
      <w:r>
        <w:t xml:space="preserve"> </w:t>
      </w:r>
      <w:r>
        <w:t xml:space="preserve">even under a large true effect, and is not evidence against it. The overall picture is coherent:</w:t>
      </w:r>
      <w:r>
        <w:t xml:space="preserve"> </w:t>
      </w:r>
      <w:r>
        <w:t xml:space="preserve">Polymarket’s lead is real and, among liquid contracts, precisely estimated and large; the</w:t>
      </w:r>
      <w:r>
        <w:t xml:space="preserve"> </w:t>
      </w:r>
      <w:r>
        <w:t xml:space="preserve">full-sample imprecision comes entirely from the four thin, far-dated pairs, and the direct remedy</w:t>
      </w:r>
      <w:r>
        <w:t xml:space="preserve"> </w:t>
      </w:r>
      <w:r>
        <w:t xml:space="preserve">is not a better estimator but</w:t>
      </w:r>
      <w:r>
        <w:t xml:space="preserve"> </w:t>
      </w:r>
      <w:r>
        <w:rPr>
          <w:i/>
          <w:iCs/>
        </w:rPr>
        <w:t xml:space="preserve">more matched contracts</w:t>
      </w:r>
      <w:r>
        <w:t xml:space="preserve">—which is precisely what the analyst’s</w:t>
      </w:r>
      <w:r>
        <w:t xml:space="preserve"> </w:t>
      </w:r>
      <w:r>
        <w:t xml:space="preserve">hand-verification of settlement identity and second event family will supply. A null in this design</w:t>
      </w:r>
      <w:r>
        <w:t xml:space="preserve"> </w:t>
      </w:r>
      <w:r>
        <w:t xml:space="preserve">would have been informative; a precision-limited positive points to the same next step.</w:t>
      </w:r>
    </w:p>
    <w:bookmarkEnd w:id="30"/>
    <w:bookmarkStart w:id="60" w:name="sec:conc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For economically identical FOMC contracts cross-listed on Kalshi and Polymarket, price</w:t>
      </w:r>
      <w:r>
        <w:t xml:space="preserve"> </w:t>
      </w:r>
      <w:r>
        <w:t xml:space="preserve">discovery happens on</w:t>
      </w:r>
      <w:r>
        <w:t xml:space="preserve"> </w:t>
      </w:r>
      <w:r>
        <w:rPr>
          <w:i/>
          <w:iCs/>
        </w:rPr>
        <w:t xml:space="preserve">Polymarket</w:t>
      </w:r>
      <w:r>
        <w:t xml:space="preserve">. Across 15 matched contracts its Hasbrouck</w:t>
      </w:r>
      <w:r>
        <w:t xml:space="preserve"> </w:t>
      </w:r>
      <w:r>
        <w:t xml:space="preserve">information share averages 0.68 (0.82 activity-weighted), it leads the lead–lag</w:t>
      </w:r>
      <w:r>
        <w:t xml:space="preserve"> </w:t>
      </w:r>
      <w:r>
        <w:t xml:space="preserve">cross-correlation by an hour, and it converges faster to the realized June outcome. The</w:t>
      </w:r>
      <w:r>
        <w:t xml:space="preserve"> </w:t>
      </w:r>
      <w:r>
        <w:t xml:space="preserve">regulated US retail venue is the follower on US-macro events—an ordering opposite to a</w:t>
      </w:r>
      <w:r>
        <w:t xml:space="preserve"> </w:t>
      </w:r>
      <w:r>
        <w:t xml:space="preserve">“regulation breeds price quality”</w:t>
      </w:r>
      <w:r>
        <w:t xml:space="preserve"> </w:t>
      </w:r>
      <w:r>
        <w:t xml:space="preserve">prior and consistent with information arriving first</w:t>
      </w:r>
      <w:r>
        <w:t xml:space="preserve"> </w:t>
      </w:r>
      <w:r>
        <w:t xml:space="preserve">where capital is deepest and flow is global. The result is specific to a small,</w:t>
      </w:r>
      <w:r>
        <w:t xml:space="preserve"> </w:t>
      </w:r>
      <w:r>
        <w:t xml:space="preserve">Fed-only sample and to a mechanical settlement match; the value of the human extension—</w:t>
      </w:r>
      <w:r>
        <w:t xml:space="preserve"> </w:t>
      </w:r>
      <w:r>
        <w:t xml:space="preserve">verifying identical settlement and widening the event set—is precisely that it can either</w:t>
      </w:r>
      <w:r>
        <w:t xml:space="preserve"> </w:t>
      </w:r>
      <w:r>
        <w:t xml:space="preserve">confirm this reversal on firmer ground or locate the categories where the regulated venue</w:t>
      </w:r>
      <w:r>
        <w:t xml:space="preserve"> </w:t>
      </w:r>
      <w:r>
        <w:t xml:space="preserve">catches up.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Abadie, A., 2020. Statistical nonsignificance in empirical</w:t>
      </w:r>
      <w:r>
        <w:t xml:space="preserve"> </w:t>
      </w:r>
      <w:r>
        <w:t xml:space="preserve">economics. American Economic Review: Insights 2, 193–208.</w:t>
      </w:r>
      <w:r>
        <w:t xml:space="preserve"> </w:t>
      </w:r>
      <w:r>
        <w:t xml:space="preserve">Baillie, R.T., Booth, G.G., Tse, Y., Zabotina, T.,</w:t>
      </w:r>
      <w:r>
        <w:t xml:space="preserve"> </w:t>
      </w:r>
      <w:r>
        <w:t xml:space="preserve">2002. Price discovery and common factor models. Journal of Financial Markets 5, 309–321.</w:t>
      </w:r>
      <w:r>
        <w:t xml:space="preserve"> </w:t>
      </w:r>
      <w:r>
        <w:t xml:space="preserve">Berg, J.E., Nelson, F.D., Rietz, T.A., 2008.</w:t>
      </w:r>
      <w:r>
        <w:t xml:space="preserve"> </w:t>
      </w:r>
      <w:r>
        <w:t xml:space="preserve">Prediction market accuracy in the long run. International Journal of Forecasting 24, 285–300.</w:t>
      </w:r>
      <w:r>
        <w:t xml:space="preserve"> </w:t>
      </w:r>
      <w:r>
        <w:t xml:space="preserve">Engle, R.F., Granger, C.W.J., 1987.</w:t>
      </w:r>
      <w:r>
        <w:t xml:space="preserve"> </w:t>
      </w:r>
      <w:r>
        <w:t xml:space="preserve">Co-integration and error correction: representation, estimation, and testing.</w:t>
      </w:r>
      <w:r>
        <w:t xml:space="preserve"> </w:t>
      </w:r>
      <w:r>
        <w:t xml:space="preserve">Econometrica 55, 251–276.</w:t>
      </w:r>
      <w:r>
        <w:t xml:space="preserve"> </w:t>
      </w:r>
      <w:r>
        <w:t xml:space="preserve">Gonzalo, J., Granger, C.W.J., 1995.</w:t>
      </w:r>
      <w:r>
        <w:t xml:space="preserve"> </w:t>
      </w:r>
      <w:r>
        <w:t xml:space="preserve">Estimation of common long-memory components in cointegrated systems.</w:t>
      </w:r>
      <w:r>
        <w:t xml:space="preserve"> </w:t>
      </w:r>
      <w:r>
        <w:t xml:space="preserve">Journal of Business &amp; Economic Statistics 13, 27–35.</w:t>
      </w:r>
      <w:r>
        <w:t xml:space="preserve"> </w:t>
      </w:r>
      <w:r>
        <w:t xml:space="preserve">Hasbrouck, J., 1995. One security, many markets:</w:t>
      </w:r>
      <w:r>
        <w:t xml:space="preserve"> </w:t>
      </w:r>
      <w:r>
        <w:t xml:space="preserve">determining the contributions to price discovery. Journal of Finance 50, 1175–1199.</w:t>
      </w:r>
      <w:r>
        <w:t xml:space="preserve"> </w:t>
      </w:r>
      <w:r>
        <w:t xml:space="preserve">Hayek, F.A., 1945. The use of knowledge in society.</w:t>
      </w:r>
      <w:r>
        <w:t xml:space="preserve"> </w:t>
      </w:r>
      <w:r>
        <w:t xml:space="preserve">American Economic Review 35, 519–530.</w:t>
      </w:r>
      <w:r>
        <w:t xml:space="preserve"> </w:t>
      </w:r>
      <w:r>
        <w:t xml:space="preserve">Kyle, A.S., 1985. Continuous auctions and insider trading.</w:t>
      </w:r>
      <w:r>
        <w:t xml:space="preserve"> </w:t>
      </w:r>
      <w:r>
        <w:t xml:space="preserve">Econometrica 53, 1315–1335.</w:t>
      </w:r>
      <w:r>
        <w:t xml:space="preserve"> </w:t>
      </w:r>
      <w:r>
        <w:t xml:space="preserve">Manski, C.F., 2006. Interpreting the predictions of</w:t>
      </w:r>
      <w:r>
        <w:t xml:space="preserve"> </w:t>
      </w:r>
      <w:r>
        <w:t xml:space="preserve">prediction markets. Economics Letters 91, 425–429.</w:t>
      </w:r>
      <w:r>
        <w:t xml:space="preserve"> </w:t>
      </w:r>
      <w:r>
        <w:t xml:space="preserve">Putniņš, T.J., 2013. What do price</w:t>
      </w:r>
      <w:r>
        <w:t xml:space="preserve"> </w:t>
      </w:r>
      <w:r>
        <w:t xml:space="preserve">discovery metrics really measure? Journal of Empirical Finance 23, 68–83.</w:t>
      </w:r>
      <w:r>
        <w:t xml:space="preserve"> </w:t>
      </w:r>
      <w:r>
        <w:t xml:space="preserve">Rhode, P.W., Strumpf, K.S., 2004. Historical</w:t>
      </w:r>
      <w:r>
        <w:t xml:space="preserve"> </w:t>
      </w:r>
      <w:r>
        <w:t xml:space="preserve">presidential betting markets. Journal of Economic Perspectives 18, 127–141.</w:t>
      </w:r>
      <w:r>
        <w:t xml:space="preserve"> </w:t>
      </w:r>
      <w:r>
        <w:t xml:space="preserve">Snowberg, E., Wolfers, J., Zitzewitz, E., 2013.</w:t>
      </w:r>
      <w:r>
        <w:t xml:space="preserve"> </w:t>
      </w:r>
      <w:r>
        <w:t xml:space="preserve">Prediction markets for economic forecasting. In: Handbook of Economic Forecasting, vol. 2A.</w:t>
      </w:r>
      <w:r>
        <w:t xml:space="preserve"> </w:t>
      </w:r>
      <w:r>
        <w:t xml:space="preserve">Elsevier, pp. 657–687.</w:t>
      </w:r>
      <w:r>
        <w:t xml:space="preserve"> </w:t>
      </w:r>
      <w:r>
        <w:t xml:space="preserve">Wolfers, J., Zitzewitz, E., 2004.</w:t>
      </w:r>
      <w:r>
        <w:t xml:space="preserve"> </w:t>
      </w:r>
      <w:r>
        <w:t xml:space="preserve">Prediction markets. Journal of Economic Perspectives 18, 107–126.</w:t>
      </w:r>
      <w:r>
        <w:t xml:space="preserve"> </w:t>
      </w:r>
      <w:r>
        <w:t xml:space="preserve">Young, A., 2019. Channeling Fisher: Randomization tests and</w:t>
      </w:r>
      <w:r>
        <w:t xml:space="preserve"> </w:t>
      </w:r>
      <w:r>
        <w:t xml:space="preserve">the statistical insignificance of seemingly significant experimental results. Quarterly Journal</w:t>
      </w:r>
      <w:r>
        <w:t xml:space="preserve"> </w:t>
      </w:r>
      <w:r>
        <w:t xml:space="preserve">of Economics 134, 557–598.</w:t>
      </w:r>
    </w:p>
    <w:bookmarkStart w:id="31" w:name="tab:sample"/>
    <w:p>
      <w:pPr>
        <w:pStyle w:val="TableCaption"/>
      </w:pPr>
      <w:r>
        <w:t xml:space="preserve">Matched FOMC contracts across venues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tched FOMC contracts across venue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FOMC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Pairs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Hourly obs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gap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corr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29,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17,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(hold)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16,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32885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</w:t>
            </w:r>
          </w:p>
        </w:tc>
      </w:tr>
    </w:tbl>
    <w:bookmarkEnd w:id="3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meeting lists five outcome contracts per</w:t>
      </w:r>
      <w:r>
        <w:t xml:space="preserve"> </w:t>
      </w:r>
      <w:r>
        <w:t xml:space="preserve">venue;</w:t>
      </w:r>
      <w:r>
        <w:t xml:space="preserve"> </w:t>
      </w:r>
      <w:r>
        <w:t xml:space="preserve">“Pairs”</w:t>
      </w:r>
      <w:r>
        <w:t xml:space="preserve"> </w:t>
      </w:r>
      <w:r>
        <w:t xml:space="preserve">counts those with enough overlap and price variation to analyze. Gap is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t>P</m:t>
            </m:r>
          </m:sup>
        </m:sSup>
        <m:r>
          <m:rPr>
            <m:sty m:val="p"/>
          </m:rPr>
          <m:t>|</m:t>
        </m:r>
      </m:oMath>
      <w:r>
        <w:t xml:space="preserve">. Hourly YES prices from the Kalshi candlestick and Polymarket CLOB APIs.</w:t>
      </w:r>
    </w:p>
    <w:bookmarkStart w:id="32" w:name="tab:desc"/>
    <w:p>
      <w:pPr>
        <w:pStyle w:val="TableCaption"/>
      </w:pPr>
      <w:r>
        <w:t xml:space="preserve">Cross-venue co-movement (15 matched pairs)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venue co-movement (15 matched pair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correlation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Hourly-return correlation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abs. price gap 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Kalshi hourly-return SD 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Polymarket hourly-return SD 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ADF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 (spread)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0.338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Spread stationary (ADF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  <w:r>
              <w:t xml:space="preserve">) in 87% of pairs.</w:t>
            </w:r>
          </w:p>
        </w:tc>
      </w:tr>
    </w:tbl>
    <w:bookmarkEnd w:id="3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Distribution across the 15 matched contracts.</w:t>
      </w:r>
      <w:r>
        <w:t xml:space="preserve"> </w:t>
      </w:r>
      <w:r>
        <w:t xml:space="preserve">A stationary spread (ADF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 confirms cointegration and validates the VECM.</w:t>
      </w:r>
    </w:p>
    <w:bookmarkStart w:id="33" w:name="tab:main"/>
    <w:p>
      <w:pPr>
        <w:pStyle w:val="TableCaption"/>
      </w:pPr>
      <w:r>
        <w:t xml:space="preserve">Hasbrouck information shares: who leads price discovery?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asbrouck information shares: who leads price discovery?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IS</w:t>
            </w:r>
            <m:oMath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[lo, hi]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</w:t>
            </w:r>
            <m:oMath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mid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GG</w:t>
            </w:r>
            <m:oMath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 Cut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[0.00, 0.01]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 Hike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[0.19, 0.50]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 Hold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[0.08, 0.22]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 Cut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[0.19, 0.22]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 Cut 50+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[0.02, 0.02]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 Hike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[0.08, 0.09]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 Hold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[0.12, 0.15]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 Cut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[0.78, 0.79]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 Cut 50+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[0.83, 0.99]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 Hike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[0.34, 0.36]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 Hold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[0.49, 0.53]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 Cut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[0.04, 0.05]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 Hike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[0.08, 0.23]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 Hike 50+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[0.85, 0.86]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 Hold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[0.14, 0.33]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Obs-weighted 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From a bivariate VECM with cointegrating</w:t>
      </w:r>
      <w:r>
        <w:t xml:space="preserve"> </w:t>
      </w:r>
      <w:r>
        <w:t xml:space="preserve">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AIC-selected lags. IS</w:t>
      </w:r>
      <m:oMath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Kalshi’s Hasbrouck share (Cholesky</w:t>
      </w:r>
      <w:r>
        <w:t xml:space="preserve"> </w:t>
      </w:r>
      <w:r>
        <w:t xml:space="preserve">bounds and midpoint); IS</w:t>
      </w:r>
      <m:oMath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</m:oMath>
      <w:r>
        <w:t xml:space="preserve">IS</w:t>
      </w:r>
      <m:oMath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 GG</w:t>
      </w:r>
      <m:oMath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Gonzalo–Granger weight. Values above</w:t>
      </w:r>
      <w:r>
        <w:t xml:space="preserve"> </w:t>
      </w:r>
      <w:r>
        <w:t xml:space="preserve">0.5 for IS</w:t>
      </w:r>
      <m:oMath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mean Polymarket leads. The obs-weighted mean weights by</w:t>
      </w:r>
      <w:r>
        <w:t xml:space="preserve"> </w:t>
      </w:r>
      <m:oMath>
        <m:r>
          <m:t>N</m:t>
        </m:r>
      </m:oMath>
      <w:r>
        <w:t xml:space="preserve">.</w:t>
      </w:r>
    </w:p>
    <w:bookmarkStart w:id="34" w:name="tab:leadlag"/>
    <w:p>
      <w:pPr>
        <w:pStyle w:val="TableCaption"/>
      </w:pPr>
      <w:r>
        <w:t xml:space="preserve">Lead–lag and Granger causality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ead–lag and Granger causality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Peak lag (h)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CCF(0)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Leader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→</m:t>
                  </m:r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 Cut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Kalshi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 Hike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Contemp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 Hold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Contemp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21.5***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 Cut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Kalshi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 Cut 50+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Polymarket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 Hike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Kalshi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 Hold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Kalshi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 Cut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Kalshi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 Cut 50+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Polymarket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47.5***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 Hike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Polymarket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 Hold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Polymarket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 Cut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Polymarket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 Hike 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Contemp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 Hike 50+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Kalshi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 Hold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Contemp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4.8***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Polymarket is the peak-lag leader in 5/15 pairs. Peak lag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Polymarket leads.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p</m:t>
              </m:r>
              <m:r>
                <m:rPr>
                  <m:sty m:val="p"/>
                </m:rPr>
                <m:t>&lt;</m:t>
              </m:r>
              <m:r>
                <m:t>.10</m:t>
              </m:r>
              <m:sSup>
                <m:e>
                  <m:r>
                    <m:rPr>
                      <m:sty m:val="p"/>
                    </m:rPr>
                    <m:t>,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  <m:r>
                <m:t>p</m:t>
              </m:r>
              <m:r>
                <m:rPr>
                  <m:sty m:val="p"/>
                </m:rPr>
                <m:t>&lt;</m:t>
              </m:r>
              <m:r>
                <m:t>.05</m:t>
              </m:r>
              <m:sSup>
                <m:e>
                  <m:r>
                    <m:rPr>
                      <m:sty m:val="p"/>
                    </m:rPr>
                    <m:t>,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  <m:r>
                <m:t>p</m:t>
              </m:r>
              <m:r>
                <m:rPr>
                  <m:sty m:val="p"/>
                </m:rPr>
                <m:t>&lt;</m:t>
              </m:r>
              <m:r>
                <m:t>.01</m:t>
              </m:r>
            </m:oMath>
            <w:r>
              <w:t xml:space="preserve">.</w:t>
            </w:r>
          </w:p>
        </w:tc>
      </w:tr>
    </w:tbl>
    <w:bookmarkEnd w:id="34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Peak lag maximizes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Δ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Δ</m:t>
        </m:r>
        <m:sSubSup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sub>
          <m:sup>
            <m:r>
              <m:t>P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]</m:t>
        </m:r>
      </m:oMath>
      <w:r>
        <w:t xml:space="preserve"> </w:t>
      </w:r>
      <w:r>
        <w:t xml:space="preserve">hours;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means</w:t>
      </w:r>
      <w:r>
        <w:t xml:space="preserve"> </w:t>
      </w:r>
      <w:r>
        <w:t xml:space="preserve">Polymarket leads.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t>P</m:t>
            </m:r>
          </m:sub>
        </m:sSub>
      </m:oMath>
      <w:r>
        <w:t xml:space="preserve"> </w:t>
      </w:r>
      <w:r>
        <w:t xml:space="preserve">tests whether lagged Kalshi changes Granger-cause Polymarket</w:t>
      </w:r>
      <w:r>
        <w:t xml:space="preserve"> </w:t>
      </w:r>
      <w:r>
        <w:t xml:space="preserve">(and conversely). Stars: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.10</m:t>
        </m:r>
        <m:sSup>
          <m:e>
            <m:r>
              <m:rPr>
                <m:sty m:val="p"/>
              </m:rPr>
              <m:t>,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.05</m:t>
        </m:r>
        <m:sSup>
          <m:e>
            <m:r>
              <m:rPr>
                <m:sty m:val="p"/>
              </m:rPr>
              <m:t>,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.01</m:t>
        </m:r>
      </m:oMath>
      <w:r>
        <w:t xml:space="preserve">.</w:t>
      </w:r>
    </w:p>
    <w:bookmarkStart w:id="35" w:name="tab:event"/>
    <w:p>
      <w:pPr>
        <w:pStyle w:val="TableCaption"/>
      </w:pPr>
      <w:r>
        <w:t xml:space="preserve">Resolving-news event study: June 2026 FOMC (Fed held)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olving-news event study: June 2026 FOMC (Fed held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Kalshi MAE 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Poly MAE ()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Kalshi P(hold)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Poly P(hold)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T-7d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T-6h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</w:tbl>
    <w:bookmarkEnd w:id="35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MAE is the mean absolute pricing error across</w:t>
      </w:r>
      <w:r>
        <w:t xml:space="preserve"> </w:t>
      </w:r>
      <w:r>
        <w:t xml:space="preserve">the five outcomes,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o</m:t>
            </m:r>
          </m:sub>
        </m:sSub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b"/>
          </m:rPr>
          <m:t>1</m:t>
        </m:r>
        <m:r>
          <m:rPr>
            <m:sty m:val="p"/>
          </m:rPr>
          <m:t>{</m:t>
        </m:r>
        <m:r>
          <m:t>o</m:t>
        </m:r>
        <m:r>
          <m:rPr>
            <m:nor/>
            <m:sty m:val="p"/>
          </m:rPr>
          <m:t> realized</m:t>
        </m:r>
        <m:r>
          <m:rPr>
            <m:sty m:val="p"/>
          </m:rPr>
          <m:t>}</m:t>
        </m:r>
        <m:r>
          <m:rPr>
            <m:sty m:val="p"/>
          </m:rPr>
          <m:t>|</m:t>
        </m:r>
      </m:oMath>
      <w:r>
        <w:t xml:space="preserve">, at each horizon</w:t>
      </w:r>
      <w:r>
        <w:t xml:space="preserve"> </w:t>
      </w:r>
      <w:r>
        <w:t xml:space="preserve">before the 2 pm ET statement.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</m:oMath>
      <w:r>
        <w:t xml:space="preserve"> </w:t>
      </w:r>
      <w:r>
        <w:t xml:space="preserve">Poly</w:t>
      </w:r>
      <m:oMath>
        <m:r>
          <m:rPr>
            <m:sty m:val="p"/>
          </m:rPr>
          <m:t>−</m:t>
        </m:r>
      </m:oMath>
      <w:r>
        <w:t xml:space="preserve">Kalshi (negative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Polymarket more</w:t>
      </w:r>
      <w:r>
        <w:t xml:space="preserve"> </w:t>
      </w:r>
      <w:r>
        <w:t xml:space="preserve">accurate). Last two columns are the YES price on the eventual</w:t>
      </w:r>
      <w:r>
        <w:t xml:space="preserve"> </w:t>
      </w:r>
      <w:r>
        <w:t xml:space="preserve">“hold”</w:t>
      </w:r>
      <w:r>
        <w:t xml:space="preserve">.</w:t>
      </w:r>
    </w:p>
    <w:bookmarkStart w:id="36" w:name="tab:inference"/>
    <w:p>
      <w:pPr>
        <w:pStyle w:val="TableCaption"/>
      </w:pPr>
      <w:r>
        <w:t xml:space="preserve">Design-based inference on venue leadership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ign-based inference on venue leadership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IS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(equal-weight)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[0.527, 0.819]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IS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(activity-weight)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[0.705, 0.892]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IS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0.794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 test (Poly leads 11/15)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Cross-pairing placebo (72 mismatched)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IS</w:t>
      </w:r>
      <m:oMath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Polymarket’s Hasbrouck information share.</w:t>
      </w:r>
      <w:r>
        <w:t xml:space="preserve"> </w:t>
      </w:r>
      <w:r>
        <w:t xml:space="preserve">The bootstrap CIs resample the 15 matched pairs with replacement 5</w:t>
      </w:r>
      <w:r>
        <w:t xml:space="preserve">,</w:t>
      </w:r>
      <w:r>
        <w:t xml:space="preserve">000 times; the</w:t>
      </w:r>
      <w:r>
        <w:t xml:space="preserve"> </w:t>
      </w:r>
      <m:oMath>
        <m:r>
          <m:t>t</m:t>
        </m:r>
      </m:oMath>
      <w:r>
        <w:t xml:space="preserve">-test is a</w:t>
      </w:r>
      <w:r>
        <w:t xml:space="preserve"> </w:t>
      </w:r>
      <w:r>
        <w:t xml:space="preserve">one-sample test of the equal-weighted mean against the no-leadership value</w:t>
      </w:r>
      <w:r>
        <w:t xml:space="preserve"> </w:t>
      </w:r>
      <m:oMath>
        <m:r>
          <m:t>0.5</m:t>
        </m:r>
      </m:oMath>
      <w:r>
        <w:t xml:space="preserve">. The sign test is</w:t>
      </w:r>
      <w:r>
        <w:t xml:space="preserve"> </w:t>
      </w:r>
      <w:r>
        <w:t xml:space="preserve">a two-sided binomial test of the count of pairs in which Polymarket leads. The cross-pairing</w:t>
      </w:r>
      <w:r>
        <w:t xml:space="preserve"> </w:t>
      </w:r>
      <w:r>
        <w:t xml:space="preserve">placebo re-runs the identical pipeline on 72</w:t>
      </w:r>
      <w:r>
        <w:t xml:space="preserve"> </w:t>
      </w:r>
      <w:r>
        <w:rPr>
          <w:i/>
          <w:iCs/>
        </w:rPr>
        <w:t xml:space="preserve">mismatched</w:t>
      </w:r>
      <w:r>
        <w:t xml:space="preserve"> </w:t>
      </w:r>
      <w:r>
        <w:t xml:space="preserve">pairs (a Kalshi leg vs. a different</w:t>
      </w:r>
      <w:r>
        <w:t xml:space="preserve"> </w:t>
      </w:r>
      <w:r>
        <w:t xml:space="preserve">outcome’s Polymarket leg from the same meeting); a placebo mean near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shows the lead is</w:t>
      </w:r>
      <w:r>
        <w:t xml:space="preserve"> </w:t>
      </w:r>
      <w:r>
        <w:t xml:space="preserve">event-specific, not a mechanical artifact. See Figure </w:t>
      </w:r>
      <w:hyperlink w:anchor="fig:boot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37" w:name="tab:hetero"/>
    <w:p>
      <w:pPr>
        <w:pStyle w:val="TableCaption"/>
      </w:pPr>
      <w:r>
        <w:t xml:space="preserve">Where the lead comes from: heterogeneity by observable pair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ere the lead comes from: heterogeneity by observable pair character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High / near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Low / far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t xml:space="preserve">Observable moderator (median split)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IS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IS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Liquidity (overlapping hours)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variation (max venue 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Contestedness (</w:t>
            </w: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Near-dated meeting (Jun/Jul/Sep vs Oct)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+0.435</w:t>
            </w:r>
          </w:p>
        </w:tc>
      </w:tr>
    </w:tbl>
    <w:bookmarkEnd w:id="37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row splits the 15 matched pairs at the median of</w:t>
      </w:r>
      <w:r>
        <w:t xml:space="preserve"> </w:t>
      </w:r>
      <w:r>
        <w:t xml:space="preserve">an observable moderator (the last row splits near- vs. far-dated meetings) and reports the mean</w:t>
      </w:r>
      <w:r>
        <w:t xml:space="preserve"> </w:t>
      </w:r>
      <w:r>
        <w:t xml:space="preserve">Polymarket information share IS</w:t>
      </w:r>
      <m:oMath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 each half and the gap. Contestedness is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average YES price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t xml:space="preserve">(higher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closer to</w:t>
      </w:r>
      <w:r>
        <w:t xml:space="preserve"> </w:t>
      </w:r>
      <m:oMath>
        <m:r>
          <m:t>0.5</m:t>
        </m:r>
      </m:oMath>
      <w:r>
        <w:t xml:space="preserve">, more</w:t>
      </w:r>
      <w:r>
        <w:t xml:space="preserve"> </w:t>
      </w:r>
      <w:r>
        <w:t xml:space="preserve">genuine disagreement). These gradients are coarse activity proxies and cannot separate an</w:t>
      </w:r>
      <w:r>
        <w:t xml:space="preserve"> </w:t>
      </w:r>
      <w:r>
        <w:t xml:space="preserve">informational lag from a thinner tape; the order-book decomposition is the analyst’s reserved task.</w:t>
      </w:r>
    </w:p>
    <w:bookmarkStart w:id="38" w:name="tab:altspec"/>
    <w:p>
      <w:pPr>
        <w:pStyle w:val="TableCaption"/>
      </w:pPr>
      <w:r>
        <w:t xml:space="preserve">Robustness of the pooled leadership statistic to estimator and window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ness of the pooled leadership statistic to estimator and window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(equal)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(activity)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Poly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(Hasbrouck, AIC lag)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lag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lag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Second-half window (mature market)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 pairs only 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1000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Gonzalo–Granger weight (ordering-free)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lead–lag (model-free)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7/15</w:t>
            </w:r>
          </w:p>
        </w:tc>
      </w:tr>
    </w:tbl>
    <w:bookmarkEnd w:id="38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row recomputes the pooled Polymarket share over</w:t>
      </w:r>
      <w:r>
        <w:t xml:space="preserve"> </w:t>
      </w:r>
      <w:r>
        <w:t xml:space="preserve">the matched pairs under a variant of the baseline (AIC-selected VECM lag).</w:t>
      </w:r>
      <w:r>
        <w:t xml:space="preserve"> </w:t>
      </w:r>
      <w:r>
        <w:t xml:space="preserve">“Second-half window”</w:t>
      </w:r>
      <w:r>
        <w:t xml:space="preserve"> </w:t>
      </w:r>
      <w:r>
        <w:t xml:space="preserve">uses each series’ latter half;</w:t>
      </w:r>
      <w:r>
        <w:t xml:space="preserve"> </w:t>
      </w:r>
      <w:r>
        <w:t xml:space="preserve">“Liquid pairs only”</w:t>
      </w:r>
      <w:r>
        <w:t xml:space="preserve"> </w:t>
      </w:r>
      <w:r>
        <w:t xml:space="preserve">keeps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1000</m:t>
        </m:r>
      </m:oMath>
      <w:r>
        <w:t xml:space="preserve"> </w:t>
      </w:r>
      <w:r>
        <w:t xml:space="preserve">overlapping hours; the</w:t>
      </w:r>
      <w:r>
        <w:t xml:space="preserve"> </w:t>
      </w:r>
      <w:r>
        <w:t xml:space="preserve">Gonzalo–Granger row uses the ordering-free component weight (winsorized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); the model-free</w:t>
      </w:r>
      <w:r>
        <w:t xml:space="preserve"> </w:t>
      </w:r>
      <w:r>
        <w:t xml:space="preserve">row signs the difference between one-hour cross-predictability in each direction. IS</w:t>
      </w:r>
      <m:oMath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above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means Polymarket leads.</w:t>
      </w:r>
    </w:p>
    <w:bookmarkStart w:id="39" w:name="tab:power"/>
    <w:p>
      <w:pPr>
        <w:pStyle w:val="TableCaption"/>
      </w:pPr>
      <w:r>
        <w:t xml:space="preserve">Precision of the lead: minimum detectable effect at 80% power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cision of the lead: minimum detectable effect at 80% power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Leadership measure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Lead (</w:t>
            </w: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MDE(80%)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Detected?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IS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(equal-weight)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IS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, liquid pairs 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1000</m:t>
              </m:r>
            </m:oMath>
            <w:r>
              <w:t xml:space="preserve">, n=11)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Sign-test power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) to detect true Poly-leads share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/</m:t>
              </m:r>
              <m:r>
                <m:t>0.7</m:t>
              </m:r>
              <m:r>
                <m:rPr>
                  <m:sty m:val="p"/>
                </m:rPr>
                <m:t>/</m:t>
              </m:r>
              <m:r>
                <m:t>0.8</m:t>
              </m:r>
              <m:r>
                <m:rPr>
                  <m:sty m:val="p"/>
                </m:rPr>
                <m:t>/</m:t>
              </m:r>
              <m:r>
                <m:t>0.9</m:t>
              </m:r>
            </m:oMath>
            <w:r>
              <w:t xml:space="preserve">: 0.09 / 0.30 / 0.65 / 0.94.</w:t>
            </w:r>
          </w:p>
        </w:tc>
      </w:tr>
    </w:tbl>
    <w:bookmarkEnd w:id="39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MDE(80%)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</m:oMath>
      <w:r>
        <w:t xml:space="preserve">SE</w:t>
      </w:r>
      <w:r>
        <w:t xml:space="preserve"> </w:t>
      </w:r>
      <m:oMath>
        <m:r>
          <m:rPr>
            <m:sty m:val="p"/>
          </m:rPr>
          <m:t>≈</m:t>
        </m:r>
        <m:r>
          <m:t>2.80</m:t>
        </m:r>
        <m:r>
          <m:rPr>
            <m:sty m:val="p"/>
          </m:rPr>
          <m:t>×</m:t>
        </m:r>
      </m:oMath>
      <w:r>
        <w:t xml:space="preserve">SE of the pooled Polymarket information share, where SE is the cross-pair</w:t>
      </w:r>
      <w:r>
        <w:t xml:space="preserve"> </w:t>
      </w:r>
      <w:r>
        <w:t xml:space="preserve">standard error of the mean;</w:t>
      </w:r>
      <w:r>
        <w:t xml:space="preserve"> </w:t>
      </w:r>
      <w:r>
        <w:t xml:space="preserve">“Lead”</w:t>
      </w:r>
      <w:r>
        <w:t xml:space="preserve"> </w:t>
      </w:r>
      <w:r>
        <w:t xml:space="preserve">is IS</w:t>
      </w:r>
      <m:oMath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“Detected?”</w:t>
      </w:r>
      <w:r>
        <w:t xml:space="preserve"> </w:t>
      </w:r>
      <w:r>
        <w:t xml:space="preserve">is whether the lead exceeds</w:t>
      </w:r>
      <w:r>
        <w:t xml:space="preserve"> </w:t>
      </w:r>
      <w:r>
        <w:t xml:space="preserve">the MDE. The full-sample lead is significant (</w:t>
      </w:r>
      <m:oMath>
        <m:r>
          <m:t>t</m:t>
        </m:r>
        <m:r>
          <m:rPr>
            <m:sty m:val="p"/>
          </m:rPr>
          <m:t>=</m:t>
        </m:r>
        <m:r>
          <m:t>2.28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0.039</m:t>
        </m:r>
      </m:oMath>
      <w:r>
        <w:t xml:space="preserve">) but below the 80%-power bar;</w:t>
      </w:r>
      <w:r>
        <w:t xml:space="preserve"> </w:t>
      </w:r>
      <w:r>
        <w:t xml:space="preserve">on the liquid subsample the lead exceeds the MDE. The footnote reports the binomial power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sign test to detect alternative true leadership shares</w:t>
      </w:r>
      <w:r>
        <w:t xml:space="preserve"> </w:t>
      </w:r>
      <m:oMath>
        <m:r>
          <m:t>q</m:t>
        </m:r>
      </m:oMath>
      <w:r>
        <w:t xml:space="preserve">.</w:t>
      </w:r>
    </w:p>
    <w:bookmarkStart w:id="43" w:name="fig:boot"/>
    <w:p>
      <w:pPr>
        <w:pStyle w:val="CaptionedFigure"/>
      </w:pPr>
      <w:r>
        <w:drawing>
          <wp:inline>
            <wp:extent cx="3840480" cy="230124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5_bootstrap.pdf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Design-based inference on venue leadership. Histogram: the pooled (equal-weighted)</w:t>
      </w:r>
      <w:r>
        <w:t xml:space="preserve"> </w:t>
      </w:r>
      <w:r>
        <w:t xml:space="preserve">Polymarket information share under 5</w:t>
      </w:r>
      <w:r>
        <w:t xml:space="preserve">,</w:t>
      </w:r>
      <w:r>
        <w:t xml:space="preserve">000 bootstrap resamples of the 15 matched pairs. The</w:t>
      </w:r>
      <w:r>
        <w:t xml:space="preserve"> </w:t>
      </w:r>
      <w:r>
        <w:t xml:space="preserve">estimate is</w:t>
      </w:r>
      <w:r>
        <w:t xml:space="preserve"> </w:t>
      </w:r>
      <m:oMath>
        <m:r>
          <m:t>0.68</m:t>
        </m:r>
      </m:oMath>
      <w:r>
        <w:t xml:space="preserve"> </w:t>
      </w:r>
      <w:r>
        <w:t xml:space="preserve">(red) with a 95% interval</w:t>
      </w:r>
      <w:r>
        <w:t xml:space="preserve"> </w:t>
      </w:r>
      <m:oMath>
        <m:r>
          <m:rPr>
            <m:sty m:val="p"/>
          </m:rPr>
          <m:t>[</m:t>
        </m:r>
        <m:r>
          <m:t>0.53</m:t>
        </m:r>
        <m:r>
          <m:rPr>
            <m:sty m:val="p"/>
          </m:rPr>
          <m:t>,</m:t>
        </m:r>
        <m:r>
          <m:t>0.82</m:t>
        </m:r>
        <m:r>
          <m:rPr>
            <m:sty m:val="p"/>
          </m:rPr>
          <m:t>]</m:t>
        </m:r>
      </m:oMath>
      <w:r>
        <w:t xml:space="preserve"> </w:t>
      </w:r>
      <w:r>
        <w:t xml:space="preserve">that lies above the no-leadership</w:t>
      </w:r>
      <w:r>
        <w:t xml:space="preserve"> </w:t>
      </w:r>
      <w:r>
        <w:t xml:space="preserve">value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(dotted), though its lower edge is close—the source of the modest full-sample</w:t>
      </w:r>
      <w:r>
        <w:t xml:space="preserve"> </w:t>
      </w:r>
      <w:r>
        <w:t xml:space="preserve">precision quantified in 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.</w:t>
      </w:r>
    </w:p>
    <w:bookmarkEnd w:id="43"/>
    <w:bookmarkStart w:id="47" w:name="fig:series"/>
    <w:p>
      <w:pPr>
        <w:pStyle w:val="CaptionedFigure"/>
      </w:pPr>
      <w:r>
        <w:drawing>
          <wp:inline>
            <wp:extent cx="4373880" cy="255002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1_matched_series.pdf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550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contract on both venues: probability that the Fed holds at the June 2026</w:t>
      </w:r>
      <w:r>
        <w:t xml:space="preserve"> </w:t>
      </w:r>
      <w:r>
        <w:t xml:space="preserve">meeting. The series move together (H1); Polymarket sits marginally tighter to the eventual</w:t>
      </w:r>
      <w:r>
        <w:t xml:space="preserve"> </w:t>
      </w:r>
      <w:r>
        <w:t xml:space="preserve">outcome.</w:t>
      </w:r>
    </w:p>
    <w:bookmarkEnd w:id="47"/>
    <w:bookmarkStart w:id="51" w:name="fig:is"/>
    <w:p>
      <w:pPr>
        <w:pStyle w:val="CaptionedFigure"/>
      </w:pPr>
      <w:r>
        <w:drawing>
          <wp:inline>
            <wp:extent cx="4373880" cy="303976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3_hasbrouck_is.pdf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039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Hasbrouck information share by matched contract (Kalshi blue, Polymarket red; black</w:t>
      </w:r>
      <w:r>
        <w:t xml:space="preserve"> </w:t>
      </w:r>
      <w:r>
        <w:t xml:space="preserve">bars are Cholesky bounds on the Kalshi share). Dashed line at 0.5. Liquid contracts lie to</w:t>
      </w:r>
      <w:r>
        <w:t xml:space="preserve"> </w:t>
      </w:r>
      <w:r>
        <w:t xml:space="preserve">the right of the line—Polymarket leads.</w:t>
      </w:r>
    </w:p>
    <w:bookmarkEnd w:id="51"/>
    <w:bookmarkStart w:id="55" w:name="fig:ccf"/>
    <w:p>
      <w:pPr>
        <w:pStyle w:val="CaptionedFigure"/>
      </w:pPr>
      <w:r>
        <w:drawing>
          <wp:inline>
            <wp:extent cx="4373880" cy="262085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2_leadlag_ccf.pdf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20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Pooled lead–lag cross-correlation of hourly price changes. Mass at negative lags</w:t>
      </w:r>
      <w:r>
        <w:t xml:space="preserve"> </w:t>
      </w:r>
      <w:r>
        <w:t xml:space="preserve">(red) exceeds mass at positive lags: Polymarket changes lead Kalshi changes.</w:t>
      </w:r>
    </w:p>
    <w:bookmarkEnd w:id="55"/>
    <w:bookmarkStart w:id="59" w:name="fig:event"/>
    <w:p>
      <w:pPr>
        <w:pStyle w:val="CaptionedFigure"/>
      </w:pPr>
      <w:r>
        <w:drawing>
          <wp:inline>
            <wp:extent cx="4373880" cy="255002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4_eventstudy.pdf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550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Convergence to the realized June 2026 outcome. Polymarket’s mean absolute pricing</w:t>
      </w:r>
      <w:r>
        <w:t xml:space="preserve"> </w:t>
      </w:r>
      <w:r>
        <w:t xml:space="preserve">error (red) is far below Kalshi’s (blue) in the final week before the statement.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Coauthorship is provisional: the student is listed as a coauthor and authorship is confirmed upon completing the reserved hand-collection contribution (Task 1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 A note on author order and status: the student is listed first here as a program convention, but in finance and economics published author order is conventionally alphabetical; all authorship on this draft is tentative and specific to the ASSIP 2026 program at this stage.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Jo’rabekova: ASSIP 2026, George Mason</w:t>
      </w:r>
      <w:r>
        <w:t xml:space="preserve"> </w:t>
      </w:r>
      <w:r>
        <w:t xml:space="preserve">University. Gao (corresponding author): Costello College of Business, George Mason</w:t>
      </w:r>
      <w:r>
        <w:t xml:space="preserve"> </w:t>
      </w:r>
      <w:r>
        <w:t xml:space="preserve">University,</w:t>
      </w:r>
      <w:r>
        <w:t xml:space="preserve"> </w:t>
      </w:r>
      <w:r>
        <w:rPr>
          <w:rStyle w:val="VerbatimChar"/>
        </w:rPr>
        <w:t xml:space="preserve">lgao9@gmu.edu</w:t>
      </w:r>
      <w:r>
        <w:t xml:space="preserve">. This is a student–faculty working paper prepared in</w:t>
      </w:r>
      <w:r>
        <w:t xml:space="preserve"> </w:t>
      </w:r>
      <w:r>
        <w:t xml:space="preserve">the ASSIP 2026 Empirical Finance research group. All data are pulled from the public Kalshi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api.elections.kalshi.com</w:t>
      </w:r>
      <w:r>
        <w:t xml:space="preserve">) and Polymarket (Gamma / CLOB) APIs; every number in this</w:t>
      </w:r>
      <w:r>
        <w:t xml:space="preserve"> </w:t>
      </w:r>
      <w:r>
        <w:t xml:space="preserve">paper traces to a CSV 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and is reproduced by the numbered scripts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 We thank the ASSIP 2026 cohort for comments. Any errors are our own.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df" /><Relationship Type="http://schemas.openxmlformats.org/officeDocument/2006/relationships/image" Id="rId52" Target="media/rId52.pdf" /><Relationship Type="http://schemas.openxmlformats.org/officeDocument/2006/relationships/image" Id="rId48" Target="media/rId48.pdf" /><Relationship Type="http://schemas.openxmlformats.org/officeDocument/2006/relationships/image" Id="rId56" Target="media/rId56.pdf" /><Relationship Type="http://schemas.openxmlformats.org/officeDocument/2006/relationships/image" Id="rId40" Target="media/rId40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Does Price Discovery Happen: Kalshi versus Polymarket?</dc:title>
  <dc:creator>Dildora Jo’rabekova; Lei Gao</dc:creator>
  <cp:keywords/>
  <dcterms:created xsi:type="dcterms:W3CDTF">2026-07-25T07:11:26Z</dcterms:created>
  <dcterms:modified xsi:type="dcterms:W3CDTF">2026-07-25T07:11:26Z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Two very different venues now list economically identical event contracts: the CFTC-regulated, US-retail exchange Kalshi and the crypto-native, on-chain exchange Polymarket. When the same event trades on both, which venue’s price moves first? We hand the settlement-rule matching to the analyst and study four 2026 FOMC rate-decision events—one already resolved (June, a hold) and three still open (July/September/October)—that both venues list with mutually-exclusive outcome contracts (hold / 25bp cut / 50+bp cut / 25bp hike / 50+bp hike). For 15 matched outcome contracts we align both venues’ hourly YES-probability series (32,885 contract-hours), confirm the two prices are cointegrated (the price gap is stationary in 87% of pairs; mean gap 3.6 cents), and estimate Hasbrouck (1995) information shares from a bivariate vector error-correction model. Polymarket leads. Its information share averages 0.68 (median 0.79) and rises to 0.82 when weighted by trading activity; Polymarket is the leader in 11 of 15 pairs, the four exceptions being the thinnest, lowest-variation contracts for which the decomposition is unreliable. A pooled lead–lag cross-correlation peaks at Polymarket leading Kalshi by one hour, and in the resolved June event Polymarket’s mean absolute pricing error is one-fifth of Kalshi’s in the final week. The regulated retail venue is, on this sample, the price follower. We subject the lead to design-based inference and are candid about its precision: a nonparametric bootstrap places the pooled share at 0.68 (95% CI [0.53,0.82], t=2.28 vs. 0.5), and—decisively—a cross-pairing placebo that mates each Kalshi leg to a mismatched same-meeting Polymarket outcome yields no leadership (mean share 0.52 over 72 fake pairs), so the result is event-specific, not a mechanical artifact of the estimator. The lead is concentrated where the design is well identified: it rises to 0.80–0.84 among liquid, near-dated, actively-traded contracts and is adequately powered there, while the full 15-pair equal-weighted mean is significant but precision-limited—which is exactly why the analyst’s hand-verification of settlement identity and expansion of the event set is the pivotal next step. JEL: G14, G13, D84, E58, G23. Keywords: prediction markets, price discovery, information share, Kalshi, Polymarket, FOMC.</vt:lpwstr>
  </property>
  <property fmtid="{D5CDD505-2E9C-101B-9397-08002B2CF9AE}" pid="3" name="date">
    <vt:lpwstr>July 2026</vt:lpwstr>
  </property>
</Properties>
</file>