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df" ContentType="application/pdf"/>
  <Override PartName="/word/media/rId48.pdf" ContentType="application/pdf"/>
  <Override PartName="/word/media/rId52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What Kind of Layoff Does the Market Punish?</w:t>
      </w:r>
      <w:r>
        <w:br/>
      </w:r>
      <w:r>
        <w:rPr>
          <w:b/>
          <w:bCs/>
        </w:rPr>
        <w:t xml:space="preserve">Materiality, Motive, and the Limits of Administrative Data</w:t>
      </w:r>
      <w:r>
        <w:br/>
      </w:r>
      <w:r>
        <w:rPr>
          <w:b/>
          <w:bCs/>
        </w:rPr>
        <w:t xml:space="preserve">in a WARN-Notice Event Study</w:t>
      </w:r>
    </w:p>
    <w:p>
      <w:pPr>
        <w:pStyle w:val="Author"/>
      </w:pPr>
      <w:r>
        <w:t xml:space="preserve">Andy Pham</w:t>
      </w:r>
      <w:r>
        <w:rPr>
          <w:rStyle w:val="FootnoteReference"/>
        </w:rPr>
        <w:footnoteReference w:id="9"/>
      </w:r>
    </w:p>
    <w:p>
      <w:pPr>
        <w:pStyle w:val="Author"/>
      </w:pPr>
      <w:r>
        <w:t xml:space="preserve">Lei Gao</w:t>
      </w:r>
      <w:r>
        <w:rPr>
          <w:rStyle w:val="FootnoteReference"/>
        </w:rPr>
        <w:footnoteReference w:id="10"/>
      </w:r>
    </w:p>
    <w:p>
      <w:pPr>
        <w:pStyle w:val="Date"/>
      </w:pPr>
      <w:r>
        <w:t xml:space="preserve">July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Firms lay off workers for very different reasons—to cut costs in a</w:t>
      </w:r>
      <w:r>
        <w:t xml:space="preserve"> </w:t>
      </w:r>
      <w:r>
        <w:t xml:space="preserve">downturn, or to reallocate away from a shrinking line of business—and it is not</w:t>
      </w:r>
      <w:r>
        <w:t xml:space="preserve"> </w:t>
      </w:r>
      <w:r>
        <w:t xml:space="preserve">obvious that equity investors treat the two alike. We build a multi-state panel</w:t>
      </w:r>
      <w:r>
        <w:t xml:space="preserve"> </w:t>
      </w:r>
      <w:r>
        <w:t xml:space="preserve">of mass-layoff (WARN Act) notices for 2022–2025 from the California, Texas, and</w:t>
      </w:r>
      <w:r>
        <w:t xml:space="preserve"> </w:t>
      </w:r>
      <w:r>
        <w:t xml:space="preserve">Oregon WARN databases (6</w:t>
      </w:r>
      <w:r>
        <w:t xml:space="preserve">,</w:t>
      </w:r>
      <w:r>
        <w:t xml:space="preserve">560 notices), fuzzy-match the filers to listed firms,</w:t>
      </w:r>
      <w:r>
        <w:t xml:space="preserve"> </w:t>
      </w:r>
      <w:r>
        <w:t xml:space="preserve">and estimate market-model cumulative abnormal returns (CARs) around 615</w:t>
      </w:r>
      <w:r>
        <w:t xml:space="preserve"> </w:t>
      </w:r>
      <w:r>
        <w:t xml:space="preserve">firm-level layoff events at 328 public companies. On average the market gives a</w:t>
      </w:r>
      <w:r>
        <w:t xml:space="preserve"> </w:t>
      </w:r>
      <w:r>
        <w:rPr>
          <w:i/>
          <w:iCs/>
        </w:rPr>
        <w:t xml:space="preserve">modest but statistically significant negative</w:t>
      </w:r>
      <w:r>
        <w:t xml:space="preserve"> </w:t>
      </w:r>
      <w:r>
        <w:t xml:space="preserve">verdict: CAR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1.6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2.41</m:t>
        </m:r>
      </m:oMath>
      <w:r>
        <w:t xml:space="preserve">), concentrated in the days after the notice, with a clean near-zero</w:t>
      </w:r>
      <w:r>
        <w:t xml:space="preserve"> </w:t>
      </w:r>
      <w:r>
        <w:t xml:space="preserve">pre-event placebo (</w:t>
      </w:r>
      <m:oMath>
        <m:r>
          <m:rPr>
            <m:sty m:val="p"/>
          </m:rPr>
          <m:t>−</m:t>
        </m:r>
        <m:r>
          <m:t>0.18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0.32</m:t>
        </m:r>
      </m:oMath>
      <w:r>
        <w:t xml:space="preserve">). But the average hides sharp</w:t>
      </w:r>
      <w:r>
        <w:t xml:space="preserve"> </w:t>
      </w:r>
      <w:r>
        <w:t xml:space="preserve">heterogeneity, and it is not about</w:t>
      </w:r>
      <w:r>
        <w:t xml:space="preserve"> </w:t>
      </w:r>
      <w:r>
        <w:rPr>
          <w:i/>
          <w:iCs/>
        </w:rPr>
        <w:t xml:space="preserve">how many</w:t>
      </w:r>
      <w:r>
        <w:t xml:space="preserve"> </w:t>
      </w:r>
      <w:r>
        <w:t xml:space="preserve">people are let go. Absolute</w:t>
      </w:r>
      <w:r>
        <w:t xml:space="preserve"> </w:t>
      </w:r>
      <w:r>
        <w:t xml:space="preserve">headcount is irrelevant (</w:t>
      </w:r>
      <m:oMath>
        <m:r>
          <m:t>t</m:t>
        </m:r>
        <m:r>
          <m:rPr>
            <m:sty m:val="p"/>
          </m:rPr>
          <m:t>=</m:t>
        </m:r>
        <m:r>
          <m:t>0.46</m:t>
        </m:r>
      </m:oMath>
      <w:r>
        <w:t xml:space="preserve">); what matters is the layoff’s size</w:t>
      </w:r>
      <w:r>
        <w:t xml:space="preserve"> </w:t>
      </w:r>
      <w:r>
        <w:rPr>
          <w:i/>
          <w:iCs/>
        </w:rPr>
        <w:t xml:space="preserve">relative to the firm</w:t>
      </w:r>
      <w:r>
        <w:t xml:space="preserve"> </w:t>
      </w:r>
      <w:r>
        <w:t xml:space="preserve">and, equivalently, how small the firm is. Small firms</w:t>
      </w:r>
      <w:r>
        <w:t xml:space="preserve"> </w:t>
      </w:r>
      <w:r>
        <w:t xml:space="preserve">lose</w:t>
      </w:r>
      <w:r>
        <w:t xml:space="preserve"> </w:t>
      </w:r>
      <m:oMath>
        <m:r>
          <m:t>3.9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2.86</m:t>
        </m:r>
      </m:oMath>
      <w:r>
        <w:t xml:space="preserve">) while large firms are essentially unaffected (</w:t>
      </w:r>
      <m:oMath>
        <m:r>
          <m:rPr>
            <m:sty m:val="p"/>
          </m:rPr>
          <m:t>+</m:t>
        </m:r>
        <m:r>
          <m:t>0.4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1.13</m:t>
        </m:r>
      </m:oMath>
      <w:r>
        <w:t xml:space="preserve">); a one-standard-deviation larger relative layoff moves CAR by</w:t>
      </w:r>
      <w:r>
        <w:t xml:space="preserve"> </w:t>
      </w:r>
      <m:oMath>
        <m:r>
          <m:rPr>
            <m:sty m:val="p"/>
          </m:rPr>
          <m:t>−</m:t>
        </m:r>
        <m:r>
          <m:t>3.3</m:t>
        </m:r>
      </m:oMath>
      <w:r>
        <w:t xml:space="preserve"> </w:t>
      </w:r>
      <w:r>
        <w:t xml:space="preserve">percentage points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2.77</m:t>
        </m:r>
      </m:oMath>
      <w:r>
        <w:t xml:space="preserve">), and this punishment falls almost entirely</w:t>
      </w:r>
      <w:r>
        <w:t xml:space="preserve"> </w:t>
      </w:r>
      <w:r>
        <w:t xml:space="preserve">on small firms (size</w:t>
      </w:r>
      <m:oMath>
        <m:r>
          <m:rPr>
            <m:sty m:val="p"/>
          </m:rPr>
          <m:t>×</m:t>
        </m:r>
      </m:oMath>
      <w:r>
        <w:t xml:space="preserve">relative-layoff interaction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0.065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2.86</m:t>
        </m:r>
      </m:oMath>
      <w:r>
        <w:t xml:space="preserve">).</w:t>
      </w:r>
      <w:r>
        <w:t xml:space="preserve"> </w:t>
      </w:r>
      <w:r>
        <w:t xml:space="preserve">Four journal-track additions sharpen the reading. Randomization inference</w:t>
      </w:r>
      <w:r>
        <w:t xml:space="preserve"> </w:t>
      </w:r>
      <w:r>
        <w:t xml:space="preserve">(2</w:t>
      </w:r>
      <w:r>
        <w:t xml:space="preserve">,</w:t>
      </w:r>
      <w:r>
        <w:t xml:space="preserve">000 permutations) places the materiality slope far in the tail (design-based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0.001</m:t>
        </m:r>
      </m:oMath>
      <w:r>
        <w:t xml:space="preserve">), so the effect does not rest on clustered-standard-error asymptotics.</w:t>
      </w:r>
      <w:r>
        <w:t xml:space="preserve"> </w:t>
      </w:r>
      <w:r>
        <w:t xml:space="preserve">The average reaction survives three alternative abnormal-return benchmarks and is,</w:t>
      </w:r>
      <w:r>
        <w:t xml:space="preserve"> </w:t>
      </w:r>
      <w:r>
        <w:t xml:space="preserve">if anything,</w:t>
      </w:r>
      <w:r>
        <w:t xml:space="preserve"> </w:t>
      </w:r>
      <w:r>
        <w:rPr>
          <w:i/>
          <w:iCs/>
        </w:rPr>
        <w:t xml:space="preserve">stronger</w:t>
      </w:r>
      <w:r>
        <w:t xml:space="preserve"> </w:t>
      </w:r>
      <w:r>
        <w:t xml:space="preserve">against market- and S&amp;P-adjusted returns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3.0</m:t>
        </m:r>
      </m:oMath>
      <w:r>
        <w:t xml:space="preserve">). Crucially, our crude machine-readable proxy for</w:t>
      </w:r>
      <w:r>
        <w:t xml:space="preserve"> </w:t>
      </w:r>
      <w:r>
        <w:rPr>
          <w:i/>
          <w:iCs/>
        </w:rPr>
        <w:t xml:space="preserve">motive</w:t>
      </w:r>
      <w:r>
        <w:t xml:space="preserve">—whether the filing is a plant</w:t>
      </w:r>
      <w:r>
        <w:t xml:space="preserve"> </w:t>
      </w:r>
      <w:r>
        <w:rPr>
          <w:i/>
          <w:iCs/>
        </w:rPr>
        <w:t xml:space="preserve">closure</w:t>
      </w:r>
      <w:r>
        <w:t xml:space="preserve"> </w:t>
      </w:r>
      <w:r>
        <w:t xml:space="preserve">(exit/reallocation)</w:t>
      </w:r>
      <w:r>
        <w:t xml:space="preserve"> </w:t>
      </w:r>
      <w:r>
        <w:t xml:space="preserve">or an ongoing-operation</w:t>
      </w:r>
      <w:r>
        <w:t xml:space="preserve"> </w:t>
      </w:r>
      <w:r>
        <w:rPr>
          <w:i/>
          <w:iCs/>
        </w:rPr>
        <w:t xml:space="preserve">layoff</w:t>
      </w:r>
      <w:r>
        <w:t xml:space="preserve"> </w:t>
      </w:r>
      <w:r>
        <w:t xml:space="preserve">(cost-cutting)—shows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difference</w:t>
      </w:r>
      <w:r>
        <w:t xml:space="preserve"> </w:t>
      </w:r>
      <w:r>
        <w:t xml:space="preserve">in CARs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0.07</m:t>
        </m:r>
      </m:oMath>
      <w:r>
        <w:t xml:space="preserve">; randomization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0.92</m:t>
        </m:r>
      </m:oMath>
      <w:r>
        <w:t xml:space="preserve">), and a minimum-detectable-effect</w:t>
      </w:r>
      <w:r>
        <w:t xml:space="preserve"> </w:t>
      </w:r>
      <w:r>
        <w:t xml:space="preserve">analysis shows this null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tight bound: the machine proxy could only</w:t>
      </w:r>
      <w:r>
        <w:t xml:space="preserve"> </w:t>
      </w:r>
      <w:r>
        <w:t xml:space="preserve">have detected a motive effect of</w:t>
      </w:r>
      <w:r>
        <w:t xml:space="preserve"> </w:t>
      </w:r>
      <m:oMath>
        <m:r>
          <m:t>5.1</m:t>
        </m:r>
      </m:oMath>
      <w:r>
        <w:t xml:space="preserve"> </w:t>
      </w:r>
      <w:r>
        <w:t xml:space="preserve">percentage points at 80% power, far above</w:t>
      </w:r>
      <w:r>
        <w:t xml:space="preserve"> </w:t>
      </w:r>
      <w:r>
        <w:t xml:space="preserve">plausible layoff-CAR magnitudes. The machine motive flag is thus both a point-null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too imprecise to rule out a real motive effect. Distinguishing</w:t>
      </w:r>
      <w:r>
        <w:t xml:space="preserve"> </w:t>
      </w:r>
      <w:r>
        <w:t xml:space="preserve">cost-cutting from strategic reallocation therefore requires reading the</w:t>
      </w:r>
      <w:r>
        <w:t xml:space="preserve"> </w:t>
      </w:r>
      <w:r>
        <w:t xml:space="preserve">announcements and hand-coding motive, which is the central task this paper sets</w:t>
      </w:r>
      <w:r>
        <w:t xml:space="preserve"> </w:t>
      </w:r>
      <w:r>
        <w:t xml:space="preserve">up.</w:t>
      </w:r>
      <w:r>
        <w:br/>
      </w:r>
      <w:r>
        <w:rPr>
          <w:b/>
          <w:bCs/>
        </w:rPr>
        <w:t xml:space="preserve">JEL:</w:t>
      </w:r>
      <w:r>
        <w:t xml:space="preserve"> </w:t>
      </w:r>
      <w:r>
        <w:t xml:space="preserve">G14, J63, M51, G34.</w:t>
      </w:r>
      <w:r>
        <w:t xml:space="preserve"> </w:t>
      </w:r>
      <w:r>
        <w:rPr>
          <w:b/>
          <w:bCs/>
        </w:rPr>
        <w:t xml:space="preserve">Keywords:</w:t>
      </w:r>
      <w:r>
        <w:t xml:space="preserve"> </w:t>
      </w:r>
      <w:r>
        <w:t xml:space="preserve">mass layoffs, WARN Act, event study, abnormal returns,</w:t>
      </w:r>
      <w:r>
        <w:t xml:space="preserve"> </w:t>
      </w:r>
      <w:r>
        <w:t xml:space="preserve">downsizing, restructuring, randomization inference, statistical power.</w:t>
      </w:r>
    </w:p>
    <w:bookmarkStart w:id="1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When a firm announces that it is cutting jobs, the stock can go up or down, and</w:t>
      </w:r>
      <w:r>
        <w:t xml:space="preserve"> </w:t>
      </w:r>
      <w:r>
        <w:t xml:space="preserve">which way it goes has long been read as a window into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firm is</w:t>
      </w:r>
      <w:r>
        <w:t xml:space="preserve"> </w:t>
      </w:r>
      <w:r>
        <w:t xml:space="preserve">cutting. A layoff undertaken to trim fat and defend margins may be cheered as</w:t>
      </w:r>
      <w:r>
        <w:t xml:space="preserve"> </w:t>
      </w:r>
      <w:r>
        <w:t xml:space="preserve">discipline; a layoff forced by collapsing demand is a bad-news signal about the</w:t>
      </w:r>
      <w:r>
        <w:t xml:space="preserve"> </w:t>
      </w:r>
      <w:r>
        <w:t xml:space="preserve">franchise; and a layoff that reallocates resources out of a dying business toward</w:t>
      </w:r>
      <w:r>
        <w:t xml:space="preserve"> </w:t>
      </w:r>
      <w:r>
        <w:t xml:space="preserve">a growing one is something else again</w:t>
      </w:r>
      <w:r>
        <w:t xml:space="preserve"> </w:t>
      </w:r>
      <w:r>
        <w:t xml:space="preserve">. The empirical</w:t>
      </w:r>
      <w:r>
        <w:t xml:space="preserve"> </w:t>
      </w:r>
      <w:r>
        <w:t xml:space="preserve">record on the average reaction is famously mixed—early studies found small</w:t>
      </w:r>
      <w:r>
        <w:t xml:space="preserve"> </w:t>
      </w:r>
      <w:r>
        <w:t xml:space="preserve">negative reactions</w:t>
      </w:r>
      <w:r>
        <w:t xml:space="preserve"> </w:t>
      </w:r>
      <w:r>
        <w:t xml:space="preserve">, later work found the reaction</w:t>
      </w:r>
      <w:r>
        <w:t xml:space="preserve"> </w:t>
      </w:r>
      <w:r>
        <w:t xml:space="preserve">attenuating or turning positive over time</w:t>
      </w:r>
      <w:r>
        <w:t xml:space="preserve"> </w:t>
      </w:r>
      <w:r>
        <w:t xml:space="preserve">, and the sign</w:t>
      </w:r>
      <w:r>
        <w:t xml:space="preserve"> </w:t>
      </w:r>
      <w:r>
        <w:t xml:space="preserve">appears to depend on the layoff’s stated</w:t>
      </w:r>
      <w:r>
        <w:t xml:space="preserve"> </w:t>
      </w:r>
      <w:r>
        <w:rPr>
          <w:i/>
          <w:iCs/>
        </w:rPr>
        <w:t xml:space="preserve">cause</w:t>
      </w:r>
      <w:r>
        <w:t xml:space="preserve"> </w:t>
      </w:r>
      <w:r>
        <w:t xml:space="preserve">. This paper asks a sharp version of the</w:t>
      </w:r>
      <w:r>
        <w:t xml:space="preserve"> </w:t>
      </w:r>
      <w:r>
        <w:t xml:space="preserve">question using a data source that has been under-used in finance: the mandatory</w:t>
      </w:r>
      <w:r>
        <w:t xml:space="preserve"> </w:t>
      </w:r>
      <w:r>
        <w:t xml:space="preserve">mass-layoff notices filed under the Worker Adjustment and Retraining Notification</w:t>
      </w:r>
      <w:r>
        <w:t xml:space="preserve"> </w:t>
      </w:r>
      <w:r>
        <w:t xml:space="preserve">(WARN) Act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Our question is:</w:t>
      </w:r>
      <w:r>
        <w:t xml:space="preserve"> </w:t>
      </w:r>
      <w:r>
        <w:rPr>
          <w:i/>
          <w:iCs/>
        </w:rPr>
        <w:t xml:space="preserve">across mass-layoff events at public firms, what kind of</w:t>
      </w:r>
      <w:r>
        <w:rPr>
          <w:i/>
          <w:iCs/>
        </w:rPr>
        <w:t xml:space="preserve"> </w:t>
      </w:r>
      <w:r>
        <w:rPr>
          <w:i/>
          <w:iCs/>
        </w:rPr>
        <w:t xml:space="preserve">layoff does the market punish—and can the announced form of the layoff tell us</w:t>
      </w:r>
      <w:r>
        <w:rPr>
          <w:i/>
          <w:iCs/>
        </w:rPr>
        <w:t xml:space="preserve"> </w:t>
      </w:r>
      <w:r>
        <w:rPr>
          <w:i/>
          <w:iCs/>
        </w:rPr>
        <w:t xml:space="preserve">the firm’s motive?</w:t>
      </w:r>
      <w:r>
        <w:t xml:space="preserve"> </w:t>
      </w:r>
      <w:r>
        <w:t xml:space="preserve">We answer it with a cross-sectional event study. We assemble</w:t>
      </w:r>
      <w:r>
        <w:t xml:space="preserve"> </w:t>
      </w:r>
      <w:r>
        <w:t xml:space="preserve">every WARN notice filed in California, Texas, and Oregon from 2022 through 2025</w:t>
      </w:r>
      <w:r>
        <w:t xml:space="preserve"> </w:t>
      </w:r>
      <w:r>
        <w:t xml:space="preserve">(6</w:t>
      </w:r>
      <w:r>
        <w:t xml:space="preserve">,</w:t>
      </w:r>
      <w:r>
        <w:t xml:space="preserve">560 notices covering 3</w:t>
      </w:r>
      <w:r>
        <w:t xml:space="preserve">,</w:t>
      </w:r>
      <w:r>
        <w:t xml:space="preserve">450 distinct filers), fuzzy-match the filer names to</w:t>
      </w:r>
      <w:r>
        <w:t xml:space="preserve"> </w:t>
      </w:r>
      <w:r>
        <w:t xml:space="preserve">CRSP/Compustat public firms, cluster each firm’s site-level notices into</w:t>
      </w:r>
      <w:r>
        <w:t xml:space="preserve"> </w:t>
      </w:r>
      <w:r>
        <w:t xml:space="preserve">firm-level layoff</w:t>
      </w:r>
      <w:r>
        <w:t xml:space="preserve"> </w:t>
      </w:r>
      <w:r>
        <w:rPr>
          <w:i/>
          <w:iCs/>
        </w:rPr>
        <w:t xml:space="preserve">events</w:t>
      </w:r>
      <w:r>
        <w:t xml:space="preserve">, and estimate market-model CARs against the CRSP</w:t>
      </w:r>
      <w:r>
        <w:t xml:space="preserve"> </w:t>
      </w:r>
      <w:r>
        <w:t xml:space="preserve">value-weighted index. The matched sample with valid returns is 615 firm-events at</w:t>
      </w:r>
      <w:r>
        <w:t xml:space="preserve"> </w:t>
      </w:r>
      <w:r>
        <w:t xml:space="preserve">328 listed companies over 2022–2024.</w:t>
      </w:r>
      <w:r>
        <w:rPr>
          <w:rStyle w:val="FootnoteReference"/>
        </w:rPr>
        <w:footnoteReference w:id="11"/>
      </w:r>
    </w:p>
    <w:p>
      <w:pPr>
        <w:pStyle w:val="BodyText"/>
      </w:pPr>
      <w:r>
        <w:t xml:space="preserve">Our findings are threefold, and each is then stress-tested with a design-based</w:t>
      </w:r>
      <w:r>
        <w:t xml:space="preserve"> </w:t>
      </w:r>
      <w:r>
        <w:t xml:space="preserve">method.</w:t>
      </w:r>
      <w:r>
        <w:t xml:space="preserve"> </w:t>
      </w:r>
      <w:r>
        <w:rPr>
          <w:i/>
          <w:iCs/>
        </w:rPr>
        <w:t xml:space="preserve">First</w:t>
      </w:r>
      <w:r>
        <w:t xml:space="preserve">, the average market reaction to a WARN notice is negative and</w:t>
      </w:r>
      <w:r>
        <w:t xml:space="preserve"> </w:t>
      </w:r>
      <w:r>
        <w:t xml:space="preserve">significant, but small. Over the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window the mean CAR is</w:t>
      </w:r>
      <w:r>
        <w:t xml:space="preserve"> </w:t>
      </w:r>
      <m:oMath>
        <m:r>
          <m:rPr>
            <m:sty m:val="p"/>
          </m:rPr>
          <m:t>−</m:t>
        </m:r>
        <m:r>
          <m:t>1.6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2.41</m:t>
        </m:r>
      </m:oMath>
      <w:r>
        <w:t xml:space="preserve">; Table </w:t>
      </w:r>
      <w:hyperlink w:anchor="tab:cars">
        <w:r>
          <w:rPr>
            <w:rStyle w:val="Hyperlink"/>
          </w:rPr>
          <w:t xml:space="preserve">2</w:t>
        </w:r>
      </w:hyperlink>
      <w:r>
        <w:t xml:space="preserve">); the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window is</w:t>
      </w:r>
      <w:r>
        <w:t xml:space="preserve"> </w:t>
      </w:r>
      <m:oMath>
        <m:r>
          <m:rPr>
            <m:sty m:val="p"/>
          </m:rPr>
          <m:t>−</m:t>
        </m:r>
        <m:r>
          <m:t>1.3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2.22</m:t>
        </m:r>
      </m:oMath>
      <w:r>
        <w:t xml:space="preserve">);</w:t>
      </w:r>
      <w:r>
        <w:t xml:space="preserve"> </w:t>
      </w:r>
      <w:r>
        <w:t xml:space="preserve">the reaction sits after the notice date, and the pre-event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placebo is</w:t>
      </w:r>
      <w:r>
        <w:t xml:space="preserve"> </w:t>
      </w:r>
      <w:r>
        <w:t xml:space="preserve">an insignificant</w:t>
      </w:r>
      <w:r>
        <w:t xml:space="preserve"> </w:t>
      </w:r>
      <m:oMath>
        <m:r>
          <m:rPr>
            <m:sty m:val="p"/>
          </m:rPr>
          <m:t>−</m:t>
        </m:r>
        <m:r>
          <m:t>0.18</m:t>
        </m:r>
        <m:r>
          <m:rPr>
            <m:sty m:val="p"/>
          </m:rPr>
          <m:t>%</m:t>
        </m:r>
      </m:oMath>
      <w:r>
        <w:t xml:space="preserve">. Notably only</w:t>
      </w:r>
      <w:r>
        <w:t xml:space="preserve"> </w:t>
      </w:r>
      <m:oMath>
        <m:r>
          <m:t>49</m:t>
        </m:r>
        <m:r>
          <m:rPr>
            <m:sty m:val="p"/>
          </m:rPr>
          <m:t>%</m:t>
        </m:r>
      </m:oMath>
      <w:r>
        <w:t xml:space="preserve"> </w:t>
      </w:r>
      <w:r>
        <w:t xml:space="preserve">of CARs are negative: the mean is</w:t>
      </w:r>
      <w:r>
        <w:t xml:space="preserve"> </w:t>
      </w:r>
      <w:r>
        <w:t xml:space="preserve">driven by a negative</w:t>
      </w:r>
      <w:r>
        <w:t xml:space="preserve"> </w:t>
      </w:r>
      <w:r>
        <w:rPr>
          <w:i/>
          <w:iCs/>
        </w:rPr>
        <w:t xml:space="preserve">tail</w:t>
      </w:r>
      <w:r>
        <w:t xml:space="preserve">, not a uniform markdown. The market does not</w:t>
      </w:r>
      <w:r>
        <w:t xml:space="preserve"> </w:t>
      </w:r>
      <w:r>
        <w:t xml:space="preserve">reflexively punish layoffs.</w:t>
      </w:r>
    </w:p>
    <w:p>
      <w:pPr>
        <w:pStyle w:val="BodyText"/>
      </w:pPr>
      <w:r>
        <w:rPr>
          <w:i/>
          <w:iCs/>
        </w:rPr>
        <w:t xml:space="preserve">Second</w:t>
      </w:r>
      <w:r>
        <w:t xml:space="preserve">, what determines who lands in that negative tail is</w:t>
      </w:r>
      <w:r>
        <w:t xml:space="preserve"> </w:t>
      </w:r>
      <w:r>
        <w:rPr>
          <w:i/>
          <w:iCs/>
        </w:rPr>
        <w:t xml:space="preserve">firm</w:t>
      </w:r>
      <w:r>
        <w:rPr>
          <w:i/>
          <w:iCs/>
        </w:rPr>
        <w:t xml:space="preserve"> </w:t>
      </w:r>
      <w:r>
        <w:rPr>
          <w:i/>
          <w:iCs/>
        </w:rPr>
        <w:t xml:space="preserve">size / relative layoff size</w:t>
      </w:r>
      <w:r>
        <w:t xml:space="preserve">, not the raw number of jobs. The absolute headcount</w:t>
      </w:r>
      <w:r>
        <w:t xml:space="preserve"> </w:t>
      </w:r>
      <w:r>
        <w:t xml:space="preserve">laid off carries no information for returns (Table </w:t>
      </w:r>
      <w:hyperlink w:anchor="tab:main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column 2,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0.46</m:t>
        </m:r>
      </m:oMath>
      <w:r>
        <w:t xml:space="preserve">). The layoff’s size</w:t>
      </w:r>
      <w:r>
        <w:t xml:space="preserve"> </w:t>
      </w:r>
      <w:r>
        <w:rPr>
          <w:i/>
          <w:iCs/>
        </w:rPr>
        <w:t xml:space="preserve">relative to the firm’s workforce</w:t>
      </w:r>
      <w:r>
        <w:t xml:space="preserve"> </w:t>
      </w:r>
      <w:r>
        <w:t xml:space="preserve">does: a</w:t>
      </w:r>
      <w:r>
        <w:t xml:space="preserve"> </w:t>
      </w:r>
      <w:r>
        <w:t xml:space="preserve">one-standard-deviation increase in the relative-layoff ratio is associated with a</w:t>
      </w:r>
      <w:r>
        <w:t xml:space="preserve"> </w:t>
      </w:r>
      <m:oMath>
        <m:r>
          <m:rPr>
            <m:sty m:val="p"/>
          </m:rPr>
          <m:t>−</m:t>
        </m:r>
        <m:r>
          <m:t>3.3</m:t>
        </m:r>
      </m:oMath>
      <w:r>
        <w:t xml:space="preserve">-percentage-point CAR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2.77</m:t>
        </m:r>
      </m:oMath>
      <w:r>
        <w:t xml:space="preserve">, column 1). Equivalently, larger firms are</w:t>
      </w:r>
      <w:r>
        <w:t xml:space="preserve"> </w:t>
      </w:r>
      <w:r>
        <w:t xml:space="preserve">spared: a one-SD increase in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nor/>
            <m:sty m:val="p"/>
          </m:rPr>
          <m:t>assets</m:t>
        </m:r>
        <m:r>
          <m:rPr>
            <m:sty m:val="p"/>
          </m:rPr>
          <m:t>)</m:t>
        </m:r>
      </m:oMath>
      <w:r>
        <w:t xml:space="preserve"> </w:t>
      </w:r>
      <w:r>
        <w:t xml:space="preserve">moves CAR by</w:t>
      </w:r>
      <w:r>
        <w:t xml:space="preserve"> </w:t>
      </w:r>
      <m:oMath>
        <m:r>
          <m:rPr>
            <m:sty m:val="p"/>
          </m:rPr>
          <m:t>+</m:t>
        </m:r>
        <m:r>
          <m:t>3.1</m:t>
        </m:r>
      </m:oMath>
      <w:r>
        <w:t xml:space="preserve">pp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3.34</m:t>
        </m:r>
      </m:oMath>
      <w:r>
        <w:t xml:space="preserve">, column 3). The two are two sides of one coin—a WARN filing is a</w:t>
      </w:r>
      <w:r>
        <w:t xml:space="preserve"> </w:t>
      </w:r>
      <w:r>
        <w:t xml:space="preserve">locally large but firm-level tiny event for a mega-cap, and a material event for a</w:t>
      </w:r>
      <w:r>
        <w:t xml:space="preserve"> </w:t>
      </w:r>
      <w:r>
        <w:t xml:space="preserve">small company. Splitting the sample makes this vivid (Table </w:t>
      </w:r>
      <w:hyperlink w:anchor="tab:groups">
        <w:r>
          <w:rPr>
            <w:rStyle w:val="Hyperlink"/>
          </w:rPr>
          <w:t xml:space="preserve">3</w:t>
        </w:r>
      </w:hyperlink>
      <w:r>
        <w:t xml:space="preserve">):</w:t>
      </w:r>
      <w:r>
        <w:t xml:space="preserve"> </w:t>
      </w:r>
      <w:r>
        <w:t xml:space="preserve">small firms lose</w:t>
      </w:r>
      <w:r>
        <w:t xml:space="preserve"> </w:t>
      </w:r>
      <m:oMath>
        <m:r>
          <m:t>3.9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2.86</m:t>
        </m:r>
      </m:oMath>
      <w:r>
        <w:t xml:space="preserve">) and large firms gain a statistically-zero</w:t>
      </w:r>
      <w:r>
        <w:t xml:space="preserve"> </w:t>
      </w:r>
      <m:oMath>
        <m:r>
          <m:t>0.4</m:t>
        </m:r>
        <m:r>
          <m:rPr>
            <m:sty m:val="p"/>
          </m:rPr>
          <m:t>%</m:t>
        </m:r>
      </m:oMath>
      <w:r>
        <w:t xml:space="preserve">; top-half relative layoffs lose</w:t>
      </w:r>
      <w:r>
        <w:t xml:space="preserve"> </w:t>
      </w:r>
      <m:oMath>
        <m:r>
          <m:t>3.5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2.70</m:t>
        </m:r>
      </m:oMath>
      <w:r>
        <w:t xml:space="preserve">) and bottom-half</w:t>
      </w:r>
      <w:r>
        <w:t xml:space="preserve"> </w:t>
      </w:r>
      <w:r>
        <w:t xml:space="preserve">relative layoffs are flat. The punishment is concentrated where the layoff is big</w:t>
      </w:r>
      <w:r>
        <w:t xml:space="preserve"> </w:t>
      </w:r>
      <w:r>
        <w:t xml:space="preserve">relative to the firm: the size</w:t>
      </w:r>
      <m:oMath>
        <m:r>
          <m:rPr>
            <m:sty m:val="p"/>
          </m:rPr>
          <m:t>×</m:t>
        </m:r>
      </m:oMath>
      <w:r>
        <w:t xml:space="preserve">relative-layoff interaction is</w:t>
      </w:r>
      <w:r>
        <w:t xml:space="preserve"> </w:t>
      </w:r>
      <m:oMath>
        <m:r>
          <m:rPr>
            <m:sty m:val="p"/>
          </m:rPr>
          <m:t>−</m:t>
        </m:r>
        <m:r>
          <m:t>0.065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2.86</m:t>
        </m:r>
      </m:oMath>
      <w:r>
        <w:t xml:space="preserve">; Table </w:t>
      </w:r>
      <w:hyperlink w:anchor="tab:hetero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Third</w:t>
      </w:r>
      <w:r>
        <w:t xml:space="preserve">, and most important for the paper’s title question, our</w:t>
      </w:r>
      <w:r>
        <w:t xml:space="preserve"> </w:t>
      </w:r>
      <w:r>
        <w:t xml:space="preserve">machine-readable proxy for</w:t>
      </w:r>
      <w:r>
        <w:t xml:space="preserve"> </w:t>
      </w:r>
      <w:r>
        <w:rPr>
          <w:i/>
          <w:iCs/>
        </w:rPr>
        <w:t xml:space="preserve">motive</w:t>
      </w:r>
      <w:r>
        <w:t xml:space="preserve"> </w:t>
      </w:r>
      <w:r>
        <w:t xml:space="preserve">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separate winners from</w:t>
      </w:r>
      <w:r>
        <w:t xml:space="preserve"> </w:t>
      </w:r>
      <w:r>
        <w:t xml:space="preserve">losers. State WARN filings flag whether a layoff is a permanent plant</w:t>
      </w:r>
      <w:r>
        <w:t xml:space="preserve"> </w:t>
      </w:r>
      <w:r>
        <w:rPr>
          <w:i/>
          <w:iCs/>
        </w:rPr>
        <w:t xml:space="preserve">closure</w:t>
      </w:r>
      <w:r>
        <w:t xml:space="preserve">—a natural proxy for exit/reallocation—or an ongoing-operation</w:t>
      </w:r>
      <w:r>
        <w:t xml:space="preserve"> </w:t>
      </w:r>
      <w:r>
        <w:rPr>
          <w:i/>
          <w:iCs/>
        </w:rPr>
        <w:t xml:space="preserve">layoff</w:t>
      </w:r>
      <w:r>
        <w:t xml:space="preserve">—a natural proxy for cost-cutting. Closures and ongoing-operation</w:t>
      </w:r>
      <w:r>
        <w:t xml:space="preserve"> </w:t>
      </w:r>
      <w:r>
        <w:t xml:space="preserve">layoffs earn statistically identical CARs (</w:t>
      </w:r>
      <m:oMath>
        <m:r>
          <m:rPr>
            <m:sty m:val="p"/>
          </m:rPr>
          <m:t>−</m:t>
        </m:r>
        <m:r>
          <m:t>1.5</m:t>
        </m:r>
        <m:r>
          <m:rPr>
            <m:sty m:val="p"/>
          </m:rPr>
          <m:t>%</m:t>
        </m:r>
      </m:oMath>
      <w:r>
        <w:t xml:space="preserve"> </w:t>
      </w:r>
      <w:r>
        <w:t xml:space="preserve">vs. </w:t>
      </w:r>
      <m:oMath>
        <m:r>
          <m:rPr>
            <m:sty m:val="p"/>
          </m:rPr>
          <m:t>−</m:t>
        </m:r>
        <m:r>
          <m:t>1.6</m:t>
        </m:r>
        <m:r>
          <m:rPr>
            <m:sty m:val="p"/>
          </m:rPr>
          <m:t>%</m:t>
        </m:r>
      </m:oMath>
      <w:r>
        <w:t xml:space="preserve">; the closure</w:t>
      </w:r>
      <w:r>
        <w:t xml:space="preserve"> </w:t>
      </w:r>
      <w:r>
        <w:t xml:space="preserve">dummy is</w:t>
      </w:r>
      <w:r>
        <w:t xml:space="preserve"> </w:t>
      </w:r>
      <m:oMath>
        <m:r>
          <m:rPr>
            <m:sty m:val="p"/>
          </m:rPr>
          <m:t>−</m:t>
        </m:r>
        <m:r>
          <m:t>0.001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0.07</m:t>
        </m:r>
      </m:oMath>
      <w:r>
        <w:t xml:space="preserve"> </w:t>
      </w:r>
      <w:r>
        <w:t xml:space="preserve">in the full specification,</w:t>
      </w:r>
      <w:r>
        <w:t xml:space="preserve"> </w:t>
      </w:r>
      <w:r>
        <w:t xml:space="preserve">Table </w:t>
      </w:r>
      <w:hyperlink w:anchor="tab:main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column 5). The form of the layoff, as coded from the filing’s</w:t>
      </w:r>
      <w:r>
        <w:t xml:space="preserve"> </w:t>
      </w:r>
      <w:r>
        <w:t xml:space="preserve">category field, is uninformative about motive in a way that moves prices.</w:t>
      </w:r>
    </w:p>
    <w:p>
      <w:pPr>
        <w:pStyle w:val="BodyText"/>
      </w:pPr>
      <w:r>
        <w:t xml:space="preserve">We then push each result past the point where most short event studies stop, using</w:t>
      </w:r>
      <w:r>
        <w:t xml:space="preserve"> </w:t>
      </w:r>
      <w:r>
        <w:t xml:space="preserve">four design-based additions that are the methodological contribution of this</w:t>
      </w:r>
      <w:r>
        <w:t xml:space="preserve"> </w:t>
      </w:r>
      <w:r>
        <w:t xml:space="preserve">version of the paper. (i)</w:t>
      </w:r>
      <w:r>
        <w:t xml:space="preserve"> </w:t>
      </w:r>
      <w:r>
        <w:rPr>
          <w:i/>
          <w:iCs/>
        </w:rPr>
        <w:t xml:space="preserve">Randomization inference</w:t>
      </w:r>
      <w:r>
        <w:t xml:space="preserve"> </w:t>
      </w:r>
      <w:r>
        <w:t xml:space="preserve">(Section </w:t>
      </w:r>
      <w:hyperlink w:anchor="sec:ri">
        <w:r>
          <w:rPr>
            <w:rStyle w:val="Hyperlink"/>
          </w:rPr>
          <w:t xml:space="preserve">8</w:t>
        </w:r>
      </w:hyperlink>
      <w:r>
        <w:t xml:space="preserve">,</w:t>
      </w:r>
      <w:r>
        <w:t xml:space="preserve"> </w:t>
      </w:r>
      <w:r>
        <w:t xml:space="preserve">Table </w:t>
      </w:r>
      <w:hyperlink w:anchor="tab:randinf">
        <w:r>
          <w:rPr>
            <w:rStyle w:val="Hyperlink"/>
          </w:rPr>
          <w:t xml:space="preserve">7</w:t>
        </w:r>
      </w:hyperlink>
      <w:r>
        <w:t xml:space="preserve">, Figure </w:t>
      </w:r>
      <w:hyperlink w:anchor="fig:ri">
        <w:r>
          <w:rPr>
            <w:rStyle w:val="Hyperlink"/>
          </w:rPr>
          <w:t xml:space="preserve">3</w:t>
        </w:r>
      </w:hyperlink>
      <w:r>
        <w:t xml:space="preserve">): permuting the materiality regressor</w:t>
      </w:r>
      <w:r>
        <w:t xml:space="preserve"> </w:t>
      </w:r>
      <w:r>
        <w:t xml:space="preserve">2</w:t>
      </w:r>
      <w:r>
        <w:t xml:space="preserve">,</w:t>
      </w:r>
      <w:r>
        <w:t xml:space="preserve">000 times places the actual slope far outside the permutation distribution</w:t>
      </w:r>
      <w:r>
        <w:t xml:space="preserve"> </w:t>
      </w:r>
      <w:r>
        <w:t xml:space="preserve">(design-based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0.001</m:t>
        </m:r>
      </m:oMath>
      <w:r>
        <w:t xml:space="preserve">), while the closure/motive coefficient sits dead-center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0.92</m:t>
        </m:r>
      </m:oMath>
      <w:r>
        <w:t xml:space="preserve">)—the materiality effect is real and the machine-motive null is robust</w:t>
      </w:r>
      <w:r>
        <w:t xml:space="preserve"> </w:t>
      </w:r>
      <w:r>
        <w:t xml:space="preserve">to design-based inference, not an artifact of clustered-SE asymptotics with a</w:t>
      </w:r>
      <w:r>
        <w:t xml:space="preserve"> </w:t>
      </w:r>
      <w:r>
        <w:t xml:space="preserve">moderate number of firms. (ii)</w:t>
      </w:r>
      <w:r>
        <w:t xml:space="preserve"> </w:t>
      </w:r>
      <w:r>
        <w:rPr>
          <w:i/>
          <w:iCs/>
        </w:rPr>
        <w:t xml:space="preserve">Alternative abnormal-return benchmarks</w:t>
      </w:r>
      <w:r>
        <w:t xml:space="preserve"> </w:t>
      </w:r>
      <w:r>
        <w:t xml:space="preserve">(Section </w:t>
      </w:r>
      <w:hyperlink w:anchor="sec:altbench">
        <w:r>
          <w:rPr>
            <w:rStyle w:val="Hyperlink"/>
          </w:rPr>
          <w:t xml:space="preserve">9</w:t>
        </w:r>
      </w:hyperlink>
      <w:r>
        <w:t xml:space="preserve">, Table </w:t>
      </w:r>
      <w:hyperlink w:anchor="tab:altbench">
        <w:r>
          <w:rPr>
            <w:rStyle w:val="Hyperlink"/>
          </w:rPr>
          <w:t xml:space="preserve">8</w:t>
        </w:r>
      </w:hyperlink>
      <w:r>
        <w:t xml:space="preserve">): re-deriving CARs from the</w:t>
      </w:r>
      <w:r>
        <w:t xml:space="preserve"> </w:t>
      </w:r>
      <w:r>
        <w:t xml:space="preserve">raw daily returns under market-adjusted, S&amp;P-500-adjusted, and mean-adjusted</w:t>
      </w:r>
      <w:r>
        <w:t xml:space="preserve"> </w:t>
      </w:r>
      <w:r>
        <w:t xml:space="preserve">models leaves the average negative reaction and the materiality slope intact—and</w:t>
      </w:r>
      <w:r>
        <w:t xml:space="preserve"> </w:t>
      </w:r>
      <w:r>
        <w:t xml:space="preserve">the market- and S&amp;P-adjusted reactions are actually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3.0</m:t>
        </m:r>
      </m:oMath>
      <w:r>
        <w:t xml:space="preserve">). (iii)</w:t>
      </w:r>
      <w:r>
        <w:t xml:space="preserve"> </w:t>
      </w:r>
      <w:r>
        <w:rPr>
          <w:i/>
          <w:iCs/>
        </w:rPr>
        <w:t xml:space="preserve">Expanded heterogeneity on observable moderators</w:t>
      </w:r>
      <w:r>
        <w:t xml:space="preserve"> </w:t>
      </w:r>
      <w:r>
        <w:t xml:space="preserve">(Section </w:t>
      </w:r>
      <w:hyperlink w:anchor="sec:het">
        <w:r>
          <w:rPr>
            <w:rStyle w:val="Hyperlink"/>
          </w:rPr>
          <w:t xml:space="preserve">7</w:t>
        </w:r>
      </w:hyperlink>
      <w:r>
        <w:t xml:space="preserve">, Table </w:t>
      </w:r>
      <w:hyperlink w:anchor="tab:heteroext">
        <w:r>
          <w:rPr>
            <w:rStyle w:val="Hyperlink"/>
          </w:rPr>
          <w:t xml:space="preserve">6</w:t>
        </w:r>
      </w:hyperlink>
      <w:r>
        <w:t xml:space="preserve">): the materiality effect does</w:t>
      </w:r>
      <w:r>
        <w:t xml:space="preserve"> </w:t>
      </w:r>
      <w:r>
        <w:t xml:space="preserve">not concentrate in any observable subgroup (valuation, asset turnover, sample year,</w:t>
      </w:r>
      <w:r>
        <w:t xml:space="preserve"> </w:t>
      </w:r>
      <w:r>
        <w:t xml:space="preserve">goods-producing), reinforcing that it is a broad materiality phenomenon rather than</w:t>
      </w:r>
      <w:r>
        <w:t xml:space="preserve"> </w:t>
      </w:r>
      <w:r>
        <w:t xml:space="preserve">a proxy for something firm-specific. (iv)</w:t>
      </w:r>
      <w:r>
        <w:t xml:space="preserve"> </w:t>
      </w:r>
      <w:r>
        <w:rPr>
          <w:i/>
          <w:iCs/>
        </w:rPr>
        <w:t xml:space="preserve">Power and minimum detectable</w:t>
      </w:r>
      <w:r>
        <w:rPr>
          <w:i/>
          <w:iCs/>
        </w:rPr>
        <w:t xml:space="preserve"> </w:t>
      </w:r>
      <w:r>
        <w:rPr>
          <w:i/>
          <w:iCs/>
        </w:rPr>
        <w:t xml:space="preserve">effects</w:t>
      </w:r>
      <w:r>
        <w:t xml:space="preserve"> </w:t>
      </w:r>
      <w:r>
        <w:t xml:space="preserve">(Section </w:t>
      </w:r>
      <w:hyperlink w:anchor="sec:power">
        <w:r>
          <w:rPr>
            <w:rStyle w:val="Hyperlink"/>
          </w:rPr>
          <w:t xml:space="preserve">10</w:t>
        </w:r>
      </w:hyperlink>
      <w:r>
        <w:t xml:space="preserve">, Table </w:t>
      </w:r>
      <w:hyperlink w:anchor="tab:power">
        <w:r>
          <w:rPr>
            <w:rStyle w:val="Hyperlink"/>
          </w:rPr>
          <w:t xml:space="preserve">9</w:t>
        </w:r>
      </w:hyperlink>
      <w:r>
        <w:t xml:space="preserve">): the materiality estimate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2.5</m:t>
        </m:r>
      </m:oMath>
      <w:r>
        <w:t xml:space="preserve">pp size-controlled,</w:t>
      </w:r>
      <w:r>
        <w:t xml:space="preserve"> </w:t>
      </w:r>
      <m:oMath>
        <m:r>
          <m:rPr>
            <m:sty m:val="p"/>
          </m:rPr>
          <m:t>−</m:t>
        </m:r>
        <m:r>
          <m:t>3.3</m:t>
        </m:r>
      </m:oMath>
      <w:r>
        <w:t xml:space="preserve">pp unconditional) is comparable to its</w:t>
      </w:r>
      <w:r>
        <w:t xml:space="preserve"> </w:t>
      </w:r>
      <m:oMath>
        <m:r>
          <m:rPr>
            <m:sty m:val="p"/>
          </m:rPr>
          <m:t>≈</m:t>
        </m:r>
        <m:r>
          <m:t>3.9</m:t>
        </m:r>
      </m:oMath>
      <w:r>
        <w:t xml:space="preserve">pp 80%-power minimum detectable effect—the design is powered to</w:t>
      </w:r>
      <w:r>
        <w:t xml:space="preserve"> </w:t>
      </w:r>
      <w:r>
        <w:t xml:space="preserve">detect roughly the effect it finds—whereas the machine motive proxy could only</w:t>
      </w:r>
      <w:r>
        <w:t xml:space="preserve"> </w:t>
      </w:r>
      <w:r>
        <w:t xml:space="preserve">have detected a motive effect of</w:t>
      </w:r>
      <w:r>
        <w:t xml:space="preserve"> </w:t>
      </w:r>
      <m:oMath>
        <m:r>
          <m:t>5.1</m:t>
        </m:r>
      </m:oMath>
      <w:r>
        <w:t xml:space="preserve"> </w:t>
      </w:r>
      <w:r>
        <w:t xml:space="preserve">percentage points at 80% power—larger</w:t>
      </w:r>
      <w:r>
        <w:t xml:space="preserve"> </w:t>
      </w:r>
      <w:r>
        <w:t xml:space="preserve">than the entire average reaction and than any plausible motive effect. So the</w:t>
      </w:r>
      <w:r>
        <w:t xml:space="preserve"> </w:t>
      </w:r>
      <w:r>
        <w:t xml:space="preserve">closure flag is not merely</w:t>
      </w:r>
      <w:r>
        <w:t xml:space="preserve"> </w:t>
      </w:r>
      <w:r>
        <w:rPr>
          <w:i/>
          <w:iCs/>
        </w:rPr>
        <w:t xml:space="preserve">zero</w:t>
      </w:r>
      <w:r>
        <w:t xml:space="preserve">; it is</w:t>
      </w:r>
      <w:r>
        <w:t xml:space="preserve"> </w:t>
      </w:r>
      <w:r>
        <w:rPr>
          <w:i/>
          <w:iCs/>
        </w:rPr>
        <w:t xml:space="preserve">too coarse and too noisy</w:t>
      </w:r>
      <w:r>
        <w:t xml:space="preserve"> </w:t>
      </w:r>
      <w:r>
        <w:t xml:space="preserve">to</w:t>
      </w:r>
      <w:r>
        <w:t xml:space="preserve"> </w:t>
      </w:r>
      <w:r>
        <w:t xml:space="preserve">rule out a real motive effect. This is exactly the wedge that motivates</w:t>
      </w:r>
      <w:r>
        <w:t xml:space="preserve"> </w:t>
      </w:r>
      <w:r>
        <w:t xml:space="preserve">hand-coding: the difference between</w:t>
      </w:r>
      <w:r>
        <w:t xml:space="preserve"> </w:t>
      </w:r>
      <w:r>
        <w:t xml:space="preserve">“we are closing this plant because the product</w:t>
      </w:r>
      <w:r>
        <w:t xml:space="preserve"> </w:t>
      </w:r>
      <w:r>
        <w:t xml:space="preserve">is dying”</w:t>
      </w:r>
      <w:r>
        <w:t xml:space="preserve"> </w:t>
      </w:r>
      <w:r>
        <w:t xml:space="preserve">(reallocation) and</w:t>
      </w:r>
      <w:r>
        <w:t xml:space="preserve"> </w:t>
      </w:r>
      <w:r>
        <w:t xml:space="preserve">“we are closing this plant to cut costs”</w:t>
      </w:r>
      <w:r>
        <w:t xml:space="preserve"> </w:t>
      </w:r>
      <w:r>
        <w:t xml:space="preserve">(retrenchment) is not in the WARN category field—it is in the announcement text</w:t>
      </w:r>
      <w:r>
        <w:t xml:space="preserve"> </w:t>
      </w:r>
      <w:r>
        <w:t xml:space="preserve">and the surrounding disclosure, which a human must read. Resolving true motive, and</w:t>
      </w:r>
      <w:r>
        <w:t xml:space="preserve"> </w:t>
      </w:r>
      <w:r>
        <w:t xml:space="preserve">re-running the cross-section on it, is the pivotal contribution we leave to the</w:t>
      </w:r>
      <w:r>
        <w:t xml:space="preserve"> </w:t>
      </w:r>
      <w:r>
        <w:t xml:space="preserve">student researcher (</w:t>
      </w:r>
      <w:r>
        <w:rPr>
          <w:rStyle w:val="VerbatimChar"/>
        </w:rPr>
        <w:t xml:space="preserve">STUDENT_TASKS.md</w:t>
      </w:r>
      <w:r>
        <w:t xml:space="preserve">).</w:t>
      </w:r>
    </w:p>
    <w:p>
      <w:pPr>
        <w:pStyle w:val="BodyText"/>
      </w:pPr>
      <w:r>
        <w:t xml:space="preserve">We make four contributions. First, relative to the classic layoff event-study</w:t>
      </w:r>
      <w:r>
        <w:t xml:space="preserve"> </w:t>
      </w:r>
      <w:r>
        <w:t xml:space="preserve">literature</w:t>
      </w:r>
      <w:r>
        <w:t xml:space="preserve"> </w:t>
      </w:r>
      <w:r>
        <w:t xml:space="preserve">, we bring a new and</w:t>
      </w:r>
      <w:r>
        <w:t xml:space="preserve"> </w:t>
      </w:r>
      <w:r>
        <w:t xml:space="preserve">cleaner event source—mandatory WARN filings with precise dates—and show that in</w:t>
      </w:r>
      <w:r>
        <w:t xml:space="preserve"> </w:t>
      </w:r>
      <w:r>
        <w:t xml:space="preserve">a modern (2022–2024) sample the average reaction is small and negative but the</w:t>
      </w:r>
      <w:r>
        <w:t xml:space="preserve"> </w:t>
      </w:r>
      <w:r>
        <w:t xml:space="preserve">action is entirely in the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size of the cut. Second, relative to the</w:t>
      </w:r>
      <w:r>
        <w:t xml:space="preserve"> </w:t>
      </w:r>
      <w:r>
        <w:t xml:space="preserve">strategy literature on downsizing motive</w:t>
      </w:r>
      <w:r>
        <w:t xml:space="preserve"> </w:t>
      </w:r>
      <w:r>
        <w:t xml:space="preserve">, we show—and quantify with a</w:t>
      </w:r>
      <w:r>
        <w:t xml:space="preserve"> </w:t>
      </w:r>
      <w:r>
        <w:t xml:space="preserve">power calculation—that the coarse closure-vs-layoff distinction available in</w:t>
      </w:r>
      <w:r>
        <w:t xml:space="preserve"> </w:t>
      </w:r>
      <w:r>
        <w:t xml:space="preserve">administrative data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usable proxy for the</w:t>
      </w:r>
      <w:r>
        <w:t xml:space="preserve"> </w:t>
      </w:r>
      <w:r>
        <w:t xml:space="preserve">cost-cutting-vs-reallocation motive that theory says should matter. Third, relative</w:t>
      </w:r>
      <w:r>
        <w:t xml:space="preserve"> </w:t>
      </w:r>
      <w:r>
        <w:t xml:space="preserve">to work using WARN data</w:t>
      </w:r>
      <w:r>
        <w:t xml:space="preserve"> </w:t>
      </w:r>
      <w:r>
        <w:t xml:space="preserve">, we provide, to our knowledge, one of</w:t>
      </w:r>
      <w:r>
        <w:t xml:space="preserve"> </w:t>
      </w:r>
      <w:r>
        <w:t xml:space="preserve">the first matched WARN-to-CRSP event studies. Fourth, we treat both the headline</w:t>
      </w:r>
      <w:r>
        <w:t xml:space="preserve"> </w:t>
      </w:r>
      <w:r>
        <w:t xml:space="preserve">effect and the null as quantitative objects, reporting design-based</w:t>
      </w:r>
      <w:r>
        <w:t xml:space="preserve"> </w:t>
      </w:r>
      <w:r>
        <w:t xml:space="preserve">(randomization)</w:t>
      </w:r>
      <w:r>
        <w:t xml:space="preserve"> </w:t>
      </w:r>
      <m:oMath>
        <m:r>
          <m:t>p</m:t>
        </m:r>
      </m:oMath>
      <w:r>
        <w:t xml:space="preserve">-values, alternative-benchmark robustness, and minimum</w:t>
      </w:r>
      <w:r>
        <w:t xml:space="preserve"> </w:t>
      </w:r>
      <w:r>
        <w:t xml:space="preserve">detectable effects, so that readers can see what the design can and cannot rule</w:t>
      </w:r>
      <w:r>
        <w:t xml:space="preserve"> </w:t>
      </w:r>
      <w:r>
        <w:t xml:space="preserve">out</w:t>
      </w:r>
      <w:r>
        <w:t xml:space="preserve"> </w:t>
      </w:r>
      <w:r>
        <w:t xml:space="preserve">. Section </w:t>
      </w:r>
      <w:hyperlink w:anchor="sec:lit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places the paper in the</w:t>
      </w:r>
      <w:r>
        <w:t xml:space="preserve"> </w:t>
      </w:r>
      <w:r>
        <w:t xml:space="preserve">literature; Section </w:t>
      </w:r>
      <w:hyperlink w:anchor="sec:hyp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develops hypotheses; Section </w:t>
      </w:r>
      <w:hyperlink w:anchor="sec:data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describes the data and matching; Section </w:t>
      </w:r>
      <w:hyperlink w:anchor="sec:design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the research design and</w:t>
      </w:r>
      <w:r>
        <w:t xml:space="preserve"> </w:t>
      </w:r>
      <w:r>
        <w:t xml:space="preserve">inference; Section </w:t>
      </w:r>
      <w:hyperlink w:anchor="sec:re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the main results; Section </w:t>
      </w:r>
      <w:hyperlink w:anchor="sec:het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heterogeneity; Section </w:t>
      </w:r>
      <w:hyperlink w:anchor="sec:ri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randomization inference;</w:t>
      </w:r>
      <w:r>
        <w:t xml:space="preserve"> </w:t>
      </w:r>
      <w:r>
        <w:t xml:space="preserve">Section </w:t>
      </w:r>
      <w:hyperlink w:anchor="sec:altbench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alternative benchmarks; Section </w:t>
      </w:r>
      <w:hyperlink w:anchor="sec:power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power</w:t>
      </w:r>
      <w:r>
        <w:t xml:space="preserve"> </w:t>
      </w:r>
      <w:r>
        <w:t xml:space="preserve">and the informativeness of the motive null; Section </w:t>
      </w:r>
      <w:hyperlink w:anchor="sec:robust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robustness;</w:t>
      </w:r>
      <w:r>
        <w:t xml:space="preserve"> </w:t>
      </w:r>
      <w:r>
        <w:t xml:space="preserve">and Section </w:t>
      </w:r>
      <w:hyperlink w:anchor="sec:concl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concludes.</w:t>
      </w:r>
    </w:p>
    <w:bookmarkEnd w:id="12"/>
    <w:bookmarkStart w:id="13" w:name="sec:lit"/>
    <w:p>
      <w:pPr>
        <w:pStyle w:val="Heading1"/>
      </w:pPr>
      <w:r>
        <w:t xml:space="preserve">Related Literature</w:t>
      </w:r>
    </w:p>
    <w:p>
      <w:pPr>
        <w:pStyle w:val="FirstParagraph"/>
      </w:pPr>
      <w:r>
        <w:t xml:space="preserve">This paper connects three strands. The first is the</w:t>
      </w:r>
      <w:r>
        <w:t xml:space="preserve"> </w:t>
      </w:r>
      <w:r>
        <w:rPr>
          <w:i/>
          <w:iCs/>
        </w:rPr>
        <w:t xml:space="preserve">layoff event-study</w:t>
      </w:r>
      <w:r>
        <w:t xml:space="preserve"> </w:t>
      </w:r>
      <w:r>
        <w:t xml:space="preserve">literature. Early studies of the stock-price reaction to layoff and plant-closing</w:t>
      </w:r>
      <w:r>
        <w:t xml:space="preserve"> </w:t>
      </w:r>
      <w:r>
        <w:t xml:space="preserve">announcements generally found small negative average returns</w:t>
      </w:r>
      <w:r>
        <w:t xml:space="preserve"> </w:t>
      </w:r>
      <w:r>
        <w:t xml:space="preserve">, with the reaction depending on the stated reason</w:t>
      </w:r>
      <w:r>
        <w:t xml:space="preserve"> </w:t>
      </w:r>
      <w:r>
        <w:t xml:space="preserve">for the cut: layoffs framed as demand-driven or financially-distressed drew more</w:t>
      </w:r>
      <w:r>
        <w:t xml:space="preserve"> </w:t>
      </w:r>
      <w:r>
        <w:t xml:space="preserve">negative reactions than layoffs framed as efficiency-improving or strategic</w:t>
      </w:r>
      <w:r>
        <w:t xml:space="preserve"> </w:t>
      </w:r>
      <w:r>
        <w:t xml:space="preserve">reorganizations</w:t>
      </w:r>
      <w:r>
        <w:t xml:space="preserve"> </w:t>
      </w:r>
      <w:r>
        <w:t xml:space="preserve">.</w:t>
      </w:r>
      <w:r>
        <w:t xml:space="preserve"> </w:t>
      </w:r>
      <w:r>
        <w:t xml:space="preserve"> </w:t>
      </w:r>
      <w:r>
        <w:t xml:space="preserve">document</w:t>
      </w:r>
      <w:r>
        <w:t xml:space="preserve"> </w:t>
      </w:r>
      <w:r>
        <w:t xml:space="preserve">that the average reaction attenuated and at times turned positive over the</w:t>
      </w:r>
      <w:r>
        <w:t xml:space="preserve"> </w:t>
      </w:r>
      <w:r>
        <w:t xml:space="preserve">1970–1999 period, consistent with layoffs being increasingly read as proactive</w:t>
      </w:r>
      <w:r>
        <w:t xml:space="preserve"> </w:t>
      </w:r>
      <w:r>
        <w:t xml:space="preserve">restructuring rather than distress. Our contribution to this strand is a new event</w:t>
      </w:r>
      <w:r>
        <w:t xml:space="preserve"> </w:t>
      </w:r>
      <w:r>
        <w:t xml:space="preserve">source—mandatory WARN filings, which carry precise, legally-required dates and a</w:t>
      </w:r>
      <w:r>
        <w:t xml:space="preserve"> </w:t>
      </w:r>
      <w:r>
        <w:t xml:space="preserve">site-level headcount—and a modern (2022–2024) sample in which we show that the</w:t>
      </w:r>
      <w:r>
        <w:t xml:space="preserve"> </w:t>
      </w:r>
      <w:r>
        <w:t xml:space="preserve">average masks a materiality gradient: the reaction is entirely about the size of</w:t>
      </w:r>
      <w:r>
        <w:t xml:space="preserve"> </w:t>
      </w:r>
      <w:r>
        <w:t xml:space="preserve">the cut</w:t>
      </w:r>
      <w:r>
        <w:t xml:space="preserve"> </w:t>
      </w:r>
      <w:r>
        <w:rPr>
          <w:i/>
          <w:iCs/>
        </w:rPr>
        <w:t xml:space="preserve">relative to the firm</w:t>
      </w:r>
      <w:r>
        <w:t xml:space="preserve">, not the number of workers or the raw event.</w:t>
      </w:r>
    </w:p>
    <w:p>
      <w:pPr>
        <w:pStyle w:val="BodyText"/>
      </w:pPr>
      <w:r>
        <w:t xml:space="preserve">The second strand is the</w:t>
      </w:r>
      <w:r>
        <w:t xml:space="preserve"> </w:t>
      </w:r>
      <w:r>
        <w:rPr>
          <w:i/>
          <w:iCs/>
        </w:rPr>
        <w:t xml:space="preserve">strategy and management</w:t>
      </w:r>
      <w:r>
        <w:t xml:space="preserve"> </w:t>
      </w:r>
      <w:r>
        <w:t xml:space="preserve">literature on the</w:t>
      </w:r>
      <w:r>
        <w:t xml:space="preserve"> </w:t>
      </w:r>
      <w:r>
        <w:t xml:space="preserve">consequences and interpretation of downsizing.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distinguish reactive, cost-cutting</w:t>
      </w:r>
      <w:r>
        <w:t xml:space="preserve"> </w:t>
      </w:r>
      <w:r>
        <w:t xml:space="preserve">“retrenchment”</w:t>
      </w:r>
      <w:r>
        <w:t xml:space="preserve"> </w:t>
      </w:r>
      <w:r>
        <w:t xml:space="preserve">from proactive,</w:t>
      </w:r>
      <w:r>
        <w:t xml:space="preserve"> </w:t>
      </w:r>
      <w:r>
        <w:t xml:space="preserve">strategic</w:t>
      </w:r>
      <w:r>
        <w:t xml:space="preserve"> </w:t>
      </w:r>
      <w:r>
        <w:t xml:space="preserve">“reorientation,”</w:t>
      </w:r>
      <w:r>
        <w:t xml:space="preserve"> </w:t>
      </w:r>
      <w:r>
        <w:t xml:space="preserve">and argue that the two have different performance</w:t>
      </w:r>
      <w:r>
        <w:t xml:space="preserve"> </w:t>
      </w:r>
      <w:r>
        <w:t xml:space="preserve">consequences;</w:t>
      </w:r>
      <w:r>
        <w:t xml:space="preserve"> </w:t>
      </w:r>
      <w:r>
        <w:t xml:space="preserve"> </w:t>
      </w:r>
      <w:r>
        <w:t xml:space="preserve">show the effect of downsizing on firm performance</w:t>
      </w:r>
      <w:r>
        <w:t xml:space="preserve"> </w:t>
      </w:r>
      <w:r>
        <w:t xml:space="preserve">is moderated by industry conditions. This literature is precisely about</w:t>
      </w:r>
      <w:r>
        <w:t xml:space="preserve"> </w:t>
      </w:r>
      <w:r>
        <w:rPr>
          <w:i/>
          <w:iCs/>
        </w:rPr>
        <w:t xml:space="preserve">motive</w:t>
      </w:r>
      <w:r>
        <w:t xml:space="preserve">. Our contribution is to test whether motive is legible in the one</w:t>
      </w:r>
      <w:r>
        <w:t xml:space="preserve"> </w:t>
      </w:r>
      <w:r>
        <w:t xml:space="preserve">motive-like field available in administrative data—the plant-closure-vs-layoff</w:t>
      </w:r>
      <w:r>
        <w:t xml:space="preserve"> </w:t>
      </w:r>
      <w:r>
        <w:t xml:space="preserve">category—and to show, with a power calculation, that it is not: the machine flag</w:t>
      </w:r>
      <w:r>
        <w:t xml:space="preserve"> </w:t>
      </w:r>
      <w:r>
        <w:t xml:space="preserve">is both a point-null and too imprecise to rule out the motive effect this</w:t>
      </w:r>
      <w:r>
        <w:t xml:space="preserve"> </w:t>
      </w:r>
      <w:r>
        <w:t xml:space="preserve">literature predicts. Measuring motive therefore requires the narrative, which</w:t>
      </w:r>
      <w:r>
        <w:t xml:space="preserve"> </w:t>
      </w:r>
      <w:r>
        <w:t xml:space="preserve">motivates the hand-coding step.</w:t>
      </w:r>
    </w:p>
    <w:p>
      <w:pPr>
        <w:pStyle w:val="BodyText"/>
      </w:pPr>
      <w:r>
        <w:t xml:space="preserve">The third strand is</w:t>
      </w:r>
      <w:r>
        <w:t xml:space="preserve"> </w:t>
      </w:r>
      <w:r>
        <w:rPr>
          <w:i/>
          <w:iCs/>
        </w:rPr>
        <w:t xml:space="preserve">event-study methodology and the interpretation of null</w:t>
      </w:r>
      <w:r>
        <w:rPr>
          <w:i/>
          <w:iCs/>
        </w:rPr>
        <w:t xml:space="preserve"> </w:t>
      </w:r>
      <w:r>
        <w:rPr>
          <w:i/>
          <w:iCs/>
        </w:rPr>
        <w:t xml:space="preserve">results</w:t>
      </w:r>
      <w:r>
        <w:t xml:space="preserve">. We follow the standard market-model event-study framework</w:t>
      </w:r>
      <w:r>
        <w:t xml:space="preserve"> </w:t>
      </w:r>
      <w:r>
        <w:t xml:space="preserve"> </w:t>
      </w:r>
      <w:r>
        <w:t xml:space="preserve">and, because event-induced variance and</w:t>
      </w:r>
      <w:r>
        <w:t xml:space="preserve"> </w:t>
      </w:r>
      <w:r>
        <w:t xml:space="preserve">cross-sectional correlation can distort conventional</w:t>
      </w:r>
      <w:r>
        <w:t xml:space="preserve"> </w:t>
      </w:r>
      <m:oMath>
        <m:r>
          <m:t>t</m:t>
        </m:r>
      </m:oMath>
      <w:r>
        <w:t xml:space="preserve">-tests</w:t>
      </w:r>
      <w:r>
        <w:t xml:space="preserve"> </w:t>
      </w:r>
      <w:r>
        <w:t xml:space="preserve">, we complement parametric inference with</w:t>
      </w:r>
      <w:r>
        <w:t xml:space="preserve"> </w:t>
      </w:r>
      <w:r>
        <w:t xml:space="preserve">randomization inference</w:t>
      </w:r>
      <w:r>
        <w:t xml:space="preserve"> </w:t>
      </w:r>
      <w:r>
        <w:t xml:space="preserve">, which is valid under the sharp null</w:t>
      </w:r>
      <w:r>
        <w:t xml:space="preserve"> </w:t>
      </w:r>
      <w:r>
        <w:t xml:space="preserve">without asymptotic assumptions on the number of clusters. We also follow the</w:t>
      </w:r>
      <w:r>
        <w:t xml:space="preserve"> </w:t>
      </w:r>
      <w:r>
        <w:t xml:space="preserve">guidance that a statistically insignificant estimate should be interpreted through</w:t>
      </w:r>
      <w:r>
        <w:t xml:space="preserve"> </w:t>
      </w:r>
      <w:r>
        <w:t xml:space="preserve">its power and minimum detectable effect rather than treated as proof of no effect</w:t>
      </w:r>
      <w:r>
        <w:t xml:space="preserve"> </w:t>
      </w:r>
      <w:r>
        <w:t xml:space="preserve">: Section </w:t>
      </w:r>
      <w:hyperlink w:anchor="sec:power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states the motive null as a bound</w:t>
      </w:r>
      <w:r>
        <w:t xml:space="preserve"> </w:t>
      </w:r>
      <w:r>
        <w:t xml:space="preserve">(</w:t>
      </w:r>
      <m:oMath>
        <m:r>
          <m:t>5.1</m:t>
        </m:r>
      </m:oMath>
      <w:r>
        <w:t xml:space="preserve">pp at 80% power) rather than a bare</w:t>
      </w:r>
      <w:r>
        <w:t xml:space="preserve"> </w:t>
      </w:r>
      <w:r>
        <w:t xml:space="preserve">“insignificant,”</w:t>
      </w:r>
      <w:r>
        <w:t xml:space="preserve"> </w:t>
      </w:r>
      <w:r>
        <w:t xml:space="preserve">which is what makes</w:t>
      </w:r>
      <w:r>
        <w:t xml:space="preserve"> </w:t>
      </w:r>
      <w:r>
        <w:t xml:space="preserve">the case for hand-coding quantitative rather than rhetorical.</w:t>
      </w:r>
    </w:p>
    <w:bookmarkEnd w:id="13"/>
    <w:bookmarkStart w:id="14" w:name="sec:hyp"/>
    <w:p>
      <w:pPr>
        <w:pStyle w:val="Heading1"/>
      </w:pPr>
      <w:r>
        <w:t xml:space="preserve">Hypotheses</w:t>
      </w:r>
    </w:p>
    <w:p>
      <w:pPr>
        <w:pStyle w:val="FirstParagraph"/>
      </w:pPr>
      <w:r>
        <w:t xml:space="preserve">Layoff announcements carry two offsetting signals</w:t>
      </w:r>
      <w:r>
        <w:t xml:space="preserve"> </w:t>
      </w:r>
      <w:r>
        <w:t xml:space="preserve">. A</w:t>
      </w:r>
      <w:r>
        <w:t xml:space="preserve"> </w:t>
      </w:r>
      <w:r>
        <w:t xml:space="preserve">cut can be</w:t>
      </w:r>
      <w:r>
        <w:t xml:space="preserve"> </w:t>
      </w:r>
      <w:r>
        <w:rPr>
          <w:i/>
          <w:iCs/>
        </w:rPr>
        <w:t xml:space="preserve">good news</w:t>
      </w:r>
      <w:r>
        <w:t xml:space="preserve">—evidence that management is disciplined and is</w:t>
      </w:r>
      <w:r>
        <w:t xml:space="preserve"> </w:t>
      </w:r>
      <w:r>
        <w:t xml:space="preserve">lowering the cost base (an</w:t>
      </w:r>
      <w:r>
        <w:t xml:space="preserve"> </w:t>
      </w:r>
      <w:r>
        <w:t xml:space="preserve">“efficiency”</w:t>
      </w:r>
      <w:r>
        <w:t xml:space="preserve"> </w:t>
      </w:r>
      <w:r>
        <w:t xml:space="preserve">signal)—or</w:t>
      </w:r>
      <w:r>
        <w:t xml:space="preserve"> </w:t>
      </w:r>
      <w:r>
        <w:rPr>
          <w:i/>
          <w:iCs/>
        </w:rPr>
        <w:t xml:space="preserve">bad news</w:t>
      </w:r>
      <w:r>
        <w:t xml:space="preserve">—evidence</w:t>
      </w:r>
      <w:r>
        <w:t xml:space="preserve"> </w:t>
      </w:r>
      <w:r>
        <w:t xml:space="preserve">that demand for the firm’s product is falling (a</w:t>
      </w:r>
      <w:r>
        <w:t xml:space="preserve"> </w:t>
      </w:r>
      <w:r>
        <w:t xml:space="preserve">“demand”</w:t>
      </w:r>
      <w:r>
        <w:t xml:space="preserve"> </w:t>
      </w:r>
      <w:r>
        <w:t xml:space="preserve">signal). Which</w:t>
      </w:r>
      <w:r>
        <w:t xml:space="preserve"> </w:t>
      </w:r>
      <w:r>
        <w:t xml:space="preserve">dominates should depend on how material the cut is and on why it is being made.</w:t>
      </w:r>
    </w:p>
    <w:p>
      <w:pPr>
        <w:pStyle w:val="BlockText"/>
      </w:pPr>
      <w:r>
        <w:rPr>
          <w:b/>
          <w:bCs/>
        </w:rPr>
        <w:t xml:space="preserve">H1 (Average reaction).</w:t>
      </w:r>
      <w:r>
        <w:t xml:space="preserve"> </w:t>
      </w:r>
      <w:r>
        <w:t xml:space="preserve">The average CAR around a WARN mass-layoff notice</w:t>
      </w:r>
      <w:r>
        <w:t xml:space="preserve"> </w:t>
      </w:r>
      <w:r>
        <w:t xml:space="preserve">is non-zero. (Sign is an empirical question: the efficiency and demand signals</w:t>
      </w:r>
      <w:r>
        <w:t xml:space="preserve"> </w:t>
      </w:r>
      <w:r>
        <w:t xml:space="preserve">push in opposite directions.)</w:t>
      </w:r>
    </w:p>
    <w:p>
      <w:pPr>
        <w:pStyle w:val="FirstParagraph"/>
      </w:pPr>
      <w:r>
        <w:t xml:space="preserve">A cut that is large relative to the firm is more likely to be read as a demand</w:t>
      </w:r>
      <w:r>
        <w:t xml:space="preserve"> </w:t>
      </w:r>
      <w:r>
        <w:t xml:space="preserve">signal about the whole franchise, whereas a cut that is trivial relative to the</w:t>
      </w:r>
      <w:r>
        <w:t xml:space="preserve"> </w:t>
      </w:r>
      <w:r>
        <w:t xml:space="preserve">firm is noise.</w:t>
      </w:r>
    </w:p>
    <w:p>
      <w:pPr>
        <w:pStyle w:val="BlockText"/>
      </w:pPr>
      <w:r>
        <w:rPr>
          <w:b/>
          <w:bCs/>
        </w:rPr>
        <w:t xml:space="preserve">H2 (Materiality).</w:t>
      </w:r>
      <w:r>
        <w:t xml:space="preserve"> </w:t>
      </w:r>
      <w:r>
        <w:t xml:space="preserve">CARs are decreasing in the size of the layoff</w:t>
      </w:r>
      <w:r>
        <w:t xml:space="preserve"> </w:t>
      </w:r>
      <w:r>
        <w:rPr>
          <w:i/>
          <w:iCs/>
        </w:rPr>
        <w:t xml:space="preserve">relative to the firm</w:t>
      </w:r>
      <w:r>
        <w:t xml:space="preserve"> </w:t>
      </w:r>
      <w:r>
        <w:t xml:space="preserve">(relative-layoff ratio), and, equivalently,</w:t>
      </w:r>
      <w:r>
        <w:t xml:space="preserve"> </w:t>
      </w:r>
      <w:r>
        <w:t xml:space="preserve">increasing in firm size. Absolute headcount, which does not scale by the firm,</w:t>
      </w:r>
      <w:r>
        <w:t xml:space="preserve"> </w:t>
      </w:r>
      <w:r>
        <w:t xml:space="preserve">should matter less.</w:t>
      </w:r>
    </w:p>
    <w:p>
      <w:pPr>
        <w:pStyle w:val="FirstParagraph"/>
      </w:pPr>
      <w:r>
        <w:t xml:space="preserve">Finally, the motive. A layoff that</w:t>
      </w:r>
      <w:r>
        <w:t xml:space="preserve"> </w:t>
      </w:r>
      <w:r>
        <w:rPr>
          <w:i/>
          <w:iCs/>
        </w:rPr>
        <w:t xml:space="preserve">reallocates</w:t>
      </w:r>
      <w:r>
        <w:t xml:space="preserve"> </w:t>
      </w:r>
      <w:r>
        <w:t xml:space="preserve">resources away from a</w:t>
      </w:r>
      <w:r>
        <w:t xml:space="preserve"> </w:t>
      </w:r>
      <w:r>
        <w:t xml:space="preserve">declining business (often a plant closure) toward better uses may be read</w:t>
      </w:r>
      <w:r>
        <w:t xml:space="preserve"> </w:t>
      </w:r>
      <w:r>
        <w:t xml:space="preserve">differently from a defensive, across-the-board</w:t>
      </w:r>
      <w:r>
        <w:t xml:space="preserve"> </w:t>
      </w:r>
      <w:r>
        <w:rPr>
          <w:i/>
          <w:iCs/>
        </w:rPr>
        <w:t xml:space="preserve">cost-cutting</w:t>
      </w:r>
      <w:r>
        <w:t xml:space="preserve"> </w:t>
      </w:r>
      <w:r>
        <w:t xml:space="preserve">layoff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H3 (Motive).</w:t>
      </w:r>
      <w:r>
        <w:t xml:space="preserve"> </w:t>
      </w:r>
      <w:r>
        <w:t xml:space="preserve">CARs differ by layoff motive. If the administrative</w:t>
      </w:r>
      <w:r>
        <w:t xml:space="preserve"> </w:t>
      </w:r>
      <w:r>
        <w:t xml:space="preserve">closure-vs-layoff flag captures motive, closures and ongoing-operation layoffs</w:t>
      </w:r>
      <w:r>
        <w:t xml:space="preserve"> </w:t>
      </w:r>
      <w:r>
        <w:t xml:space="preserve">should earn different CARs; if it does not, the flag will be uninformative and</w:t>
      </w:r>
      <w:r>
        <w:t xml:space="preserve"> </w:t>
      </w:r>
      <w:r>
        <w:t xml:space="preserve">motive must be measured from the announcement itself.</w:t>
      </w:r>
    </w:p>
    <w:bookmarkEnd w:id="14"/>
    <w:bookmarkStart w:id="19" w:name="sec:data"/>
    <w:p>
      <w:pPr>
        <w:pStyle w:val="Heading1"/>
      </w:pPr>
      <w:r>
        <w:t xml:space="preserve">Data and Variables</w:t>
      </w:r>
    </w:p>
    <w:bookmarkStart w:id="15" w:name="warn-notices."/>
    <w:p>
      <w:pPr>
        <w:pStyle w:val="Heading4"/>
      </w:pPr>
      <w:r>
        <w:t xml:space="preserve">WARN notices.</w:t>
      </w:r>
    </w:p>
    <w:p>
      <w:pPr>
        <w:pStyle w:val="FirstParagraph"/>
      </w:pPr>
      <w:r>
        <w:t xml:space="preserve">The WARN Act requires employers with 100+ workers to</w:t>
      </w:r>
      <w:r>
        <w:t xml:space="preserve"> </w:t>
      </w:r>
      <w:r>
        <w:t xml:space="preserve">give 60 days’ notice of a plant closing or mass layoff; states publish the</w:t>
      </w:r>
      <w:r>
        <w:t xml:space="preserve"> </w:t>
      </w:r>
      <w:r>
        <w:t xml:space="preserve">notices. We use three machine-readable state sources: the California EDD detailed</w:t>
      </w:r>
      <w:r>
        <w:t xml:space="preserve"> </w:t>
      </w:r>
      <w:r>
        <w:t xml:space="preserve">WARN reports (four fiscal-year files, 07/2022–06/2026, parsed from the official</w:t>
      </w:r>
      <w:r>
        <w:t xml:space="preserve"> </w:t>
      </w:r>
      <w:r>
        <w:t xml:space="preserve">PDF/XLSX), the Texas Workforce Commission WARN dataset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data.texas.gov</w:t>
      </w:r>
      <w:r>
        <w:t xml:space="preserve">), and the Oregon WARN dataset (</w:t>
      </w:r>
      <w:r>
        <w:rPr>
          <w:rStyle w:val="VerbatimChar"/>
        </w:rPr>
        <w:t xml:space="preserve">data.oregon.gov</w:t>
      </w:r>
      <w:r>
        <w:t xml:space="preserve">).</w:t>
      </w:r>
      <w:r>
        <w:t xml:space="preserve"> </w:t>
      </w:r>
      <w:r>
        <w:t xml:space="preserve">Each notice carries the filer name, the notice date, the number of employees</w:t>
      </w:r>
      <w:r>
        <w:t xml:space="preserve"> </w:t>
      </w:r>
      <w:r>
        <w:t xml:space="preserve">affected, the location, and (in CA/OR) a layoff/closure type. Pooling and</w:t>
      </w:r>
      <w:r>
        <w:t xml:space="preserve"> </w:t>
      </w:r>
      <w:r>
        <w:t xml:space="preserve">restricting to 2022–2025 gives 6</w:t>
      </w:r>
      <w:r>
        <w:t xml:space="preserve">,</w:t>
      </w:r>
      <w:r>
        <w:t xml:space="preserve">560 notices from 3</w:t>
      </w:r>
      <w:r>
        <w:t xml:space="preserve">,</w:t>
      </w:r>
      <w:r>
        <w:t xml:space="preserve">450 distinct filer names</w:t>
      </w:r>
      <w:r>
        <w:t xml:space="preserve"> </w:t>
      </w:r>
      <w:r>
        <w:t xml:space="preserve">(CA 5</w:t>
      </w:r>
      <w:r>
        <w:t xml:space="preserve">,</w:t>
      </w:r>
      <w:r>
        <w:t xml:space="preserve">548; TX 815; OR 190; a few notices in other states appear in the Oregon</w:t>
      </w:r>
      <w:r>
        <w:t xml:space="preserve"> </w:t>
      </w:r>
      <w:r>
        <w:t xml:space="preserve">cross-file).</w:t>
      </w:r>
    </w:p>
    <w:bookmarkEnd w:id="15"/>
    <w:bookmarkStart w:id="16" w:name="matching-to-listed-firms."/>
    <w:p>
      <w:pPr>
        <w:pStyle w:val="Heading4"/>
      </w:pPr>
      <w:r>
        <w:t xml:space="preserve">Matching to listed firms.</w:t>
      </w:r>
    </w:p>
    <w:p>
      <w:pPr>
        <w:pStyle w:val="FirstParagraph"/>
      </w:pPr>
      <w:r>
        <w:t xml:space="preserve">WARN filers are operating names at a job</w:t>
      </w:r>
      <w:r>
        <w:t xml:space="preserve"> </w:t>
      </w:r>
      <w:r>
        <w:t xml:space="preserve">site (</w:t>
      </w:r>
      <w:r>
        <w:t xml:space="preserve">“Amgen,”</w:t>
      </w:r>
      <w:r>
        <w:t xml:space="preserve"> </w:t>
      </w:r>
      <w:r>
        <w:t xml:space="preserve">“Applied Materials, Inc. (557 E. Ca…)”</w:t>
      </w:r>
      <w:r>
        <w:t xml:space="preserve">). We build a name</w:t>
      </w:r>
      <w:r>
        <w:t xml:space="preserve"> </w:t>
      </w:r>
      <w:r>
        <w:t xml:space="preserve">universe of U.S. common stocks active 2021–2026 from CRSP (</w:t>
      </w:r>
      <w:r>
        <w:rPr>
          <w:rStyle w:val="VerbatimChar"/>
        </w:rPr>
        <w:t xml:space="preserve">stocknames</w:t>
      </w:r>
      <w:r>
        <w:t xml:space="preserve">)</w:t>
      </w:r>
      <w:r>
        <w:t xml:space="preserve"> </w:t>
      </w:r>
      <w:r>
        <w:t xml:space="preserve">plus Compustat legal names (</w:t>
      </w:r>
      <w:r>
        <w:rPr>
          <w:rStyle w:val="VerbatimChar"/>
        </w:rPr>
        <w:t xml:space="preserve">company</w:t>
      </w:r>
      <w:r>
        <w:t xml:space="preserve">) linked to permno via the</w:t>
      </w:r>
      <w:r>
        <w:t xml:space="preserve"> </w:t>
      </w:r>
      <w:r>
        <w:t xml:space="preserve">CRSP/Compustat link, normalize both sides (dropping legal suffixes,</w:t>
      </w:r>
      <w:r>
        <w:t xml:space="preserve"> </w:t>
      </w:r>
      <w:r>
        <w:t xml:space="preserve">“dba”</w:t>
      </w:r>
      <w:r>
        <w:t xml:space="preserve"> </w:t>
      </w:r>
      <w:r>
        <w:t xml:space="preserve">trade</w:t>
      </w:r>
      <w:r>
        <w:t xml:space="preserve"> </w:t>
      </w:r>
      <w:r>
        <w:t xml:space="preserve">names, and store/site numbers), and fuzzy-match each filer to the nearest listed</w:t>
      </w:r>
      <w:r>
        <w:t xml:space="preserve"> </w:t>
      </w:r>
      <w:r>
        <w:t xml:space="preserve">name with a token-set score, keeping a match only when it clears a strict score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 leading-anchor test (the filer name and the listed name share their</w:t>
      </w:r>
      <w:r>
        <w:t xml:space="preserve"> </w:t>
      </w:r>
      <w:r>
        <w:t xml:space="preserve">first distinctive token). This high-precision pass matches 738 distinct filer</w:t>
      </w:r>
      <w:r>
        <w:t xml:space="preserve"> </w:t>
      </w:r>
      <w:r>
        <w:t xml:space="preserve">names to 412 listed firms. It deliberately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brand/subsidiary filings</w:t>
      </w:r>
      <w:r>
        <w:t xml:space="preserve"> </w:t>
      </w:r>
      <w:r>
        <w:t xml:space="preserve">(</w:t>
      </w:r>
      <w:r>
        <w:t xml:space="preserve">“Pixar”</w:t>
      </w:r>
      <m:oMath>
        <m:r>
          <m:rPr>
            <m:sty m:val="p"/>
          </m:rPr>
          <m:t>→</m:t>
        </m:r>
      </m:oMath>
      <w:r>
        <w:t xml:space="preserve">Disney,</w:t>
      </w:r>
      <w:r>
        <w:t xml:space="preserve"> </w:t>
      </w:r>
      <w:r>
        <w:t xml:space="preserve">“Optum”</w:t>
      </w:r>
      <m:oMath>
        <m:r>
          <m:rPr>
            <m:sty m:val="p"/>
          </m:rPr>
          <m:t>→</m:t>
        </m:r>
      </m:oMath>
      <w:r>
        <w:t xml:space="preserve">UnitedHealth); resolving those and verifying</w:t>
      </w:r>
      <w:r>
        <w:t xml:space="preserve"> </w:t>
      </w:r>
      <w:r>
        <w:t xml:space="preserve">the automated matches is a hand task (</w:t>
      </w:r>
      <w:r>
        <w:rPr>
          <w:rStyle w:val="VerbatimChar"/>
        </w:rPr>
        <w:t xml:space="preserve">STUDENT_TASKS.md</w:t>
      </w:r>
      <w:r>
        <w:t xml:space="preserve">). Because the</w:t>
      </w:r>
      <w:r>
        <w:t xml:space="preserve"> </w:t>
      </w:r>
      <w:r>
        <w:t xml:space="preserve">event study rests entirely on these matches, this precision-over-recall choice is</w:t>
      </w:r>
      <w:r>
        <w:t xml:space="preserve"> </w:t>
      </w:r>
      <w:r>
        <w:t xml:space="preserve">deliberate: a false match injects an unrelated firm’s return into the sample,</w:t>
      </w:r>
      <w:r>
        <w:t xml:space="preserve"> </w:t>
      </w:r>
      <w:r>
        <w:t xml:space="preserve">whereas a missed match merely omits an event. The hand-verification and</w:t>
      </w:r>
      <w:r>
        <w:t xml:space="preserve"> </w:t>
      </w:r>
      <w:r>
        <w:t xml:space="preserve">brand-rescue steps reserved for the student directly raise recall without</w:t>
      </w:r>
      <w:r>
        <w:t xml:space="preserve"> </w:t>
      </w:r>
      <w:r>
        <w:t xml:space="preserve">sacrificing precision.</w:t>
      </w:r>
    </w:p>
    <w:bookmarkEnd w:id="16"/>
    <w:bookmarkStart w:id="17" w:name="from-notices-to-events."/>
    <w:p>
      <w:pPr>
        <w:pStyle w:val="Heading4"/>
      </w:pPr>
      <w:r>
        <w:t xml:space="preserve">From notices to events.</w:t>
      </w:r>
    </w:p>
    <w:p>
      <w:pPr>
        <w:pStyle w:val="FirstParagraph"/>
      </w:pPr>
      <w:r>
        <w:t xml:space="preserve">Firms often file several site notices within</w:t>
      </w:r>
      <w:r>
        <w:t xml:space="preserve"> </w:t>
      </w:r>
      <w:r>
        <w:t xml:space="preserve">days. We cluster a firm’s notices into</w:t>
      </w:r>
      <w:r>
        <w:t xml:space="preserve"> </w:t>
      </w:r>
      <w:r>
        <w:rPr>
          <w:i/>
          <w:iCs/>
        </w:rPr>
        <w:t xml:space="preserve">events</w:t>
      </w:r>
      <w:r>
        <w:t xml:space="preserve">: a new event begins when a</w:t>
      </w:r>
      <w:r>
        <w:t xml:space="preserve"> </w:t>
      </w:r>
      <w:r>
        <w:t xml:space="preserve">notice is more than 20 calendar days after the current event’s first notice; the</w:t>
      </w:r>
      <w:r>
        <w:t xml:space="preserve"> </w:t>
      </w:r>
      <w:r>
        <w:t xml:space="preserve">event date is the first notice in the cluster and headcount is the cluster sum.</w:t>
      </w:r>
      <w:r>
        <w:t xml:space="preserve"> </w:t>
      </w:r>
      <w:r>
        <w:t xml:space="preserve">This yields 852 firm-events at 412 firms. Merging Compustat fundamentals (most</w:t>
      </w:r>
      <w:r>
        <w:t xml:space="preserve"> </w:t>
      </w:r>
      <w:r>
        <w:t xml:space="preserve">recent fiscal year before the event: assets, employees, sales, market cap,</w:t>
      </w:r>
      <w:r>
        <w:t xml:space="preserve"> </w:t>
      </w:r>
      <w:r>
        <w:t xml:space="preserve">industry) and CRSP returns leaves 615 firm-events at 328 firms with a valid</w:t>
      </w:r>
      <w:r>
        <w:t xml:space="preserve"> </w:t>
      </w:r>
      <w:r>
        <w:t xml:space="preserve">market model.</w:t>
      </w:r>
    </w:p>
    <w:bookmarkEnd w:id="17"/>
    <w:bookmarkStart w:id="18" w:name="variables."/>
    <w:p>
      <w:pPr>
        <w:pStyle w:val="Heading4"/>
      </w:pPr>
      <w:r>
        <w:t xml:space="preserve">Variables.</w:t>
      </w:r>
    </w:p>
    <w:p>
      <w:pPr>
        <w:pStyle w:val="FirstParagraph"/>
      </w:pPr>
      <w:r>
        <w:rPr>
          <w:i/>
          <w:iCs/>
        </w:rPr>
        <w:t xml:space="preserve">Relative layoff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cluster headcount</w:t>
      </w:r>
      <w:r>
        <w:t xml:space="preserve"> </w:t>
      </w:r>
      <m:oMath>
        <m:r>
          <m:rPr>
            <m:sty m:val="p"/>
          </m:rPr>
          <m:t>/</m:t>
        </m:r>
      </m:oMath>
      <w:r>
        <w:t xml:space="preserve"> </w:t>
      </w:r>
      <w:r>
        <w:t xml:space="preserve">total</w:t>
      </w:r>
      <w:r>
        <w:t xml:space="preserve"> </w:t>
      </w:r>
      <w:r>
        <w:t xml:space="preserve">firm employees.</w:t>
      </w:r>
      <w:r>
        <w:t xml:space="preserve"> </w:t>
      </w:r>
      <w:r>
        <w:rPr>
          <w:i/>
          <w:iCs/>
        </w:rPr>
        <w:t xml:space="preserve">Firm size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nor/>
            <m:sty m:val="p"/>
          </m:rPr>
          <m:t>assets</m:t>
        </m:r>
        <m:r>
          <m:rPr>
            <m:sty m:val="p"/>
          </m:rPr>
          <m:t>)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nor/>
            <m:sty m:val="p"/>
          </m:rPr>
          <m:t>market
    cap</m:t>
        </m:r>
        <m:r>
          <m:rPr>
            <m:sty m:val="p"/>
          </m:rPr>
          <m:t>)</m:t>
        </m:r>
      </m:oMath>
      <w:r>
        <w:t xml:space="preserve"> </w:t>
      </w:r>
      <w:r>
        <w:t xml:space="preserve">in robustness).</w:t>
      </w:r>
      <w:r>
        <w:t xml:space="preserve"> </w:t>
      </w:r>
      <w:r>
        <w:rPr>
          <w:i/>
          <w:iCs/>
        </w:rPr>
        <w:t xml:space="preserve">Closure</w:t>
      </w:r>
      <w:r>
        <w:t xml:space="preserve"> </w:t>
      </w:r>
      <w:r>
        <w:t xml:space="preserve">is an indicator that the filing’s type</w:t>
      </w:r>
      <w:r>
        <w:t xml:space="preserve"> </w:t>
      </w:r>
      <w:r>
        <w:t xml:space="preserve">field contains</w:t>
      </w:r>
      <w:r>
        <w:t xml:space="preserve"> </w:t>
      </w:r>
      <w:r>
        <w:t xml:space="preserve">“closure”</w:t>
      </w:r>
      <w:r>
        <w:t xml:space="preserve"> </w:t>
      </w:r>
      <w:r>
        <w:t xml:space="preserve">(our crude reallocation/exit proxy).</w:t>
      </w:r>
      <w:r>
        <w:t xml:space="preserve"> </w:t>
      </w:r>
      <w:r>
        <w:rPr>
          <w:i/>
          <w:iCs/>
        </w:rPr>
        <w:t xml:space="preserve">Tech</w:t>
      </w:r>
      <w:r>
        <w:t xml:space="preserve"> </w:t>
      </w:r>
      <w:r>
        <w:t xml:space="preserve">is an</w:t>
      </w:r>
      <w:r>
        <w:t xml:space="preserve"> </w:t>
      </w:r>
      <w:r>
        <w:t xml:space="preserve">indicator for computer/electronics/software SIC codes. In the extended</w:t>
      </w:r>
      <w:r>
        <w:t xml:space="preserve"> </w:t>
      </w:r>
      <w:r>
        <w:t xml:space="preserve">heterogeneity analysis we add three further</w:t>
      </w:r>
      <w:r>
        <w:t xml:space="preserve"> </w:t>
      </w:r>
      <w:r>
        <w:rPr>
          <w:i/>
          <w:iCs/>
        </w:rPr>
        <w:t xml:space="preserve">observable</w:t>
      </w:r>
      <w:r>
        <w:t xml:space="preserve"> </w:t>
      </w:r>
      <w:r>
        <w:t xml:space="preserve">moderators, all</w:t>
      </w:r>
      <w:r>
        <w:t xml:space="preserve"> </w:t>
      </w:r>
      <w:r>
        <w:t xml:space="preserve">measured at the pre-event fiscal year and all deliberately orthogonal to the</w:t>
      </w:r>
      <w:r>
        <w:t xml:space="preserve"> </w:t>
      </w:r>
      <w:r>
        <w:t xml:space="preserve">reserved hand-coded motive: market-to-assets (</w:t>
      </w:r>
      <m:oMath>
        <m:r>
          <m:rPr>
            <m:nor/>
            <m:sty m:val="p"/>
          </m:rPr>
          <m:t>market cap</m:t>
        </m:r>
        <m:r>
          <m:rPr>
            <m:sty m:val="p"/>
          </m:rPr>
          <m:t>/</m:t>
        </m:r>
        <m:r>
          <m:rPr>
            <m:nor/>
            <m:sty m:val="p"/>
          </m:rPr>
          <m:t>assets</m:t>
        </m:r>
      </m:oMath>
      <w:r>
        <w:t xml:space="preserve">, a</w:t>
      </w:r>
      <w:r>
        <w:t xml:space="preserve"> </w:t>
      </w:r>
      <w:r>
        <w:t xml:space="preserve">glamour/growth proxy), asset turnover (</w:t>
      </w:r>
      <m:oMath>
        <m:r>
          <m:rPr>
            <m:nor/>
            <m:sty m:val="p"/>
          </m:rPr>
          <m:t>sales</m:t>
        </m:r>
        <m:r>
          <m:rPr>
            <m:sty m:val="p"/>
          </m:rPr>
          <m:t>/</m:t>
        </m:r>
        <m:r>
          <m:rPr>
            <m:nor/>
            <m:sty m:val="p"/>
          </m:rPr>
          <m:t>assets</m:t>
        </m:r>
      </m:oMath>
      <w:r>
        <w:t xml:space="preserve">), and a</w:t>
      </w:r>
      <w:r>
        <w:t xml:space="preserve"> </w:t>
      </w:r>
      <w:r>
        <w:t xml:space="preserve">goods-producing (non-tech manufacturing) indicator. Continuous predictors are</w:t>
      </w:r>
      <w:r>
        <w:t xml:space="preserve"> </w:t>
      </w:r>
      <w:r>
        <w:t xml:space="preserve">winsorized at 1/99 and standardized, so a coefficient is the effect of a one-SD</w:t>
      </w:r>
      <w:r>
        <w:t xml:space="preserve"> </w:t>
      </w:r>
      <w:r>
        <w:t xml:space="preserve">increase, in CAR points. Table </w:t>
      </w:r>
      <w:hyperlink w:anchor="tab:sumstat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reports summary statistics: the</w:t>
      </w:r>
      <w:r>
        <w:t xml:space="preserve"> </w:t>
      </w:r>
      <w:r>
        <w:t xml:space="preserve">median WARN event lays off 86 workers,</w:t>
      </w:r>
      <w:r>
        <w:t xml:space="preserve"> </w:t>
      </w:r>
      <m:oMath>
        <m:r>
          <m:t>0.8</m:t>
        </m:r>
        <m:r>
          <m:rPr>
            <m:sty m:val="p"/>
          </m:rPr>
          <m:t>%</m:t>
        </m:r>
      </m:oMath>
      <w:r>
        <w:t xml:space="preserve"> </w:t>
      </w:r>
      <w:r>
        <w:t xml:space="preserve">of the firm’s workforce, at a firm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$</m:t>
        </m:r>
        <m:r>
          <m:t>8</m:t>
        </m:r>
      </m:oMath>
      <w:r>
        <w:t xml:space="preserve">B in assets—confirming these are locally large but firm-level small</w:t>
      </w:r>
      <w:r>
        <w:t xml:space="preserve"> </w:t>
      </w:r>
      <w:r>
        <w:t xml:space="preserve">cuts at sizable public companies.</w:t>
      </w:r>
    </w:p>
    <w:bookmarkEnd w:id="18"/>
    <w:bookmarkEnd w:id="19"/>
    <w:bookmarkStart w:id="22" w:name="sec:design"/>
    <w:p>
      <w:pPr>
        <w:pStyle w:val="Heading1"/>
      </w:pPr>
      <w:r>
        <w:t xml:space="preserve">Research Design and Inference</w:t>
      </w:r>
    </w:p>
    <w:bookmarkStart w:id="20" w:name="event-study."/>
    <w:p>
      <w:pPr>
        <w:pStyle w:val="Heading4"/>
      </w:pPr>
      <w:r>
        <w:t xml:space="preserve">Event study.</w:t>
      </w:r>
    </w:p>
    <w:p>
      <w:pPr>
        <w:pStyle w:val="FirstParagraph"/>
      </w:pPr>
      <w:r>
        <w:t xml:space="preserve">Day 0 is the first trading day on/after the notice date.</w:t>
      </w:r>
      <w:r>
        <w:t xml:space="preserve"> </w:t>
      </w:r>
      <w:r>
        <w:t xml:space="preserve">We estimate the market model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i</m:t>
            </m:r>
          </m:sub>
        </m:sSub>
        <m:sSub>
          <m:e>
            <m:r>
              <m:t>R</m:t>
            </m:r>
          </m:e>
          <m:sub>
            <m:r>
              <m:t>m</m:t>
            </m:r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252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46</m:t>
        </m:r>
        <m:r>
          <m:rPr>
            <m:sty m:val="p"/>
          </m:rPr>
          <m:t>]</m:t>
        </m:r>
      </m:oMath>
      <w:r>
        <w:t xml:space="preserve"> </w:t>
      </w:r>
      <w:r>
        <w:t xml:space="preserve">against the CRSP value-weighted index and cumulate abnormal returns</w:t>
      </w:r>
      <w:r>
        <w:t xml:space="preserve"> </w:t>
      </w:r>
      <w:r>
        <w:t xml:space="preserve">over several windows. The cross-sectional regressions take a CAR as the dependent</w:t>
      </w:r>
      <w:r>
        <w:t xml:space="preserve"> </w:t>
      </w:r>
      <w:r>
        <w:t xml:space="preserve">variable and firm/layoff characteristics as regressors, with standard errors</w:t>
      </w:r>
      <w:r>
        <w:t xml:space="preserve"> </w:t>
      </w:r>
      <w:r>
        <w:t xml:space="preserve">clustered by firm (some firms file multiple events).</w:t>
      </w:r>
    </w:p>
    <w:bookmarkEnd w:id="20"/>
    <w:bookmarkStart w:id="21" w:name="inference."/>
    <w:p>
      <w:pPr>
        <w:pStyle w:val="Heading4"/>
      </w:pPr>
      <w:r>
        <w:t xml:space="preserve">Inference.</w:t>
      </w:r>
    </w:p>
    <w:p>
      <w:pPr>
        <w:pStyle w:val="FirstParagraph"/>
      </w:pPr>
      <w:r>
        <w:t xml:space="preserve">Cross-sectional event-study</w:t>
      </w:r>
      <w:r>
        <w:t xml:space="preserve"> </w:t>
      </w:r>
      <m:oMath>
        <m:r>
          <m:t>t</m:t>
        </m:r>
      </m:oMath>
      <w:r>
        <w:t xml:space="preserve">-tests can be distorted by</w:t>
      </w:r>
      <w:r>
        <w:t xml:space="preserve"> </w:t>
      </w:r>
      <w:r>
        <w:t xml:space="preserve">event-induced variance and by cross-sectional correlation among abnormal returns</w:t>
      </w:r>
      <w:r>
        <w:t xml:space="preserve"> </w:t>
      </w:r>
      <w:r>
        <w:t xml:space="preserve">. We take three precautions beyond</w:t>
      </w:r>
      <w:r>
        <w:t xml:space="preserve"> </w:t>
      </w:r>
      <w:r>
        <w:t xml:space="preserve">clustered standard errors. First, we report a pre-event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placebo window,</w:t>
      </w:r>
      <w:r>
        <w:t xml:space="preserve"> </w:t>
      </w:r>
      <w:r>
        <w:t xml:space="preserve">which should be zero if the reaction is news rather than anticipation or a</w:t>
      </w:r>
      <w:r>
        <w:t xml:space="preserve"> </w:t>
      </w:r>
      <w:r>
        <w:t xml:space="preserve">pre-trend. Second, we subject the two coefficients that carry the paper—the</w:t>
      </w:r>
      <w:r>
        <w:t xml:space="preserve"> </w:t>
      </w:r>
      <w:r>
        <w:t xml:space="preserve">materiality slope and the machine-motive (closure) coefficient—to</w:t>
      </w:r>
      <w:r>
        <w:t xml:space="preserve"> </w:t>
      </w:r>
      <w:r>
        <w:rPr>
          <w:i/>
          <w:iCs/>
        </w:rPr>
        <w:t xml:space="preserve">randomization inference</w:t>
      </w:r>
      <w:r>
        <w:t xml:space="preserve">: we permute the regressor across events 2</w:t>
      </w:r>
      <w:r>
        <w:t xml:space="preserve">,</w:t>
      </w:r>
      <w:r>
        <w:t xml:space="preserve">000</w:t>
      </w:r>
      <w:r>
        <w:t xml:space="preserve"> </w:t>
      </w:r>
      <w:r>
        <w:t xml:space="preserve">times and compare the actual coefficient to the permutation distribution, yielding</w:t>
      </w:r>
      <w:r>
        <w:t xml:space="preserve"> </w:t>
      </w:r>
      <w:r>
        <w:t xml:space="preserve">a design-based</w:t>
      </w:r>
      <w:r>
        <w:t xml:space="preserve"> </w:t>
      </w:r>
      <m:oMath>
        <m:r>
          <m:t>p</m:t>
        </m:r>
      </m:oMath>
      <w:r>
        <w:t xml:space="preserve">-value that is valid under the sharp null without asymptotic</w:t>
      </w:r>
      <w:r>
        <w:t xml:space="preserve"> </w:t>
      </w:r>
      <w:r>
        <w:t xml:space="preserve">assumptions</w:t>
      </w:r>
      <w:r>
        <w:t xml:space="preserve"> </w:t>
      </w:r>
      <w:r>
        <w:t xml:space="preserve">. Third, we re-derive the CARs under three</w:t>
      </w:r>
      <w:r>
        <w:t xml:space="preserve"> </w:t>
      </w:r>
      <w:r>
        <w:t xml:space="preserve">alternative abnormal-return benchmarks straight from the raw daily returns, so the</w:t>
      </w:r>
      <w:r>
        <w:t xml:space="preserve"> </w:t>
      </w:r>
      <w:r>
        <w:t xml:space="preserve">result cannot be an artifact of the market-model specification. Finally, we convert</w:t>
      </w:r>
      <w:r>
        <w:t xml:space="preserve"> </w:t>
      </w:r>
      <w:r>
        <w:t xml:space="preserve">“insignificant”</w:t>
      </w:r>
      <w:r>
        <w:t xml:space="preserve"> </w:t>
      </w:r>
      <w:r>
        <w:t xml:space="preserve">into a bound by reporting the minimum detectable effect at 80%</w:t>
      </w:r>
      <w:r>
        <w:t xml:space="preserve"> </w:t>
      </w:r>
      <w:r>
        <w:t xml:space="preserve">power for each key coefficient</w:t>
      </w:r>
      <w:r>
        <w:t xml:space="preserve"> </w:t>
      </w:r>
      <w:r>
        <w:t xml:space="preserve">. None of these steps uses the</w:t>
      </w:r>
      <w:r>
        <w:t xml:space="preserve"> </w:t>
      </w:r>
      <w:r>
        <w:t xml:space="preserve">reserved hand-coded motive; all use observable data only.</w:t>
      </w:r>
    </w:p>
    <w:bookmarkEnd w:id="21"/>
    <w:bookmarkEnd w:id="22"/>
    <w:bookmarkStart w:id="26" w:name="sec:res"/>
    <w:p>
      <w:pPr>
        <w:pStyle w:val="Heading1"/>
      </w:pPr>
      <w:r>
        <w:t xml:space="preserve">Main Results</w:t>
      </w:r>
    </w:p>
    <w:bookmarkStart w:id="23" w:name="the-average-reaction-h1."/>
    <w:p>
      <w:pPr>
        <w:pStyle w:val="Heading4"/>
      </w:pPr>
      <w:r>
        <w:t xml:space="preserve">The average reaction (H1).</w:t>
      </w:r>
    </w:p>
    <w:p>
      <w:pPr>
        <w:pStyle w:val="FirstParagraph"/>
      </w:pPr>
      <w:r>
        <w:t xml:space="preserve">Table </w:t>
      </w:r>
      <w:hyperlink w:anchor="tab:car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Figure </w:t>
      </w:r>
      <w:hyperlink w:anchor="fig:path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give the event-study result. The market marks the stock</w:t>
      </w:r>
      <w:r>
        <w:t xml:space="preserve"> </w:t>
      </w:r>
      <w:r>
        <w:rPr>
          <w:i/>
          <w:iCs/>
        </w:rPr>
        <w:t xml:space="preserve">down</w:t>
      </w:r>
      <w:r>
        <w:t xml:space="preserve"> </w:t>
      </w:r>
      <w:r>
        <w:t xml:space="preserve">after a WARN notice: mean CAR of</w:t>
      </w:r>
      <w:r>
        <w:t xml:space="preserve"> </w:t>
      </w:r>
      <m:oMath>
        <m:r>
          <m:rPr>
            <m:sty m:val="p"/>
          </m:rPr>
          <m:t>−</m:t>
        </m:r>
        <m:r>
          <m:t>0.9</m:t>
        </m:r>
        <m:r>
          <m:rPr>
            <m:sty m:val="p"/>
          </m:rPr>
          <m:t>%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1.3</m:t>
        </m:r>
        <m:r>
          <m:rPr>
            <m:sty m:val="p"/>
          </m:rPr>
          <m:t>%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2.22</m:t>
        </m:r>
      </m:oMath>
      <w:r>
        <w:t xml:space="preserve">), and</w:t>
      </w:r>
      <w:r>
        <w:t xml:space="preserve"> </w:t>
      </w:r>
      <m:oMath>
        <m:r>
          <m:rPr>
            <m:sty m:val="p"/>
          </m:rPr>
          <m:t>−</m:t>
        </m:r>
        <m:r>
          <m:t>1.6</m:t>
        </m:r>
        <m:r>
          <m:rPr>
            <m:sty m:val="p"/>
          </m:rPr>
          <m:t>%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2.41</m:t>
        </m:r>
      </m:oMath>
      <w:r>
        <w:t xml:space="preserve">). The drift is</w:t>
      </w:r>
      <w:r>
        <w:t xml:space="preserve"> </w:t>
      </w:r>
      <w:r>
        <w:t xml:space="preserve">post-event—the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placebo is an insignificant</w:t>
      </w:r>
      <w:r>
        <w:t xml:space="preserve"> </w:t>
      </w:r>
      <m:oMath>
        <m:r>
          <m:rPr>
            <m:sty m:val="p"/>
          </m:rPr>
          <m:t>−</m:t>
        </m:r>
        <m:r>
          <m:t>0.18</m:t>
        </m:r>
        <m:r>
          <m:rPr>
            <m:sty m:val="p"/>
          </m:rPr>
          <m:t>%</m:t>
        </m:r>
      </m:oMath>
      <w:r>
        <w:t xml:space="preserve">—consistent</w:t>
      </w:r>
      <w:r>
        <w:t xml:space="preserve"> </w:t>
      </w:r>
      <w:r>
        <w:t xml:space="preserve">with the notice conveying news rather than being anticipated. But the reaction is</w:t>
      </w:r>
      <w:r>
        <w:t xml:space="preserve"> </w:t>
      </w:r>
      <w:r>
        <w:t xml:space="preserve">not universal: fewer than half of events (</w:t>
      </w:r>
      <m:oMath>
        <m:r>
          <m:t>49</m:t>
        </m:r>
        <m:r>
          <m:rPr>
            <m:sty m:val="p"/>
          </m:rPr>
          <m:t>%</m:t>
        </m:r>
      </m:oMath>
      <w:r>
        <w:t xml:space="preserve">) have negative CAR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w:r>
        <w:t xml:space="preserve">the negative mean reflects a tail of badly-received layoffs rather than a</w:t>
      </w:r>
      <w:r>
        <w:t xml:space="preserve"> </w:t>
      </w:r>
      <w:r>
        <w:t xml:space="preserve">uniform markdown. H1 is supported (the average is significantly negative) with the</w:t>
      </w:r>
      <w:r>
        <w:t xml:space="preserve"> </w:t>
      </w:r>
      <w:r>
        <w:t xml:space="preserve">caveat that the median firm’s stock barely moves.</w:t>
      </w:r>
    </w:p>
    <w:bookmarkEnd w:id="23"/>
    <w:bookmarkStart w:id="24" w:name="materiality-not-headcount-h2."/>
    <w:p>
      <w:pPr>
        <w:pStyle w:val="Heading4"/>
      </w:pPr>
      <w:r>
        <w:t xml:space="preserve">Materiality, not headcount (H2).</w:t>
      </w:r>
    </w:p>
    <w:p>
      <w:pPr>
        <w:pStyle w:val="FirstParagraph"/>
      </w:pPr>
      <w:r>
        <w:t xml:space="preserve">Table </w:t>
      </w:r>
      <w:hyperlink w:anchor="tab:main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is the core</w:t>
      </w:r>
      <w:r>
        <w:t xml:space="preserve"> </w:t>
      </w:r>
      <w:r>
        <w:t xml:space="preserve">cross-section. Relative layoff size is the variable that matters: alone (column 1)</w:t>
      </w:r>
      <w:r>
        <w:t xml:space="preserve"> </w:t>
      </w:r>
      <w:r>
        <w:t xml:space="preserve">a one-SD larger relative layoff is worth</w:t>
      </w:r>
      <w:r>
        <w:t xml:space="preserve"> </w:t>
      </w:r>
      <m:oMath>
        <m:r>
          <m:rPr>
            <m:sty m:val="p"/>
          </m:rPr>
          <m:t>−</m:t>
        </m:r>
        <m:r>
          <m:t>3.3</m:t>
        </m:r>
      </m:oMath>
      <w:r>
        <w:t xml:space="preserve">pp of CAR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2.77</m:t>
        </m:r>
      </m:oMath>
      <w:r>
        <w:t xml:space="preserve">). Firm size</w:t>
      </w:r>
      <w:r>
        <w:t xml:space="preserve"> </w:t>
      </w:r>
      <w:r>
        <w:t xml:space="preserve">enters with the mirror-image sign: a one-SD larger firm is worth</w:t>
      </w:r>
      <w:r>
        <w:t xml:space="preserve"> </w:t>
      </w:r>
      <m:oMath>
        <m:r>
          <m:rPr>
            <m:sty m:val="p"/>
          </m:rPr>
          <m:t>+</m:t>
        </m:r>
        <m:r>
          <m:t>3.1</m:t>
        </m:r>
      </m:oMath>
      <w:r>
        <w:t xml:space="preserve">pp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3.34</m:t>
        </m:r>
      </m:oMath>
      <w:r>
        <w:t xml:space="preserve">, column 3). Absolute headcount is a precise zero (column 2,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0.000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0.46</m:t>
        </m:r>
      </m:oMath>
      <w:r>
        <w:t xml:space="preserve">): the market does not react to the</w:t>
      </w:r>
      <w:r>
        <w:t xml:space="preserve"> </w:t>
      </w:r>
      <w:r>
        <w:rPr>
          <w:i/>
          <w:iCs/>
        </w:rPr>
        <w:t xml:space="preserve">number</w:t>
      </w:r>
      <w:r>
        <w:t xml:space="preserve"> </w:t>
      </w:r>
      <w:r>
        <w:t xml:space="preserve">laid off, only to its</w:t>
      </w:r>
      <w:r>
        <w:t xml:space="preserve"> </w:t>
      </w:r>
      <w:r>
        <w:rPr>
          <w:i/>
          <w:iCs/>
        </w:rPr>
        <w:t xml:space="preserve">proportion</w:t>
      </w:r>
      <w:r>
        <w:t xml:space="preserve"> </w:t>
      </w:r>
      <w:r>
        <w:t xml:space="preserve">of the firm. Because relative-layoff and firm size are two</w:t>
      </w:r>
      <w:r>
        <w:t xml:space="preserve"> </w:t>
      </w:r>
      <w:r>
        <w:t xml:space="preserve">encodings of the same materiality, they partly compete when entered together</w:t>
      </w:r>
      <w:r>
        <w:t xml:space="preserve"> </w:t>
      </w:r>
      <w:r>
        <w:t xml:space="preserve">(column 4: relative layoff</w:t>
      </w:r>
      <w:r>
        <w:t xml:space="preserve"> </w:t>
      </w:r>
      <m:oMath>
        <m:r>
          <m:rPr>
            <m:sty m:val="p"/>
          </m:rPr>
          <m:t>−</m:t>
        </m:r>
        <m:r>
          <m:t>2.6</m:t>
        </m:r>
      </m:oMath>
      <w:r>
        <w:t xml:space="preserve">pp,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1.87</m:t>
        </m:r>
      </m:oMath>
      <w:r>
        <w:t xml:space="preserve">; size</w:t>
      </w:r>
      <w:r>
        <w:t xml:space="preserve"> </w:t>
      </w:r>
      <m:oMath>
        <m:r>
          <m:rPr>
            <m:sty m:val="p"/>
          </m:rPr>
          <m:t>+</m:t>
        </m:r>
        <m:r>
          <m:t>1.5</m:t>
        </m:r>
      </m:oMath>
      <w:r>
        <w:t xml:space="preserve">pp,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1.53</m:t>
        </m:r>
      </m:oMath>
      <w:r>
        <w:t xml:space="preserve">), but the</w:t>
      </w:r>
      <w:r>
        <w:t xml:space="preserve"> </w:t>
      </w:r>
      <w:r>
        <w:t xml:space="preserve">materiality channel is unmistakable. The subgroup means in Table </w:t>
      </w:r>
      <w:hyperlink w:anchor="tab:group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and Figure </w:t>
      </w:r>
      <w:hyperlink w:anchor="fig:group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tell the same story without any modeling: small firms</w:t>
      </w:r>
      <w:r>
        <w:t xml:space="preserve"> </w:t>
      </w:r>
      <m:oMath>
        <m:r>
          <m:rPr>
            <m:sty m:val="p"/>
          </m:rPr>
          <m:t>−</m:t>
        </m:r>
        <m:r>
          <m:t>3.9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2.86</m:t>
        </m:r>
      </m:oMath>
      <w:r>
        <w:t xml:space="preserve">) versus large firms</w:t>
      </w:r>
      <w:r>
        <w:t xml:space="preserve"> </w:t>
      </w:r>
      <m:oMath>
        <m:r>
          <m:rPr>
            <m:sty m:val="p"/>
          </m:rPr>
          <m:t>+</m:t>
        </m:r>
        <m:r>
          <m:t>0.4</m:t>
        </m:r>
        <m:r>
          <m:rPr>
            <m:sty m:val="p"/>
          </m:rPr>
          <m:t>%</m:t>
        </m:r>
      </m:oMath>
      <w:r>
        <w:t xml:space="preserve"> </w:t>
      </w:r>
      <w:r>
        <w:t xml:space="preserve">(ns); top-half relative layoffs</w:t>
      </w:r>
      <w:r>
        <w:t xml:space="preserve"> </w:t>
      </w:r>
      <m:oMath>
        <m:r>
          <m:rPr>
            <m:sty m:val="p"/>
          </m:rPr>
          <m:t>−</m:t>
        </m:r>
        <m:r>
          <m:t>3.5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2.70</m:t>
        </m:r>
      </m:oMath>
      <w:r>
        <w:t xml:space="preserve">) versus bottom-half</w:t>
      </w:r>
      <w:r>
        <w:t xml:space="preserve"> </w:t>
      </w:r>
      <m:oMath>
        <m:r>
          <m:rPr>
            <m:sty m:val="p"/>
          </m:rPr>
          <m:t>+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(ns). H2 is strongly supported.</w:t>
      </w:r>
    </w:p>
    <w:bookmarkEnd w:id="24"/>
    <w:bookmarkStart w:id="25" w:name="motive-is-not-in-the-flag-h3."/>
    <w:p>
      <w:pPr>
        <w:pStyle w:val="Heading4"/>
      </w:pPr>
      <w:r>
        <w:t xml:space="preserve">Motive is not in the flag (H3).</w:t>
      </w:r>
    </w:p>
    <w:p>
      <w:pPr>
        <w:pStyle w:val="FirstParagraph"/>
      </w:pPr>
      <w:r>
        <w:t xml:space="preserve">The closure indicator—our</w:t>
      </w:r>
      <w:r>
        <w:t xml:space="preserve"> </w:t>
      </w:r>
      <w:r>
        <w:t xml:space="preserve">administrative proxy for strategic exit/reallocation as opposed to</w:t>
      </w:r>
      <w:r>
        <w:t xml:space="preserve"> </w:t>
      </w:r>
      <w:r>
        <w:t xml:space="preserve">cost-cutting—is economically and statistically zero throughout. Closures earn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  <m:r>
          <m:rPr>
            <m:sty m:val="p"/>
          </m:rPr>
          <m:t>%</m:t>
        </m:r>
      </m:oMath>
      <w:r>
        <w:t xml:space="preserve"> </w:t>
      </w:r>
      <w:r>
        <w:t xml:space="preserve">and ongoing-operation layoffs</w:t>
      </w:r>
      <w:r>
        <w:t xml:space="preserve"> </w:t>
      </w:r>
      <m:oMath>
        <m:r>
          <m:rPr>
            <m:sty m:val="p"/>
          </m:rPr>
          <m:t>−</m:t>
        </m:r>
        <m:r>
          <m:t>1.6</m:t>
        </m:r>
        <m:r>
          <m:rPr>
            <m:sty m:val="p"/>
          </m:rPr>
          <m:t>%</m:t>
        </m:r>
      </m:oMath>
      <w:r>
        <w:t xml:space="preserve"> </w:t>
      </w:r>
      <w:r>
        <w:t xml:space="preserve">(Table </w:t>
      </w:r>
      <w:hyperlink w:anchor="tab:groups">
        <w:r>
          <w:rPr>
            <w:rStyle w:val="Hyperlink"/>
          </w:rPr>
          <w:t xml:space="preserve">3</w:t>
        </w:r>
      </w:hyperlink>
      <w:r>
        <w:t xml:space="preserve">); in the</w:t>
      </w:r>
      <w:r>
        <w:t xml:space="preserve"> </w:t>
      </w:r>
      <w:r>
        <w:t xml:space="preserve">regression the closure dummy is</w:t>
      </w:r>
      <w:r>
        <w:t xml:space="preserve"> </w:t>
      </w:r>
      <m:oMath>
        <m:r>
          <m:rPr>
            <m:sty m:val="p"/>
          </m:rPr>
          <m:t>−</m:t>
        </m:r>
        <m:r>
          <m:t>0.001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0.07</m:t>
        </m:r>
      </m:oMath>
      <w:r>
        <w:t xml:space="preserve">, Table </w:t>
      </w:r>
      <w:hyperlink w:anchor="tab:main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column</w:t>
      </w:r>
      <w:r>
        <w:t xml:space="preserve"> </w:t>
      </w:r>
      <w:r>
        <w:t xml:space="preserve">5), and it stays insignificant in every robustness cut (Table </w:t>
      </w:r>
      <w:hyperlink w:anchor="tab:robust">
        <w:r>
          <w:rPr>
            <w:rStyle w:val="Hyperlink"/>
          </w:rPr>
          <w:t xml:space="preserve">10</w:t>
        </w:r>
      </w:hyperlink>
      <w:r>
        <w:t xml:space="preserve">).</w:t>
      </w:r>
      <w:r>
        <w:t xml:space="preserve"> </w:t>
      </w:r>
      <w:r>
        <w:t xml:space="preserve">The market clearly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discriminate among layoffs—by materiality—but</w:t>
      </w:r>
      <w:r>
        <w:t xml:space="preserve"> </w:t>
      </w:r>
      <w:r>
        <w:t xml:space="preserve">the closure-vs-layoff category available in administrative data does not capture</w:t>
      </w:r>
      <w:r>
        <w:t xml:space="preserve"> </w:t>
      </w:r>
      <w:r>
        <w:t xml:space="preserve">the discrimination. H3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supported</w:t>
      </w:r>
      <w:r>
        <w:t xml:space="preserve"> </w:t>
      </w:r>
      <w:r>
        <w:rPr>
          <w:i/>
          <w:iCs/>
        </w:rPr>
        <w:t xml:space="preserve">with the machine proxy</w:t>
      </w:r>
      <w:r>
        <w:t xml:space="preserve">. As</w:t>
      </w:r>
      <w:r>
        <w:t xml:space="preserve"> </w:t>
      </w:r>
      <w:r>
        <w:t xml:space="preserve">Section </w:t>
      </w:r>
      <w:hyperlink w:anchor="sec:power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shows, this is not because we have precisely estimated a</w:t>
      </w:r>
      <w:r>
        <w:t xml:space="preserve"> </w:t>
      </w:r>
      <w:r>
        <w:t xml:space="preserve">zero motive effect; it is because the machine proxy is too coarse to detect one.</w:t>
      </w:r>
      <w:r>
        <w:t xml:space="preserve"> </w:t>
      </w:r>
      <w:r>
        <w:t xml:space="preserve">That is the paper’s pivotal negative result: if motive matters (as theory and the</w:t>
      </w:r>
      <w:r>
        <w:t xml:space="preserve"> </w:t>
      </w:r>
      <w:r>
        <w:t xml:space="preserve">strategy literature argue), it is encoded in the announcement narrative, not in</w:t>
      </w:r>
      <w:r>
        <w:t xml:space="preserve"> </w:t>
      </w:r>
      <w:r>
        <w:t xml:space="preserve">the WARN type field, and only hand-coding can recover it.</w:t>
      </w:r>
    </w:p>
    <w:bookmarkEnd w:id="25"/>
    <w:bookmarkEnd w:id="26"/>
    <w:bookmarkStart w:id="29" w:name="sec:het"/>
    <w:p>
      <w:pPr>
        <w:pStyle w:val="Heading1"/>
      </w:pPr>
      <w:r>
        <w:t xml:space="preserve">Heterogeneity: Where the Bite Is</w:t>
      </w:r>
    </w:p>
    <w:bookmarkStart w:id="27" w:name="Xc3ada6dbe720ad7daacc800dc9c4bc962c6710b"/>
    <w:p>
      <w:pPr>
        <w:pStyle w:val="Heading4"/>
      </w:pPr>
      <w:r>
        <w:t xml:space="preserve">The punishment is a small-firm phenomenon.</w:t>
      </w:r>
    </w:p>
    <w:p>
      <w:pPr>
        <w:pStyle w:val="FirstParagraph"/>
      </w:pPr>
      <w:r>
        <w:t xml:space="preserve">Table </w:t>
      </w:r>
      <w:hyperlink w:anchor="tab:hetero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shows the materiality effect is concentrated among small firms. Interacting</w:t>
      </w:r>
      <w:r>
        <w:t xml:space="preserve"> </w:t>
      </w:r>
      <w:r>
        <w:t xml:space="preserve">relative layoff with a below-median-size dummy, the relative-layoff slope is a</w:t>
      </w:r>
      <w:r>
        <w:t xml:space="preserve"> </w:t>
      </w:r>
      <w:r>
        <w:t xml:space="preserve">positive</w:t>
      </w:r>
      <w:r>
        <w:t xml:space="preserve"> </w:t>
      </w:r>
      <m:oMath>
        <m:r>
          <m:rPr>
            <m:sty m:val="p"/>
          </m:rPr>
          <m:t>+</m:t>
        </m:r>
        <m:r>
          <m:t>0.041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2.08</m:t>
        </m:r>
      </m:oMath>
      <w:r>
        <w:t xml:space="preserve">) among large firms and the small-firm interaction is</w:t>
      </w:r>
      <w:r>
        <w:t xml:space="preserve"> </w:t>
      </w:r>
      <m:oMath>
        <m:r>
          <m:rPr>
            <m:sty m:val="p"/>
          </m:rPr>
          <m:t>−</m:t>
        </m:r>
        <m:r>
          <m:t>0.065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2.86</m:t>
        </m:r>
      </m:oMath>
      <w:r>
        <w:t xml:space="preserve">)—so among large firms a bigger relative cut is, if anything,</w:t>
      </w:r>
      <w:r>
        <w:t xml:space="preserve"> </w:t>
      </w:r>
      <w:r>
        <w:t xml:space="preserve">mildly</w:t>
      </w:r>
      <w:r>
        <w:t xml:space="preserve"> </w:t>
      </w:r>
      <w:r>
        <w:rPr>
          <w:i/>
          <w:iCs/>
        </w:rPr>
        <w:t xml:space="preserve">rewarded</w:t>
      </w:r>
      <w:r>
        <w:t xml:space="preserve"> </w:t>
      </w:r>
      <w:r>
        <w:t xml:space="preserve">(an efficiency read), while among small firms it is</w:t>
      </w:r>
      <w:r>
        <w:t xml:space="preserve"> </w:t>
      </w:r>
      <w:r>
        <w:t xml:space="preserve">punished (a demand read). Neither the closure nor the tech interaction is</w:t>
      </w:r>
      <w:r>
        <w:t xml:space="preserve"> </w:t>
      </w:r>
      <w:r>
        <w:t xml:space="preserve">significant. That a given relative cut flips sign with firm size is itself</w:t>
      </w:r>
      <w:r>
        <w:t xml:space="preserve"> </w:t>
      </w:r>
      <w:r>
        <w:t xml:space="preserve">suggestive that</w:t>
      </w:r>
      <w:r>
        <w:t xml:space="preserve"> </w:t>
      </w:r>
      <w:r>
        <w:rPr>
          <w:i/>
          <w:iCs/>
        </w:rPr>
        <w:t xml:space="preserve">motive</w:t>
      </w:r>
      <w:r>
        <w:t xml:space="preserve"> </w:t>
      </w:r>
      <w:r>
        <w:t xml:space="preserve">is being inferred differently across firms—and is</w:t>
      </w:r>
      <w:r>
        <w:t xml:space="preserve"> </w:t>
      </w:r>
      <w:r>
        <w:t xml:space="preserve">a further reason to measure motive directly.</w:t>
      </w:r>
    </w:p>
    <w:bookmarkEnd w:id="27"/>
    <w:bookmarkStart w:id="28" w:name="X0e6e9ae3f3e555cbae74066ac85175446940b8c"/>
    <w:p>
      <w:pPr>
        <w:pStyle w:val="Heading4"/>
      </w:pPr>
      <w:r>
        <w:t xml:space="preserve">Not concentrated in any other observable subgroup.</w:t>
      </w:r>
    </w:p>
    <w:p>
      <w:pPr>
        <w:pStyle w:val="FirstParagraph"/>
      </w:pPr>
      <w:r>
        <w:t xml:space="preserve">If the materiality</w:t>
      </w:r>
      <w:r>
        <w:t xml:space="preserve"> </w:t>
      </w:r>
      <w:r>
        <w:t xml:space="preserve">effect were really a proxy for some other firm characteristic, it should</w:t>
      </w:r>
      <w:r>
        <w:t xml:space="preserve"> </w:t>
      </w:r>
      <w:r>
        <w:t xml:space="preserve">concentrate in the corresponding observable subgroup. Table </w:t>
      </w:r>
      <w:hyperlink w:anchor="tab:heteroext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interacts the standardized relative-layoff ratio with four additional pre-event,</w:t>
      </w:r>
      <w:r>
        <w:t xml:space="preserve"> </w:t>
      </w:r>
      <w:r>
        <w:t xml:space="preserve">observable moderators—high market-to-assets (glamour/growth), high asset</w:t>
      </w:r>
      <w:r>
        <w:t xml:space="preserve"> </w:t>
      </w:r>
      <w:r>
        <w:t xml:space="preserve">turnover, an early-sample (2022) indicator, and a goods-producing (non-tech</w:t>
      </w:r>
      <w:r>
        <w:t xml:space="preserve"> </w:t>
      </w:r>
      <w:r>
        <w:t xml:space="preserve">manufacturing) indicator—always controlling for firm size. In every case the</w:t>
      </w:r>
      <w:r>
        <w:t xml:space="preserve"> </w:t>
      </w:r>
      <w:r>
        <w:t xml:space="preserve">materiality slope is negative (ranging</w:t>
      </w:r>
      <w:r>
        <w:t xml:space="preserve"> </w:t>
      </w:r>
      <m:oMath>
        <m:r>
          <m:rPr>
            <m:sty m:val="p"/>
          </m:rPr>
          <m:t>−</m:t>
        </m:r>
        <m:r>
          <m:t>0.018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0.026</m:t>
        </m:r>
      </m:oMath>
      <w:r>
        <w:t xml:space="preserve">) and the interaction is</w:t>
      </w:r>
      <w:r>
        <w:t xml:space="preserve"> </w:t>
      </w:r>
      <w:r>
        <w:t xml:space="preserve">economically small and statistically indistinguishable from zero (the largest</w:t>
      </w:r>
      <w:r>
        <w:t xml:space="preserve"> </w:t>
      </w:r>
      <m:oMath>
        <m:r>
          <m:rPr>
            <m:sty m:val="p"/>
          </m:rPr>
          <m:t>|</m:t>
        </m:r>
        <m:r>
          <m:t>t</m:t>
        </m:r>
        <m:r>
          <m:rPr>
            <m:sty m:val="p"/>
          </m:rPr>
          <m:t>|</m:t>
        </m:r>
      </m:oMath>
      <w:r>
        <w:t xml:space="preserve"> </w:t>
      </w:r>
      <w:r>
        <w:t xml:space="preserve">on any interaction is</w:t>
      </w:r>
      <w:r>
        <w:t xml:space="preserve"> </w:t>
      </w:r>
      <m:oMath>
        <m:r>
          <m:t>0.58</m:t>
        </m:r>
      </m:oMath>
      <w:r>
        <w:t xml:space="preserve">). The materiality effect is thus a broad</w:t>
      </w:r>
      <w:r>
        <w:t xml:space="preserve"> </w:t>
      </w:r>
      <w:r>
        <w:t xml:space="preserve">phenomenon, not a growth-firm, capital-intensity, sample-period, or</w:t>
      </w:r>
      <w:r>
        <w:t xml:space="preserve"> </w:t>
      </w:r>
      <w:r>
        <w:t xml:space="preserve">industry-specific artifact. Crucially, we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interact the reaction with</w:t>
      </w:r>
      <w:r>
        <w:t xml:space="preserve"> </w:t>
      </w:r>
      <w:r>
        <w:t xml:space="preserve">the hand-coded motive here—that dimension is unobservable to us and is the</w:t>
      </w:r>
      <w:r>
        <w:t xml:space="preserve"> </w:t>
      </w:r>
      <w:r>
        <w:t xml:space="preserve">student’s reserved contribution; the moderators above are observable firm</w:t>
      </w:r>
      <w:r>
        <w:t xml:space="preserve"> </w:t>
      </w:r>
      <w:r>
        <w:t xml:space="preserve">characteristics chosen precisely because they are orthogonal to that reserved test.</w:t>
      </w:r>
    </w:p>
    <w:bookmarkEnd w:id="28"/>
    <w:bookmarkEnd w:id="29"/>
    <w:bookmarkStart w:id="30" w:name="sec:ri"/>
    <w:p>
      <w:pPr>
        <w:pStyle w:val="Heading1"/>
      </w:pPr>
      <w:r>
        <w:t xml:space="preserve">Randomization Inference</w:t>
      </w:r>
    </w:p>
    <w:p>
      <w:pPr>
        <w:pStyle w:val="FirstParagraph"/>
      </w:pPr>
      <w:r>
        <w:t xml:space="preserve">Cross-sectional CAR regressions with clustered standard errors rely on asymptotics</w:t>
      </w:r>
      <w:r>
        <w:t xml:space="preserve"> </w:t>
      </w:r>
      <w:r>
        <w:t xml:space="preserve">in the number of clusters, and event-induced variance can inflate conventional</w:t>
      </w:r>
      <w:r>
        <w:t xml:space="preserve"> </w:t>
      </w:r>
      <w:r>
        <w:t xml:space="preserve">test statistics</w:t>
      </w:r>
      <w:r>
        <w:t xml:space="preserve"> </w:t>
      </w:r>
      <w:r>
        <w:t xml:space="preserve">. Table </w:t>
      </w:r>
      <w:hyperlink w:anchor="tab:randinf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Figure </w:t>
      </w:r>
      <w:hyperlink w:anchor="fig:ri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report design-based inference from 2</w:t>
      </w:r>
      <w:r>
        <w:t xml:space="preserve">,</w:t>
      </w:r>
      <w:r>
        <w:t xml:space="preserve">000 permutations of the</w:t>
      </w:r>
      <w:r>
        <w:t xml:space="preserve"> </w:t>
      </w:r>
      <w:r>
        <w:t xml:space="preserve">regressor under the sharp null of no cross-sectional relation. The materiality</w:t>
      </w:r>
      <w:r>
        <w:t xml:space="preserve"> </w:t>
      </w:r>
      <w:r>
        <w:t xml:space="preserve">slope (</w:t>
      </w:r>
      <m:oMath>
        <m:r>
          <m:rPr>
            <m:sty m:val="p"/>
          </m:rPr>
          <m:t>−</m:t>
        </m:r>
        <m:r>
          <m:t>0.024</m:t>
        </m:r>
      </m:oMath>
      <w:r>
        <w:t xml:space="preserve"> </w:t>
      </w:r>
      <w:r>
        <w:t xml:space="preserve">in the size-controlled specification) lies far outside the</w:t>
      </w:r>
      <w:r>
        <w:t xml:space="preserve"> </w:t>
      </w:r>
      <w:r>
        <w:t xml:space="preserve">permutation distribution (95% permutation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0.014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0.013</m:t>
        </m:r>
        <m:r>
          <m:rPr>
            <m:sty m:val="p"/>
          </m:rPr>
          <m:t>]</m:t>
        </m:r>
      </m:oMath>
      <w:r>
        <w:t xml:space="preserve">; design-based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0.001</m:t>
        </m:r>
      </m:oMath>
      <w:r>
        <w:t xml:space="preserve">): the relation between relative layoff size and CARs is not a</w:t>
      </w:r>
      <w:r>
        <w:t xml:space="preserve"> </w:t>
      </w:r>
      <w:r>
        <w:t xml:space="preserve">clustered-SE artifact. By contrast, the machine-motive (closure) coefficient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0.001</m:t>
        </m:r>
      </m:oMath>
      <w:r>
        <w:t xml:space="preserve">) sits essentially at the center of its permutation distribution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0.92</m:t>
        </m:r>
      </m:oMath>
      <w:r>
        <w:t xml:space="preserve">, 95%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0.031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0.030</m:t>
        </m:r>
        <m:r>
          <m:rPr>
            <m:sty m:val="p"/>
          </m:rPr>
          <m:t>]</m:t>
        </m:r>
      </m:oMath>
      <w:r>
        <w:t xml:space="preserve">)—the motive null is robust to</w:t>
      </w:r>
      <w:r>
        <w:t xml:space="preserve"> </w:t>
      </w:r>
      <w:r>
        <w:t xml:space="preserve">design-based inference. One caveat sharpens rather than weakens the reading: our</w:t>
      </w:r>
      <w:r>
        <w:t xml:space="preserve"> </w:t>
      </w:r>
      <w:r>
        <w:t xml:space="preserve">permutation reassigns the regressor at the event level and so ignores the</w:t>
      </w:r>
      <w:r>
        <w:t xml:space="preserve"> </w:t>
      </w:r>
      <w:r>
        <w:t xml:space="preserve">within-firm dependence that the clustered standard errors (328 firms, 615 events)</w:t>
      </w:r>
      <w:r>
        <w:t xml:space="preserve"> </w:t>
      </w:r>
      <w:r>
        <w:t xml:space="preserve">are designed to handle. Randomization inference and the clustered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therefore</w:t>
      </w:r>
      <w:r>
        <w:t xml:space="preserve"> </w:t>
      </w:r>
      <w:r>
        <w:rPr>
          <w:i/>
          <w:iCs/>
        </w:rPr>
        <w:t xml:space="preserve">bracket</w:t>
      </w:r>
      <w:r>
        <w:t xml:space="preserve"> </w:t>
      </w:r>
      <w:r>
        <w:t xml:space="preserve">the true inference—the design-based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0.001</m:t>
        </m:r>
      </m:oMath>
      <w:r>
        <w:t xml:space="preserve"> </w:t>
      </w:r>
      <w:r>
        <w:t xml:space="preserve">is a lower bound on</w:t>
      </w:r>
      <w:r>
        <w:t xml:space="preserve"> </w:t>
      </w:r>
      <w:r>
        <w:t xml:space="preserve">significance and the size-controlled clustered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1.81</m:t>
        </m:r>
      </m:oMath>
      <w:r>
        <w:t xml:space="preserve"> </w:t>
      </w:r>
      <w:r>
        <w:t xml:space="preserve">an upper bound—and the</w:t>
      </w:r>
      <w:r>
        <w:t xml:space="preserve"> </w:t>
      </w:r>
      <w:r>
        <w:t xml:space="preserve">materiality effect is significant on the unconditional clustered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2.77</m:t>
        </m:r>
      </m:oMath>
      <w:r>
        <w:t xml:space="preserve"> </w:t>
      </w:r>
      <w:r>
        <w:t xml:space="preserve">as well. Randomization inference thus corroborates both halves of</w:t>
      </w:r>
      <w:r>
        <w:t xml:space="preserve"> </w:t>
      </w:r>
      <w:r>
        <w:t xml:space="preserve">the paper: the materiality effect is a genuine signal, and the machine-motive null</w:t>
      </w:r>
      <w:r>
        <w:t xml:space="preserve"> </w:t>
      </w:r>
      <w:r>
        <w:t xml:space="preserve">is real rather than a failure of the parametric standard errors. It does not,</w:t>
      </w:r>
      <w:r>
        <w:t xml:space="preserve"> </w:t>
      </w:r>
      <w:r>
        <w:t xml:space="preserve">however, tell us whether the motive null is a</w:t>
      </w:r>
      <w:r>
        <w:t xml:space="preserve"> </w:t>
      </w:r>
      <w:r>
        <w:rPr>
          <w:i/>
          <w:iCs/>
        </w:rPr>
        <w:t xml:space="preserve">tight</w:t>
      </w:r>
      <w:r>
        <w:t xml:space="preserve"> </w:t>
      </w:r>
      <w:r>
        <w:t xml:space="preserve">bound; that is the</w:t>
      </w:r>
      <w:r>
        <w:t xml:space="preserve"> </w:t>
      </w:r>
      <w:r>
        <w:t xml:space="preserve">question the power analysis in Section </w:t>
      </w:r>
      <w:hyperlink w:anchor="sec:power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answers, and its answer is</w:t>
      </w:r>
      <w:r>
        <w:t xml:space="preserve"> </w:t>
      </w:r>
      <w:r>
        <w:t xml:space="preserve">what makes the hand-coding necessary.</w:t>
      </w:r>
    </w:p>
    <w:bookmarkEnd w:id="30"/>
    <w:bookmarkStart w:id="31" w:name="sec:altbench"/>
    <w:p>
      <w:pPr>
        <w:pStyle w:val="Heading1"/>
      </w:pPr>
      <w:r>
        <w:t xml:space="preserve">Alternative Abnormal-Return Benchmarks</w:t>
      </w:r>
    </w:p>
    <w:p>
      <w:pPr>
        <w:pStyle w:val="FirstParagraph"/>
      </w:pPr>
      <w:r>
        <w:t xml:space="preserve">The headline CARs use a firm-specific market model. To rule out that either the</w:t>
      </w:r>
      <w:r>
        <w:t xml:space="preserve"> </w:t>
      </w:r>
      <w:r>
        <w:t xml:space="preserve">average reaction or the materiality slope is an artifact of that benchmark, we</w:t>
      </w:r>
      <w:r>
        <w:t xml:space="preserve"> </w:t>
      </w:r>
      <w:r>
        <w:t xml:space="preserve">re-derive CAR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straight from the raw CRSP daily returns under three</w:t>
      </w:r>
      <w:r>
        <w:t xml:space="preserve"> </w:t>
      </w:r>
      <w:r>
        <w:t xml:space="preserve">alternatives: market-adjusted returns (abnormal return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m</m:t>
            </m:r>
            <m:r>
              <m:t>t</m:t>
            </m:r>
          </m:sub>
        </m:sSub>
      </m:oMath>
      <w:r>
        <w:t xml:space="preserve">, i.e. </w:t>
      </w:r>
      <m:oMath>
        <m:r>
          <m:t>β</m:t>
        </m:r>
      </m:oMath>
      <w:r>
        <w:t xml:space="preserve"> </w:t>
      </w:r>
      <w:r>
        <w:t xml:space="preserve">forced to one), S&amp;P-500-adjusted returns (</w:t>
      </w:r>
      <m:oMath>
        <m:sSub>
          <m:e>
            <m:r>
              <m:t>R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−</m:t>
        </m:r>
        <m:sSubSup>
          <m:e>
            <m:r>
              <m:t>R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S&amp;P</m:t>
            </m:r>
          </m:sup>
        </m:sSubSup>
      </m:oMath>
      <w:r>
        <w:t xml:space="preserve">),</w:t>
      </w:r>
      <w:r>
        <w:t xml:space="preserve"> </w:t>
      </w:r>
      <w:r>
        <w:t xml:space="preserve">and mean-adjusted returns (</w:t>
      </w:r>
      <m:oMath>
        <m:sSub>
          <m:e>
            <m:r>
              <m:t>R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less the firm’s estimation-window mean). As a</w:t>
      </w:r>
      <w:r>
        <w:t xml:space="preserve"> </w:t>
      </w:r>
      <w:r>
        <w:t xml:space="preserve">correctness check, the code first rebuilds the market-model CAR from the stored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t xml:space="preserve">and confirms it matches the base CARs to machine precision</w:t>
      </w:r>
      <w:r>
        <w:t xml:space="preserve"> </w:t>
      </w:r>
      <w:r>
        <w:t xml:space="preserve">(</w:t>
      </w:r>
      <m:oMath>
        <m:r>
          <m:rPr>
            <m:sty m:val="p"/>
          </m:rPr>
          <m:t>max</m:t>
        </m:r>
        <m:r>
          <m:rPr>
            <m:sty m:val="p"/>
          </m:rPr>
          <m:t>|</m:t>
        </m:r>
        <m:r>
          <m:rPr>
            <m:nor/>
            <m:sty m:val="p"/>
          </m:rPr>
          <m:t>diff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 </w:t>
      </w:r>
      <w:r>
        <w:t xml:space="preserve">across 571 events). Table </w:t>
      </w:r>
      <w:hyperlink w:anchor="tab:altbench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reports,</w:t>
      </w:r>
      <w:r>
        <w:t xml:space="preserve"> </w:t>
      </w:r>
      <w:r>
        <w:t xml:space="preserve">for each benchmark, the average CAR (H1) and the materiality slope (H2). The</w:t>
      </w:r>
      <w:r>
        <w:t xml:space="preserve"> </w:t>
      </w:r>
      <w:r>
        <w:t xml:space="preserve">average negative reaction is not only robust but</w:t>
      </w:r>
      <w:r>
        <w:t xml:space="preserve"> </w:t>
      </w:r>
      <w:r>
        <w:rPr>
          <w:i/>
          <w:iCs/>
        </w:rPr>
        <w:t xml:space="preserve">stronger</w:t>
      </w:r>
      <w:r>
        <w:t xml:space="preserve"> </w:t>
      </w:r>
      <w:r>
        <w:t xml:space="preserve">against the two</w:t>
      </w:r>
      <w:r>
        <w:t xml:space="preserve"> </w:t>
      </w:r>
      <w:r>
        <w:t xml:space="preserve">index benchmarks that do not net out firm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3.03</m:t>
        </m:r>
      </m:oMath>
      <w:r>
        <w:t xml:space="preserve">)</w:t>
      </w:r>
      <w:r>
        <w:t xml:space="preserve"> </w:t>
      </w:r>
      <w:r>
        <w:t xml:space="preserve">market-adjusted and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3.06</m:t>
        </m:r>
      </m:oMath>
      <w:r>
        <w:t xml:space="preserve">) S&amp;P-adjusted, versus</w:t>
      </w:r>
      <w:r>
        <w:t xml:space="preserve"> </w:t>
      </w:r>
      <m:oMath>
        <m:r>
          <m:rPr>
            <m:sty m:val="p"/>
          </m:rPr>
          <m:t>−</m:t>
        </m:r>
        <m:r>
          <m:t>1.6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2.41</m:t>
        </m:r>
      </m:oMath>
      <w:r>
        <w:t xml:space="preserve">) for the market model. It is weaker and marginally insignificant under</w:t>
      </w:r>
      <w:r>
        <w:t xml:space="preserve"> </w:t>
      </w:r>
      <w:r>
        <w:t xml:space="preserve">the mean-adjusted model (</w:t>
      </w:r>
      <m:oMath>
        <m:r>
          <m:rPr>
            <m:sty m:val="p"/>
          </m:rPr>
          <m:t>−</m:t>
        </m:r>
        <m:r>
          <m:t>1.0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1.53</m:t>
        </m:r>
      </m:oMath>
      <w:r>
        <w:t xml:space="preserve">)—expected, because mean-adjustment</w:t>
      </w:r>
      <w:r>
        <w:t xml:space="preserve"> </w:t>
      </w:r>
      <w:r>
        <w:t xml:space="preserve">ignores the generally negative market drift over some event windows and so is the</w:t>
      </w:r>
      <w:r>
        <w:t xml:space="preserve"> </w:t>
      </w:r>
      <w:r>
        <w:t xml:space="preserve">noisiest benchmark. The materiality slope is stable and negative across all four</w:t>
      </w:r>
      <w:r>
        <w:t xml:space="preserve"> </w:t>
      </w:r>
      <w:r>
        <w:t xml:space="preserve">benchmarks (</w:t>
      </w:r>
      <m:oMath>
        <m:r>
          <m:rPr>
            <m:sty m:val="p"/>
          </m:rPr>
          <m:t>−</m:t>
        </m:r>
        <m:r>
          <m:t>0.020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0.027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|</m:t>
        </m:r>
        <m:r>
          <m:t>t</m:t>
        </m:r>
        <m:r>
          <m:rPr>
            <m:sty m:val="p"/>
          </m:rPr>
          <m:t>|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2.08</m:t>
        </m:r>
      </m:oMath>
      <w:r>
        <w:t xml:space="preserve">). The core results survive</w:t>
      </w:r>
      <w:r>
        <w:t xml:space="preserve"> </w:t>
      </w:r>
      <w:r>
        <w:t xml:space="preserve">the choice of abnormal-return model.</w:t>
      </w:r>
    </w:p>
    <w:bookmarkEnd w:id="31"/>
    <w:bookmarkStart w:id="32" w:name="sec:power"/>
    <w:p>
      <w:pPr>
        <w:pStyle w:val="Heading1"/>
      </w:pPr>
      <w:r>
        <w:t xml:space="preserve">Is the Motive Null Informative? Power and Minimum Detectable Effects</w:t>
      </w:r>
    </w:p>
    <w:p>
      <w:pPr>
        <w:pStyle w:val="FirstParagraph"/>
      </w:pPr>
      <w:r>
        <w:t xml:space="preserve">A null is only interesting if the design could have detected a real effect, and</w:t>
      </w:r>
      <w:r>
        <w:t xml:space="preserve"> </w:t>
      </w:r>
      <w:r>
        <w:t xml:space="preserve">here the answer differs sharply between the materiality slope and the motive proxy.</w:t>
      </w:r>
      <w:r>
        <w:t xml:space="preserve"> </w:t>
      </w:r>
      <w:r>
        <w:t xml:space="preserve">Table </w:t>
      </w:r>
      <w:hyperlink w:anchor="tab:power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reports, for each key coefficient, the minimum detectable</w:t>
      </w:r>
      <w:r>
        <w:t xml:space="preserve"> </w:t>
      </w:r>
      <w:r>
        <w:t xml:space="preserve">effect at 80% power,</w:t>
      </w:r>
      <w:r>
        <w:t xml:space="preserve"> </w:t>
      </w:r>
      <m:oMath>
        <m:r>
          <m:rPr>
            <m:nor/>
            <m:sty m:val="p"/>
          </m:rPr>
          <m:t>MDE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0.80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r>
          <m:rPr>
            <m:sty m:val="p"/>
          </m:rPr>
          <m:t>≈</m:t>
        </m:r>
        <m:r>
          <m:t>2.80</m:t>
        </m:r>
        <m:r>
          <m:t> </m:t>
        </m:r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</m:oMath>
      <w:r>
        <w:t xml:space="preserve">. For the materiality slope the estimate (</w:t>
      </w:r>
      <m:oMath>
        <m:r>
          <m:rPr>
            <m:sty m:val="p"/>
          </m:rPr>
          <m:t>−</m:t>
        </m:r>
        <m:r>
          <m:t>2.5</m:t>
        </m:r>
      </m:oMath>
      <w:r>
        <w:t xml:space="preserve">pp per SD</w:t>
      </w:r>
      <w:r>
        <w:t xml:space="preserve"> </w:t>
      </w:r>
      <w:r>
        <w:t xml:space="preserve">in the size-controlled specification,</w:t>
      </w:r>
      <w:r>
        <w:t xml:space="preserve"> </w:t>
      </w:r>
      <m:oMath>
        <m:r>
          <m:rPr>
            <m:sty m:val="p"/>
          </m:rPr>
          <m:t>−</m:t>
        </m:r>
        <m:r>
          <m:t>3.3</m:t>
        </m:r>
      </m:oMath>
      <w:r>
        <w:t xml:space="preserve">pp unconditionally) is comparable to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≈</m:t>
        </m:r>
        <m:r>
          <m:t>3.9</m:t>
        </m:r>
      </m:oMath>
      <w:r>
        <w:t xml:space="preserve">pp 80%-power MDE: the design is powered to detect roughly the</w:t>
      </w:r>
      <w:r>
        <w:t xml:space="preserve"> </w:t>
      </w:r>
      <w:r>
        <w:t xml:space="preserve">effect it actually finds. That the size-controlled clustered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only</w:t>
      </w:r>
      <w:r>
        <w:t xml:space="preserve"> </w:t>
      </w:r>
      <m:oMath>
        <m:r>
          <m:rPr>
            <m:sty m:val="p"/>
          </m:rPr>
          <m:t>−</m:t>
        </m:r>
        <m:r>
          <m:t>1.81</m:t>
        </m:r>
      </m:oMath>
      <w:r>
        <w:t xml:space="preserve"> </w:t>
      </w:r>
      <w:r>
        <w:t xml:space="preserve">reflects the mechanical relative-layoff/size collinearity flagged above, not a</w:t>
      </w:r>
      <w:r>
        <w:t xml:space="preserve"> </w:t>
      </w:r>
      <w:r>
        <w:t xml:space="preserve">fragile effect—the unconditional slope is significant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2.77</m:t>
        </m:r>
      </m:oMath>
      <w:r>
        <w:t xml:space="preserve"> </w:t>
      </w:r>
      <w:r>
        <w:t xml:space="preserve">and the</w:t>
      </w:r>
      <w:r>
        <w:t xml:space="preserve"> </w:t>
      </w:r>
      <w:r>
        <w:t xml:space="preserve">randomization-inference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0.001</m:t>
        </m:r>
      </m:oMath>
      <w:r>
        <w:t xml:space="preserve"> </w:t>
      </w:r>
      <w:r>
        <w:t xml:space="preserve">(Section </w:t>
      </w:r>
      <w:hyperlink w:anchor="sec:ri">
        <w:r>
          <w:rPr>
            <w:rStyle w:val="Hyperlink"/>
          </w:rPr>
          <w:t xml:space="preserve">8</w:t>
        </w:r>
      </w:hyperlink>
      <w:r>
        <w:t xml:space="preserve">). The average reaction</w:t>
      </w:r>
      <w:r>
        <w:t xml:space="preserve"> </w:t>
      </w:r>
      <w:r>
        <w:t xml:space="preserve">is likewise a clear but not high-powered signal (estimate</w:t>
      </w:r>
      <w:r>
        <w:t xml:space="preserve"> </w:t>
      </w:r>
      <m:oMath>
        <m:r>
          <m:rPr>
            <m:sty m:val="p"/>
          </m:rPr>
          <m:t>−</m:t>
        </m:r>
        <m:r>
          <m:t>1.6</m:t>
        </m:r>
      </m:oMath>
      <w:r>
        <w:t xml:space="preserve">pp, MDE</w:t>
      </w:r>
      <w:r>
        <w:t xml:space="preserve"> </w:t>
      </w:r>
      <m:oMath>
        <m:r>
          <m:t>1.9</m:t>
        </m:r>
      </m:oMath>
      <w:r>
        <w:t xml:space="preserve">pp;</w:t>
      </w:r>
      <w:r>
        <w:t xml:space="preserve"> </w:t>
      </w:r>
      <w:r>
        <w:t xml:space="preserve">significant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2.41</m:t>
        </m:r>
      </m:oMath>
      <w:r>
        <w:t xml:space="preserve"> </w:t>
      </w:r>
      <w:r>
        <w:t xml:space="preserve">because significance requires</w:t>
      </w:r>
      <w:r>
        <w:t xml:space="preserve"> </w:t>
      </w:r>
      <m:oMath>
        <m:r>
          <m:t>1.96</m:t>
        </m:r>
        <m:r>
          <m:rPr>
            <m:sty m:val="p"/>
          </m:rPr>
          <m:t>×</m:t>
        </m:r>
      </m:oMath>
      <w:r>
        <w:t xml:space="preserve">SE while the</w:t>
      </w:r>
      <w:r>
        <w:t xml:space="preserve"> </w:t>
      </w:r>
      <w:r>
        <w:t xml:space="preserve">80%-power MDE is</w:t>
      </w:r>
      <w:r>
        <w:t xml:space="preserve"> </w:t>
      </w:r>
      <m:oMath>
        <m:r>
          <m:t>2.80</m:t>
        </m:r>
        <m:r>
          <m:rPr>
            <m:sty m:val="p"/>
          </m:rPr>
          <m:t>×</m:t>
        </m:r>
      </m:oMath>
      <w:r>
        <w:t xml:space="preserve">SE). The machine-motive proxy is a different case</w:t>
      </w:r>
      <w:r>
        <w:t xml:space="preserve"> </w:t>
      </w:r>
      <w:r>
        <w:t xml:space="preserve">entirely. Its coefficient is a near-perfect zero (</w:t>
      </w:r>
      <m:oMath>
        <m:r>
          <m:rPr>
            <m:sty m:val="p"/>
          </m:rPr>
          <m:t>−</m:t>
        </m:r>
        <m:r>
          <m:t>0.1</m:t>
        </m:r>
      </m:oMath>
      <w:r>
        <w:t xml:space="preserve">pp), but its standard error is</w:t>
      </w:r>
      <w:r>
        <w:t xml:space="preserve"> </w:t>
      </w:r>
      <w:r>
        <w:t xml:space="preserve">large (1.8pp), so the smallest motive effect it could have detected at 80% power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5.1 percentage points</w:t>
      </w:r>
      <w:r>
        <w:t xml:space="preserve">—larger than the entire average market reaction to</w:t>
      </w:r>
      <w:r>
        <w:t xml:space="preserve"> </w:t>
      </w:r>
      <w:r>
        <w:t xml:space="preserve">a layoff and far above any plausible motive-driven CAR difference in the strategy</w:t>
      </w:r>
      <w:r>
        <w:t xml:space="preserve"> </w:t>
      </w:r>
      <w:r>
        <w:t xml:space="preserve">literature. In other words, the closure flag does not deliver an informative null:</w:t>
      </w:r>
      <w:r>
        <w:t xml:space="preserve"> </w:t>
      </w:r>
      <w:r>
        <w:t xml:space="preserve">it is both a point estimate of zero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too imprecise to rule out an</w:t>
      </w:r>
      <w:r>
        <w:t xml:space="preserve"> </w:t>
      </w:r>
      <w:r>
        <w:t xml:space="preserve">economically meaningful motive effect. This is the quantitative case for</w:t>
      </w:r>
      <w:r>
        <w:t xml:space="preserve"> </w:t>
      </w:r>
      <w:r>
        <w:t xml:space="preserve">hand-coding. A sharper, narrative-based motive measure would (i) replace a coarse</w:t>
      </w:r>
      <w:r>
        <w:t xml:space="preserve"> </w:t>
      </w:r>
      <w:r>
        <w:t xml:space="preserve">binary that mixes cost-cutting and reallocation within the</w:t>
      </w:r>
      <w:r>
        <w:t xml:space="preserve"> </w:t>
      </w:r>
      <w:r>
        <w:t xml:space="preserve">“closure”</w:t>
      </w:r>
      <w:r>
        <w:t xml:space="preserve"> </w:t>
      </w:r>
      <w:r>
        <w:t xml:space="preserve">category</w:t>
      </w:r>
      <w:r>
        <w:t xml:space="preserve"> </w:t>
      </w:r>
      <w:r>
        <w:t xml:space="preserve">with a clean strategic-vs-defensive split, and (ii) plausibly reduce the noise that</w:t>
      </w:r>
      <w:r>
        <w:t xml:space="preserve"> </w:t>
      </w:r>
      <w:r>
        <w:t xml:space="preserve">inflates the current MDE, so that a true motive effect of, say, 1–3pp—below the</w:t>
      </w:r>
      <w:r>
        <w:t xml:space="preserve"> </w:t>
      </w:r>
      <w:r>
        <w:t xml:space="preserve">current</w:t>
      </w:r>
      <w:r>
        <w:t xml:space="preserve"> </w:t>
      </w:r>
      <m:oMath>
        <m:r>
          <m:t>5.1</m:t>
        </m:r>
      </m:oMath>
      <w:r>
        <w:t xml:space="preserve">pp detection threshold but consistent with the layoff literature—could</w:t>
      </w:r>
      <w:r>
        <w:t xml:space="preserve"> </w:t>
      </w:r>
      <w:r>
        <w:t xml:space="preserve">actually be detected. The design has been built to receive exactly that measure.</w:t>
      </w:r>
    </w:p>
    <w:bookmarkEnd w:id="32"/>
    <w:bookmarkStart w:id="33" w:name="sec:robust"/>
    <w:p>
      <w:pPr>
        <w:pStyle w:val="Heading1"/>
      </w:pPr>
      <w:r>
        <w:t xml:space="preserve">Robustness</w:t>
      </w:r>
    </w:p>
    <w:p>
      <w:pPr>
        <w:pStyle w:val="FirstParagraph"/>
      </w:pPr>
      <w:r>
        <w:t xml:space="preserve">Table </w:t>
      </w:r>
      <w:hyperlink w:anchor="tab:robust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re-estimates the full specification under alternative</w:t>
      </w:r>
      <w:r>
        <w:t xml:space="preserve"> </w:t>
      </w:r>
      <w:r>
        <w:t xml:space="preserve">choices. The relative-layoff effect is stable and negative across dependent</w:t>
      </w:r>
      <w:r>
        <w:t xml:space="preserve"> </w:t>
      </w:r>
      <w:r>
        <w:t xml:space="preserve">variables (CAR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t>0.031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2.01</m:t>
        </m:r>
      </m:oMath>
      <w:r>
        <w:t xml:space="preserve">; CAR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t>0.028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2.04</m:t>
        </m:r>
      </m:oMath>
      <w:r>
        <w:t xml:space="preserve">),</w:t>
      </w:r>
      <w:r>
        <w:t xml:space="preserve"> </w:t>
      </w:r>
      <w:r>
        <w:t xml:space="preserve">when 2022 events are dropped (</w:t>
      </w:r>
      <m:oMath>
        <m:r>
          <m:rPr>
            <m:sty m:val="p"/>
          </m:rPr>
          <m:t>−</m:t>
        </m:r>
        <m:r>
          <m:t>0.030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1.73</m:t>
        </m:r>
      </m:oMath>
      <w:r>
        <w:t xml:space="preserve">), when we restrict to</w:t>
      </w:r>
      <w:r>
        <w:t xml:space="preserve"> </w:t>
      </w:r>
      <w:r>
        <w:t xml:space="preserve">U.S.-incorporated firms (</w:t>
      </w:r>
      <m:oMath>
        <m:r>
          <m:rPr>
            <m:sty m:val="p"/>
          </m:rPr>
          <m:t>−</m:t>
        </m:r>
        <m:r>
          <m:t>0.025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1.75</m:t>
        </m:r>
      </m:oMath>
      <w:r>
        <w:t xml:space="preserve">), and when firm size is measured by</w:t>
      </w:r>
      <w:r>
        <w:t xml:space="preserve"> </w:t>
      </w:r>
      <w:r>
        <w:t xml:space="preserve">market capitalization instead of assets (</w:t>
      </w:r>
      <m:oMath>
        <m:r>
          <m:rPr>
            <m:sty m:val="p"/>
          </m:rPr>
          <m:t>−</m:t>
        </m:r>
        <m:r>
          <m:t>0.029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2.15</m:t>
        </m:r>
      </m:oMath>
      <w:r>
        <w:t xml:space="preserve">). The firm-size</w:t>
      </w:r>
      <w:r>
        <w:t xml:space="preserve"> </w:t>
      </w:r>
      <w:r>
        <w:t xml:space="preserve">coefficient is consistently positive, attenuating to insignificance only when</w:t>
      </w:r>
      <w:r>
        <w:t xml:space="preserve"> </w:t>
      </w:r>
      <w:r>
        <w:t xml:space="preserve">relative layoff (its near-mirror) is also in the model—an expected</w:t>
      </w:r>
      <w:r>
        <w:t xml:space="preserve"> </w:t>
      </w:r>
      <w:r>
        <w:t xml:space="preserve">multicollinearity, not a fragility. The closure (motive) proxy is insignificant in</w:t>
      </w:r>
      <w:r>
        <w:t xml:space="preserve"> </w:t>
      </w:r>
      <w:r>
        <w:t xml:space="preserve">all six columns. Together with the alternative-benchmark table</w:t>
      </w:r>
      <w:r>
        <w:t xml:space="preserve"> </w:t>
      </w:r>
      <w:r>
        <w:t xml:space="preserve">(Table </w:t>
      </w:r>
      <w:hyperlink w:anchor="tab:altbench">
        <w:r>
          <w:rPr>
            <w:rStyle w:val="Hyperlink"/>
          </w:rPr>
          <w:t xml:space="preserve">8</w:t>
        </w:r>
      </w:hyperlink>
      <w:r>
        <w:t xml:space="preserve">) and the randomization-inference table</w:t>
      </w:r>
      <w:r>
        <w:t xml:space="preserve"> </w:t>
      </w:r>
      <w:r>
        <w:t xml:space="preserve">(Table </w:t>
      </w:r>
      <w:hyperlink w:anchor="tab:randinf">
        <w:r>
          <w:rPr>
            <w:rStyle w:val="Hyperlink"/>
          </w:rPr>
          <w:t xml:space="preserve">7</w:t>
        </w:r>
      </w:hyperlink>
      <w:r>
        <w:t xml:space="preserve">), the materiality result is robust to window, sample,</w:t>
      </w:r>
      <w:r>
        <w:t xml:space="preserve"> </w:t>
      </w:r>
      <w:r>
        <w:t xml:space="preserve">size proxy, abnormal-return benchmark, and inference method; the null on the</w:t>
      </w:r>
      <w:r>
        <w:t xml:space="preserve"> </w:t>
      </w:r>
      <w:r>
        <w:t xml:space="preserve">machine-coded motive is equally robust—and, per Section </w:t>
      </w:r>
      <w:hyperlink w:anchor="sec:power">
        <w:r>
          <w:rPr>
            <w:rStyle w:val="Hyperlink"/>
          </w:rPr>
          <w:t xml:space="preserve">10</w:t>
        </w:r>
      </w:hyperlink>
      <w:r>
        <w:t xml:space="preserve">, equally</w:t>
      </w:r>
      <w:r>
        <w:t xml:space="preserve"> </w:t>
      </w:r>
      <w:r>
        <w:t xml:space="preserve">uninformative as a bound.</w:t>
      </w:r>
    </w:p>
    <w:bookmarkEnd w:id="33"/>
    <w:bookmarkStart w:id="56" w:name="sec:concl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Using a new matched WARN-to-CRSP sample, we find that the market’s reaction to a</w:t>
      </w:r>
      <w:r>
        <w:t xml:space="preserve"> </w:t>
      </w:r>
      <w:r>
        <w:t xml:space="preserve">mass-layoff notice is, on average, a modest negative</w:t>
      </w:r>
      <w:r>
        <w:t xml:space="preserve"> </w:t>
      </w:r>
      <m:oMath>
        <m:r>
          <m:rPr>
            <m:sty m:val="p"/>
          </m:rPr>
          <m:t>−</m:t>
        </m:r>
        <m:r>
          <m:t>1.6</m:t>
        </m:r>
        <m:r>
          <m:rPr>
            <m:sty m:val="p"/>
          </m:rPr>
          <m:t>%</m:t>
        </m:r>
      </m:oMath>
      <w:r>
        <w:t xml:space="preserve"> </w:t>
      </w:r>
      <w:r>
        <w:t xml:space="preserve">over five days</w:t>
      </w:r>
      <w:r>
        <w:t xml:space="preserve"> </w:t>
      </w:r>
      <w:r>
        <w:t xml:space="preserve">(robust, and stronger, under alternative benchmarks), but that this average is</w:t>
      </w:r>
      <w:r>
        <w:t xml:space="preserve"> </w:t>
      </w:r>
      <w:r>
        <w:t xml:space="preserve">almost entirely about</w:t>
      </w:r>
      <w:r>
        <w:t xml:space="preserve"> </w:t>
      </w:r>
      <w:r>
        <w:rPr>
          <w:i/>
          <w:iCs/>
        </w:rPr>
        <w:t xml:space="preserve">materiality</w:t>
      </w:r>
      <w:r>
        <w:t xml:space="preserve">: layoffs that are large relative to a</w:t>
      </w:r>
      <w:r>
        <w:t xml:space="preserve"> </w:t>
      </w:r>
      <w:r>
        <w:t xml:space="preserve">small firm are punished (</w:t>
      </w:r>
      <m:oMath>
        <m:r>
          <m:rPr>
            <m:sty m:val="p"/>
          </m:rPr>
          <m:t>−</m:t>
        </m:r>
        <m:r>
          <m:t>3.9</m:t>
        </m:r>
        <m:r>
          <m:rPr>
            <m:sty m:val="p"/>
          </m:rPr>
          <m:t>%</m:t>
        </m:r>
      </m:oMath>
      <w:r>
        <w:t xml:space="preserve">), while the same administrative event at a large</w:t>
      </w:r>
      <w:r>
        <w:t xml:space="preserve"> </w:t>
      </w:r>
      <w:r>
        <w:t xml:space="preserve">firm is a non-event. The number of workers laid off, per se, carries no</w:t>
      </w:r>
      <w:r>
        <w:t xml:space="preserve"> </w:t>
      </w:r>
      <w:r>
        <w:t xml:space="preserve">information, and randomization inference confirms the materiality effect is a</w:t>
      </w:r>
      <w:r>
        <w:t xml:space="preserve"> </w:t>
      </w:r>
      <w:r>
        <w:t xml:space="preserve">genuine signal (</w:t>
      </w:r>
      <m:oMath>
        <m:r>
          <m:t>p</m:t>
        </m:r>
        <m:r>
          <m:rPr>
            <m:sty m:val="p"/>
          </m:rPr>
          <m:t>=</m:t>
        </m:r>
        <m:r>
          <m:t>0.001</m:t>
        </m:r>
      </m:oMath>
      <w:r>
        <w:t xml:space="preserve">) rather than a standard-error artifact. Most importantly</w:t>
      </w:r>
      <w:r>
        <w:t xml:space="preserve"> </w:t>
      </w:r>
      <w:r>
        <w:t xml:space="preserve">for the question in our title, the one motive proxy available in administrative</w:t>
      </w:r>
      <w:r>
        <w:t xml:space="preserve"> </w:t>
      </w:r>
      <w:r>
        <w:t xml:space="preserve">data—plant closure versus ongoing-operation layoff—does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distinguish</w:t>
      </w:r>
      <w:r>
        <w:t xml:space="preserve"> </w:t>
      </w:r>
      <w:r>
        <w:t xml:space="preserve">the CARs, and the power analysis shows this is not a tight null: the machine proxy</w:t>
      </w:r>
      <w:r>
        <w:t xml:space="preserve"> </w:t>
      </w:r>
      <w:r>
        <w:t xml:space="preserve">could only have detected a motive effect of</w:t>
      </w:r>
      <w:r>
        <w:t xml:space="preserve"> </w:t>
      </w:r>
      <m:oMath>
        <m:r>
          <m:t>5.1</m:t>
        </m:r>
      </m:oMath>
      <w:r>
        <w:t xml:space="preserve"> </w:t>
      </w:r>
      <w:r>
        <w:t xml:space="preserve">percentage points, so it cannot</w:t>
      </w:r>
      <w:r>
        <w:t xml:space="preserve"> </w:t>
      </w:r>
      <w:r>
        <w:t xml:space="preserve">rule out the economically meaningful motive effects the strategy literature</w:t>
      </w:r>
      <w:r>
        <w:t xml:space="preserve"> </w:t>
      </w:r>
      <w:r>
        <w:t xml:space="preserve">predicts. Whether a layoff is cost-cutting or strategic reallocation is not legible</w:t>
      </w:r>
      <w:r>
        <w:t xml:space="preserve"> </w:t>
      </w:r>
      <w:r>
        <w:t xml:space="preserve">in the WARN category field. The natural and necessary next step, which this paper</w:t>
      </w:r>
      <w:r>
        <w:t xml:space="preserve"> </w:t>
      </w:r>
      <w:r>
        <w:t xml:space="preserve">is designed to enable, is to read the announcements and</w:t>
      </w:r>
      <w:r>
        <w:t xml:space="preserve"> </w:t>
      </w:r>
      <w:r>
        <w:rPr>
          <w:i/>
          <w:iCs/>
        </w:rPr>
        <w:t xml:space="preserve">hand-code</w:t>
      </w:r>
      <w:r>
        <w:t xml:space="preserve"> </w:t>
      </w:r>
      <w:r>
        <w:t xml:space="preserve">the</w:t>
      </w:r>
      <w:r>
        <w:t xml:space="preserve"> </w:t>
      </w:r>
      <w:r>
        <w:t xml:space="preserve">motive, then re-run the cross-section on it: only then can we answer whether the</w:t>
      </w:r>
      <w:r>
        <w:t xml:space="preserve"> </w:t>
      </w:r>
      <w:r>
        <w:t xml:space="preserve">market truly punishes cost-cutting and rewards reallocation, or vice versa.</w:t>
      </w:r>
      <w:r>
        <w:t xml:space="preserve"> </w:t>
      </w:r>
      <w:r>
        <w:t xml:space="preserve">Limitations include the three-state footprint (CA, TX, OR), the lead-name matching</w:t>
      </w:r>
      <w:r>
        <w:t xml:space="preserve"> </w:t>
      </w:r>
      <w:r>
        <w:t xml:space="preserve">(hand-verification pending), the 2022–2024 return window, and the coarse motive</w:t>
      </w:r>
      <w:r>
        <w:t xml:space="preserve"> </w:t>
      </w:r>
      <w:r>
        <w:t xml:space="preserve">proxy—each of which the student work is built to address.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Abadie, A., 2020. Statistical nonsignificance in</w:t>
      </w:r>
      <w:r>
        <w:t xml:space="preserve"> </w:t>
      </w:r>
      <w:r>
        <w:t xml:space="preserve">empirical economics. American Economic Review: Insights 2, 193–208.</w:t>
      </w:r>
      <w:r>
        <w:t xml:space="preserve"> </w:t>
      </w:r>
      <w:r>
        <w:t xml:space="preserve">Addison, J.T., Blackburn, M.L.,</w:t>
      </w:r>
      <w:r>
        <w:t xml:space="preserve"> </w:t>
      </w:r>
      <w:r>
        <w:t xml:space="preserve">1994. The Worker Adjustment and Retraining Notification Act: Effects on notice</w:t>
      </w:r>
      <w:r>
        <w:t xml:space="preserve"> </w:t>
      </w:r>
      <w:r>
        <w:t xml:space="preserve">provision. Industrial and Labor Relations Review 47, 650–662.</w:t>
      </w:r>
      <w:r>
        <w:t xml:space="preserve"> </w:t>
      </w:r>
      <w:r>
        <w:t xml:space="preserve">Boehmer, E., Musumeci, J., Poulsen,</w:t>
      </w:r>
      <w:r>
        <w:t xml:space="preserve"> </w:t>
      </w:r>
      <w:r>
        <w:t xml:space="preserve">A.B., 1991. Event-study methodology under conditions of event-induced variance.</w:t>
      </w:r>
      <w:r>
        <w:t xml:space="preserve"> </w:t>
      </w:r>
      <w:r>
        <w:t xml:space="preserve">Journal of Financial Economics 30, 253–272.</w:t>
      </w:r>
      <w:r>
        <w:t xml:space="preserve"> </w:t>
      </w:r>
      <w:r>
        <w:t xml:space="preserve">Brown, S.J., Warner, J.B., 1985. Using</w:t>
      </w:r>
      <w:r>
        <w:t xml:space="preserve"> </w:t>
      </w:r>
      <w:r>
        <w:t xml:space="preserve">daily stock returns: The case of event studies. Journal of Financial Economics</w:t>
      </w:r>
      <w:r>
        <w:t xml:space="preserve"> </w:t>
      </w:r>
      <w:r>
        <w:t xml:space="preserve">14, 3–31.</w:t>
      </w:r>
      <w:r>
        <w:t xml:space="preserve"> </w:t>
      </w:r>
      <w:r>
        <w:t xml:space="preserve">Cascio, W.F., 1993. Downsizing: What do we</w:t>
      </w:r>
      <w:r>
        <w:t xml:space="preserve"> </w:t>
      </w:r>
      <w:r>
        <w:t xml:space="preserve">know? What have we learned? Academy of Management Executive 7, 95–104.</w:t>
      </w:r>
      <w:r>
        <w:t xml:space="preserve"> </w:t>
      </w:r>
      <w:r>
        <w:t xml:space="preserve">Chen, P., Mehrotra, V., Sivakumar, R., Yu,</w:t>
      </w:r>
      <w:r>
        <w:t xml:space="preserve"> </w:t>
      </w:r>
      <w:r>
        <w:t xml:space="preserve">W.W., 2001. Layoffs, shareholders’ wealth, and corporate performance. Journal of</w:t>
      </w:r>
      <w:r>
        <w:t xml:space="preserve"> </w:t>
      </w:r>
      <w:r>
        <w:t xml:space="preserve">Empirical Finance 8, 171–199.</w:t>
      </w:r>
      <w:r>
        <w:t xml:space="preserve"> </w:t>
      </w:r>
      <w:r>
        <w:t xml:space="preserve">Corrado, C.J., 1989. A nonparametric test for</w:t>
      </w:r>
      <w:r>
        <w:t xml:space="preserve"> </w:t>
      </w:r>
      <w:r>
        <w:t xml:space="preserve">abnormal security-price performance in event studies. Journal of Financial</w:t>
      </w:r>
      <w:r>
        <w:t xml:space="preserve"> </w:t>
      </w:r>
      <w:r>
        <w:t xml:space="preserve">Economics 23, 385–395.</w:t>
      </w:r>
      <w:r>
        <w:t xml:space="preserve"> </w:t>
      </w:r>
      <w:r>
        <w:t xml:space="preserve">Elayan, F.A., Swales, G.S., Maris, B.A.,</w:t>
      </w:r>
      <w:r>
        <w:t xml:space="preserve"> </w:t>
      </w:r>
      <w:r>
        <w:t xml:space="preserve">Scott, J.R., 1998. Market reactions, characteristics, and the effectiveness of</w:t>
      </w:r>
      <w:r>
        <w:t xml:space="preserve"> </w:t>
      </w:r>
      <w:r>
        <w:t xml:space="preserve">corporate layoffs. Journal of Business Finance &amp; Accounting 25, 329–351.</w:t>
      </w:r>
      <w:r>
        <w:t xml:space="preserve"> </w:t>
      </w:r>
      <w:r>
        <w:t xml:space="preserve">Farber, H.S., Hallock, K.F., 2009.</w:t>
      </w:r>
      <w:r>
        <w:t xml:space="preserve"> </w:t>
      </w:r>
      <w:r>
        <w:t xml:space="preserve">The changing relationship between job loss announcements and stock prices:</w:t>
      </w:r>
      <w:r>
        <w:t xml:space="preserve"> </w:t>
      </w:r>
      <w:r>
        <w:t xml:space="preserve">1970–1999. Labour Economics 16, 1–11.</w:t>
      </w:r>
      <w:r>
        <w:t xml:space="preserve"> </w:t>
      </w:r>
      <w:r>
        <w:t xml:space="preserve">Guthrie, J.P., Datta, D.K., 2008.</w:t>
      </w:r>
      <w:r>
        <w:t xml:space="preserve"> </w:t>
      </w:r>
      <w:r>
        <w:t xml:space="preserve">Dumb and dumber: The impact of downsizing on firm performance as moderated by</w:t>
      </w:r>
      <w:r>
        <w:t xml:space="preserve"> </w:t>
      </w:r>
      <w:r>
        <w:t xml:space="preserve">industry conditions. Organization Science 19, 108–123.</w:t>
      </w:r>
      <w:r>
        <w:t xml:space="preserve"> </w:t>
      </w:r>
      <w:r>
        <w:t xml:space="preserve">Hallock, K.F., 1998. Layoffs, top executive</w:t>
      </w:r>
      <w:r>
        <w:t xml:space="preserve"> </w:t>
      </w:r>
      <w:r>
        <w:t xml:space="preserve">pay, and firm performance. American Economic Review 88, 711–723.</w:t>
      </w:r>
      <w:r>
        <w:t xml:space="preserve"> </w:t>
      </w:r>
      <w:r>
        <w:t xml:space="preserve">Kolari, J.W., Pynnönen, S.,</w:t>
      </w:r>
      <w:r>
        <w:t xml:space="preserve"> </w:t>
      </w:r>
      <w:r>
        <w:t xml:space="preserve">2010. Event study testing with cross-sectional correlation of abnormal returns.</w:t>
      </w:r>
      <w:r>
        <w:t xml:space="preserve"> </w:t>
      </w:r>
      <w:r>
        <w:t xml:space="preserve">Review of Financial Studies 23, 3996–4025.</w:t>
      </w:r>
      <w:r>
        <w:t xml:space="preserve"> </w:t>
      </w:r>
      <w:r>
        <w:t xml:space="preserve">Love, E.G., Nohria, N., 2005. Reducing</w:t>
      </w:r>
      <w:r>
        <w:t xml:space="preserve"> </w:t>
      </w:r>
      <w:r>
        <w:t xml:space="preserve">slack: The performance consequences of downsizing by large industrial firms,</w:t>
      </w:r>
      <w:r>
        <w:t xml:space="preserve"> </w:t>
      </w:r>
      <w:r>
        <w:t xml:space="preserve">1977–93. Strategic Management Journal 26, 1087–1108.</w:t>
      </w:r>
      <w:r>
        <w:t xml:space="preserve"> </w:t>
      </w:r>
      <w:r>
        <w:t xml:space="preserve">MacKinlay, A.C., 1997. Event studies in</w:t>
      </w:r>
      <w:r>
        <w:t xml:space="preserve"> </w:t>
      </w:r>
      <w:r>
        <w:t xml:space="preserve">economics and finance. Journal of Economic Literature 35, 13–39.</w:t>
      </w:r>
      <w:r>
        <w:t xml:space="preserve"> </w:t>
      </w:r>
      <w:r>
        <w:t xml:space="preserve">Nixon, R.D., Hitt, M.A., Lee, H.-U., Jeong,</w:t>
      </w:r>
      <w:r>
        <w:t xml:space="preserve"> </w:t>
      </w:r>
      <w:r>
        <w:t xml:space="preserve">E., 2004. Market reactions to announcements of corporate downsizing actions and</w:t>
      </w:r>
      <w:r>
        <w:t xml:space="preserve"> </w:t>
      </w:r>
      <w:r>
        <w:t xml:space="preserve">implementation strategies. Strategic Management Journal 25, 1121–1129.</w:t>
      </w:r>
      <w:r>
        <w:t xml:space="preserve"> </w:t>
      </w:r>
      <w:r>
        <w:t xml:space="preserve">Palmon, O., Sun, H.-L., Tang, A.P.,</w:t>
      </w:r>
      <w:r>
        <w:t xml:space="preserve"> </w:t>
      </w:r>
      <w:r>
        <w:t xml:space="preserve">1997. Layoff announcements: Stock price impact and financial performance.</w:t>
      </w:r>
      <w:r>
        <w:t xml:space="preserve"> </w:t>
      </w:r>
      <w:r>
        <w:t xml:space="preserve">Financial Management 26, 54–68.</w:t>
      </w:r>
      <w:r>
        <w:t xml:space="preserve"> </w:t>
      </w:r>
      <w:r>
        <w:t xml:space="preserve">Worrell, D.L., Davidson, W.N., Sharma,</w:t>
      </w:r>
      <w:r>
        <w:t xml:space="preserve"> </w:t>
      </w:r>
      <w:r>
        <w:t xml:space="preserve">V.M., 1991. Layoff announcements and stockholder wealth. Academy of Management</w:t>
      </w:r>
      <w:r>
        <w:t xml:space="preserve"> </w:t>
      </w:r>
      <w:r>
        <w:t xml:space="preserve">Journal 34, 662–678.</w:t>
      </w:r>
      <w:r>
        <w:t xml:space="preserve"> </w:t>
      </w:r>
      <w:r>
        <w:t xml:space="preserve">Young, A., 2019. Channeling Fisher: Randomization</w:t>
      </w:r>
      <w:r>
        <w:t xml:space="preserve"> </w:t>
      </w:r>
      <w:r>
        <w:t xml:space="preserve">tests and the statistical insignificance of seemingly significant experimental</w:t>
      </w:r>
      <w:r>
        <w:t xml:space="preserve"> </w:t>
      </w:r>
      <w:r>
        <w:t xml:space="preserve">results. Quarterly Journal of Economics 134, 557–598.</w:t>
      </w:r>
    </w:p>
    <w:bookmarkStart w:id="34" w:name="tab:sumstats"/>
    <w:p>
      <w:pPr>
        <w:pStyle w:val="TableCaption"/>
      </w:pPr>
      <w:r>
        <w:t xml:space="preserve">Summary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mmary statistics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CAR[0,+5]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CAR[0,+2]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CAR[-1,+1]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Layoff headcount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177.6650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332.2369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175.5000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Rel. layoff (head/emp)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1.6386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ln(Assets)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8.9155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2.2043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7.1792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8.9557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10.6545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ln(Mkt cap)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8.9056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2.5687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7.1311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8.9423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10.8217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Closure (0/1)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 (0/1)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1.0000</w:t>
            </w:r>
          </w:p>
        </w:tc>
      </w:tr>
    </w:tbl>
    <w:bookmarkEnd w:id="34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615 matched firm-events, 2022–2024.</w:t>
      </w:r>
      <w:r>
        <w:t xml:space="preserve"> </w:t>
      </w:r>
      <w:r>
        <w:t xml:space="preserve">CARs are market-model (CRSP value-weighted index, estimation window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252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46</m:t>
        </m:r>
        <m:r>
          <m:rPr>
            <m:sty m:val="p"/>
          </m:rPr>
          <m:t>]</m:t>
        </m:r>
      </m:oMath>
      <w:r>
        <w:t xml:space="preserve">). Relative layoff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event headcount / firm employees; firm</w:t>
      </w:r>
      <w:r>
        <w:t xml:space="preserve"> </w:t>
      </w:r>
      <w:r>
        <w:t xml:space="preserve">fundamentals are the most recent Compustat fiscal year before the event.</w:t>
      </w:r>
    </w:p>
    <w:bookmarkStart w:id="35" w:name="tab:cars"/>
    <w:p>
      <w:pPr>
        <w:pStyle w:val="TableCaption"/>
      </w:pPr>
      <w:r>
        <w:t xml:space="preserve">Cumulative abnormal returns around WARN notices, by window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umulative abnormal returns around WARN notices, by window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 window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CAR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Median (%)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-stat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[-1,+1]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[0,+1]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-1.69*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[0,+2]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-2.22**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[0,+5]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-2.41**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[-1,+5]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[-10,-2] 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579</w:t>
            </w:r>
          </w:p>
        </w:tc>
      </w:tr>
    </w:tbl>
    <w:bookmarkEnd w:id="35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Day 0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first trading day on/after</w:t>
      </w:r>
      <w:r>
        <w:t xml:space="preserve"> </w:t>
      </w:r>
      <w:r>
        <w:t xml:space="preserve">the WARN notice date.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is a pre-event placebo.</w:t>
      </w:r>
      <w:r>
        <w:t xml:space="preserve"> </w:t>
      </w:r>
      <m:oMath>
        <m:r>
          <m:t>t</m:t>
        </m:r>
      </m:oMath>
      <w:r>
        <w:t xml:space="preserve">-statistics test the</w:t>
      </w:r>
      <w:r>
        <w:t xml:space="preserve"> </w:t>
      </w:r>
      <w:r>
        <w:t xml:space="preserve">mean CAR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6" w:name="tab:groups"/>
    <w:p>
      <w:pPr>
        <w:pStyle w:val="TableCaption"/>
      </w:pPr>
      <w:r>
        <w:t xml:space="preserve">Mean CAR[0,+5] by subgroup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ean CAR[0,+5] by subgroup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CAR[0,+5]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Median (%)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-stat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Ongoing-op layoff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-2.32**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Non-tech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-2.54**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firm (below-median assets)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-2.86***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firm (above-median assets)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rel. layoff (top half)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-2.70***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rel. layoff (bottom half)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</w:t>
            </w:r>
          </w:p>
        </w:tc>
      </w:tr>
    </w:tbl>
    <w:bookmarkEnd w:id="36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Small/large firm split at median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nor/>
            <m:sty m:val="p"/>
          </m:rPr>
          <m:t>assets</m:t>
        </m:r>
        <m:r>
          <m:rPr>
            <m:sty m:val="p"/>
          </m:rPr>
          <m:t>)</m:t>
        </m:r>
      </m:oMath>
      <w:r>
        <w:t xml:space="preserve">; relative-layoff split at the median. Closure vs. ongoing-operation layoff from the WARN type field (our crude motive proxy).</w:t>
      </w:r>
    </w:p>
    <w:bookmarkStart w:id="37" w:name="tab:main"/>
    <w:p>
      <w:pPr>
        <w:pStyle w:val="TableCaption"/>
      </w:pPr>
      <w:r>
        <w:t xml:space="preserve">Cross-section of WARN-notice CARs: materiality, not headcount or motive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ross-section of WARN-notice CARs: materiality, not headcount or motive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(1) Rel. layoff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(2) ln(Headcount)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(3) ln(Assets)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(4) All three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(5) +Motive/Tech/Yr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2-6</w:t>
            </w:r>
            <w:r>
              <w:t xml:space="preserve"> </w:t>
            </w:r>
            <w:r>
              <w:t xml:space="preserve">Rel. layoff (head/emp),</w:t>
            </w:r>
            <w:r>
              <w:t xml:space="preserve"> </w:t>
            </w:r>
            <m:oMath>
              <m:r>
                <m:t>z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-0.0335***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-0.0256*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-0.0253*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(-2.77)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(-1.87)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(-1.82)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ln(Layoff headcount),</w:t>
            </w:r>
            <w:r>
              <w:t xml:space="preserve"> </w:t>
            </w:r>
            <m:oMath>
              <m:r>
                <m:t>z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0.0030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0.0057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0.0052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(0.46)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(0.89)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(0.74)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ln(Assets),</w:t>
            </w:r>
            <w:r>
              <w:t xml:space="preserve"> </w:t>
            </w:r>
            <m:oMath>
              <m:r>
                <m:t>z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0.0308***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0.0154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(3.34)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Closure (0/1)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-0.0013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(-0.07)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 (0/1)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0.0058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(0.47)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0.053</w:t>
            </w:r>
          </w:p>
        </w:tc>
      </w:tr>
    </w:tbl>
    <w:bookmarkEnd w:id="37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DV is CAR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]</m:t>
        </m:r>
      </m:oMath>
      <w:r>
        <w:t xml:space="preserve">. Continuous</w:t>
      </w:r>
      <w:r>
        <w:t xml:space="preserve"> </w:t>
      </w:r>
      <w:r>
        <w:t xml:space="preserve">predictors winsorized 1/99 and standardized (coefficient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effect of a one-SD</w:t>
      </w:r>
      <w:r>
        <w:t xml:space="preserve"> </w:t>
      </w:r>
      <w:r>
        <w:t xml:space="preserve">increase, in CAR points).</w:t>
      </w:r>
      <w:r>
        <w:t xml:space="preserve"> </w:t>
      </w:r>
      <w:r>
        <w:rPr>
          <w:i/>
          <w:iCs/>
        </w:rPr>
        <w:t xml:space="preserve">Closure</w:t>
      </w:r>
      <w:r>
        <w:t xml:space="preserve"> </w:t>
      </w:r>
      <w:r>
        <w:t xml:space="preserve">is the plant-closure indicator (proxy for</w:t>
      </w:r>
      <w:r>
        <w:t xml:space="preserve"> </w:t>
      </w:r>
      <w:r>
        <w:t xml:space="preserve">strategic exit/reallocation vs. cost-cutting).</w:t>
      </w:r>
      <w:r>
        <w:t xml:space="preserve"> </w:t>
      </w:r>
      <m:oMath>
        <m:r>
          <m:t>t</m:t>
        </m:r>
      </m:oMath>
      <w:r>
        <w:t xml:space="preserve">-statistics clustered by firm</w:t>
      </w:r>
      <w:r>
        <w:t xml:space="preserve"> </w:t>
      </w:r>
      <w:r>
        <w:t xml:space="preserve">in parentheses.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8" w:name="tab:hetero"/>
    <w:p>
      <w:pPr>
        <w:pStyle w:val="TableCaption"/>
      </w:pPr>
      <w:r>
        <w:t xml:space="preserve">Heterogeneity: the punishment is a small-firm phenomenon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eterogeneity: the punishment is a small-firm phenomenon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Rel. layoff (</w:t>
            </w:r>
            <m:oMath>
              <m:r>
                <m:t>z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ln(Assets) (</w:t>
            </w:r>
            <m:oMath>
              <m:r>
                <m:t>z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Closure x Rel.layoff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-0.0215 (-1.55)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-0.0103 (-0.33)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0.0168* (1.76)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 x Rel.layoff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0.0405** (2.08)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-0.0647*** (-2.86)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0.0255* (1.81)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 x Rel.layoff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-0.0275* (-1.79)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0.0213 (1.23)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0.0168* (1.77)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</w:tr>
    </w:tbl>
    <w:bookmarkEnd w:id="38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DV is CAR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]</m:t>
        </m:r>
      </m:oMath>
      <w:r>
        <w:t xml:space="preserve">. Each row adds an</w:t>
      </w:r>
      <w:r>
        <w:t xml:space="preserve"> </w:t>
      </w:r>
      <w:r>
        <w:t xml:space="preserve">interaction of the standardized relative-layoff ratio with, respectively, the</w:t>
      </w:r>
      <w:r>
        <w:t xml:space="preserve"> </w:t>
      </w:r>
      <w:r>
        <w:t xml:space="preserve">closure dummy, a below-median-size dummy, and the tech dummy. Firm-clustered</w:t>
      </w:r>
      <w:r>
        <w:t xml:space="preserve"> </w:t>
      </w:r>
      <m:oMath>
        <m:r>
          <m:t>t</m:t>
        </m:r>
      </m:oMath>
      <w:r>
        <w:t xml:space="preserve">-statistics in parentheses.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9" w:name="tab:heteroext"/>
    <w:p>
      <w:pPr>
        <w:pStyle w:val="TableCaption"/>
      </w:pPr>
      <w:r>
        <w:t xml:space="preserve">Extended heterogeneity: the materiality effect is not concentrated in any</w:t>
      </w:r>
      <w:r>
        <w:t xml:space="preserve"> </w:t>
      </w:r>
      <w:r>
        <w:t xml:space="preserve">observable subgroup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xtended heterogeneity: the materiality effect is not concentrated in any observable subgroup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Moderator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(observable, pre-event)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Rel. layoff (</w:t>
            </w:r>
            <m:oMath>
              <m:r>
                <m:t>z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Rel.</w:t>
            </w:r>
            <m:oMath>
              <m:r>
                <m:rPr>
                  <m:sty m:val="p"/>
                </m:rPr>
                <m:t>×</m:t>
              </m:r>
              <m: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market-to-assets (glamour)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-0.0255 (-1.55)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+0.0042 (+0.18)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-0.0069 (-0.52)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asset turnover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-0.0184 (-1.17)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-0.0168 (-0.58)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+0.0101 (+0.56)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sample (2022 event)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-0.0260 (-1.54)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+0.0058 (+0.25)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+0.0020 (+0.10)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Goods-producing (non-tech mfg.)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-0.0237* (-1.69)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-0.0002 (-0.01)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-0.0044 (-0.31)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567</w:t>
            </w:r>
          </w:p>
        </w:tc>
      </w:tr>
    </w:tbl>
    <w:bookmarkEnd w:id="39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DV is CAR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]</m:t>
        </m:r>
      </m:oMath>
      <w:r>
        <w:t xml:space="preserve">. Each row is a</w:t>
      </w:r>
      <w:r>
        <w:t xml:space="preserve"> </w:t>
      </w:r>
      <w:r>
        <w:t xml:space="preserve">separate regression that interacts the standardized relative-layoff ratio with one</w:t>
      </w:r>
      <w:r>
        <w:t xml:space="preserve"> </w:t>
      </w:r>
      <w:r>
        <w:t xml:space="preserve">pre-event, observable moderator</w:t>
      </w:r>
      <w:r>
        <w:t xml:space="preserve"> </w:t>
      </w:r>
      <m:oMath>
        <m:r>
          <m:t>M</m:t>
        </m:r>
      </m:oMath>
      <w:r>
        <w:t xml:space="preserve">, always controlling for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nor/>
            <m:sty m:val="p"/>
          </m:rPr>
          <m:t>assets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Moderators: high market-to-assets (glamour/growth), high asset turnover, an</w:t>
      </w:r>
      <w:r>
        <w:t xml:space="preserve"> </w:t>
      </w:r>
      <w:r>
        <w:t xml:space="preserve">early-sample (2022 event) indicator, and a goods-producing (non-tech</w:t>
      </w:r>
      <w:r>
        <w:t xml:space="preserve"> </w:t>
      </w:r>
      <w:r>
        <w:t xml:space="preserve">manufacturing) indicator. Reported are the relative-layoff slope, the</w:t>
      </w:r>
      <w:r>
        <w:t xml:space="preserve"> </w:t>
      </w:r>
      <w:r>
        <w:t xml:space="preserve">relative</w:t>
      </w:r>
      <m:oMath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itself, with firm-clustered</w:t>
      </w:r>
      <w:r>
        <w:t xml:space="preserve"> </w:t>
      </w:r>
      <m:oMath>
        <m:r>
          <m:t>t</m:t>
        </m:r>
      </m:oMath>
      <w:r>
        <w:t xml:space="preserve">-statistics</w:t>
      </w:r>
      <w:r>
        <w:t xml:space="preserve"> </w:t>
      </w:r>
      <w:r>
        <w:t xml:space="preserve">in parentheses. The reserved hand-coded motive is deliberately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used as</w:t>
      </w:r>
      <w:r>
        <w:t xml:space="preserve"> </w:t>
      </w:r>
      <w:r>
        <w:t xml:space="preserve">a moderator.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40" w:name="tab:randinf"/>
    <w:p>
      <w:pPr>
        <w:pStyle w:val="TableCaption"/>
      </w:pPr>
      <w:r>
        <w:t xml:space="preserve">Randomization inference (2</w:t>
      </w:r>
      <w:r>
        <w:t xml:space="preserve">,</w:t>
      </w:r>
      <w:r>
        <w:t xml:space="preserve">000 permutations of the regressor)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andomization inference (2,000 permutations of the regressor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Coefficient (DV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CAR[0,+5])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Perm. 95% interval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Rel. layoff (materiality),</w:t>
            </w:r>
            <w:r>
              <w:t xml:space="preserve"> </w:t>
            </w:r>
            <m:oMath>
              <m:r>
                <m:t>z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-0.0242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[-0.0135, +0.0128]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Closure (machine motive proxy)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[-0.0311, +0.0296]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0.9230</w:t>
            </w:r>
          </w:p>
        </w:tc>
      </w:tr>
    </w:tbl>
    <w:bookmarkEnd w:id="40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DV is CAR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]</m:t>
        </m:r>
      </m:oMath>
      <w:r>
        <w:t xml:space="preserve">. The regressor is</w:t>
      </w:r>
      <w:r>
        <w:t xml:space="preserve"> </w:t>
      </w:r>
      <w:r>
        <w:t xml:space="preserve">permuted across events 2</w:t>
      </w:r>
      <w:r>
        <w:t xml:space="preserve">,</w:t>
      </w:r>
      <w:r>
        <w:t xml:space="preserve">000 times under the sharp null of no cross-sectional</w:t>
      </w:r>
      <w:r>
        <w:t xml:space="preserve"> </w:t>
      </w:r>
      <w:r>
        <w:t xml:space="preserve">relation; the same OLS specification is re-estimated each time. The materiality</w:t>
      </w:r>
      <w:r>
        <w:t xml:space="preserve"> </w:t>
      </w:r>
      <w:r>
        <w:t xml:space="preserve">slope is from the size-controlled specification (relative layoff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nor/>
            <m:sty m:val="p"/>
          </m:rPr>
          <m:t>assets</m:t>
        </m:r>
        <m:r>
          <m:rPr>
            <m:sty m:val="p"/>
          </m:rPr>
          <m:t>)</m:t>
        </m:r>
      </m:oMath>
      <w:r>
        <w:t xml:space="preserve">); the closure coefficient is from the full specification. The</w:t>
      </w:r>
      <w:r>
        <w:t xml:space="preserve"> </w:t>
      </w:r>
      <w:r>
        <w:t xml:space="preserve">“Perm. 95% interval”</w:t>
      </w:r>
      <w:r>
        <w:t xml:space="preserve"> </w:t>
      </w:r>
      <w:r>
        <w:t xml:space="preserve">is the 2.5–97.5 percentile of the permutation</w:t>
      </w:r>
      <w:r>
        <w:t xml:space="preserve"> </w:t>
      </w:r>
      <w:r>
        <w:t xml:space="preserve">distribution; the RI</w:t>
      </w:r>
      <w:r>
        <w:t xml:space="preserve"> </w:t>
      </w:r>
      <m:oMath>
        <m:r>
          <m:t>p</m:t>
        </m:r>
      </m:oMath>
      <w:r>
        <w:t xml:space="preserve">-value is the share of permutations with</w:t>
      </w:r>
      <w:r>
        <w:t xml:space="preserve"> </w:t>
      </w:r>
      <m:oMath>
        <m:r>
          <m:rPr>
            <m:sty m:val="p"/>
          </m:rPr>
          <m:t>|</m:t>
        </m:r>
        <m:r>
          <m:rPr>
            <m:nor/>
            <m:sty m:val="p"/>
          </m:rPr>
          <m:t>coefficient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rPr>
            <m:sty m:val="p"/>
          </m:rPr>
          <m:t>|</m:t>
        </m:r>
        <m:r>
          <m:rPr>
            <m:nor/>
            <m:sty m:val="p"/>
          </m:rPr>
          <m:t>actual</m:t>
        </m:r>
        <m:r>
          <m:rPr>
            <m:sty m:val="p"/>
          </m:rPr>
          <m:t>|</m:t>
        </m:r>
      </m:oMath>
      <w:r>
        <w:t xml:space="preserve">. See Figure </w:t>
      </w:r>
      <w:hyperlink w:anchor="fig:ri">
        <w:r>
          <w:rPr>
            <w:rStyle w:val="Hyperlink"/>
          </w:rPr>
          <w:t xml:space="preserve">3</w:t>
        </w:r>
      </w:hyperlink>
      <w:r>
        <w:t xml:space="preserve">.</w:t>
      </w:r>
    </w:p>
    <w:bookmarkStart w:id="41" w:name="tab:altbench"/>
    <w:p>
      <w:pPr>
        <w:pStyle w:val="TableCaption"/>
      </w:pPr>
      <w:r>
        <w:t xml:space="preserve">Alternative abnormal-return benchmarks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lternative abnormal-return benchmark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Abnormal-return benchmark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CAR (%)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Rel. layoff (</w:t>
            </w:r>
            <m:oMath>
              <m:r>
                <m:t>z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ln(Assets) (</w:t>
            </w:r>
            <m:oMath>
              <m:r>
                <m:t>z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 model (base)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-2.41**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-0.0242* (-1.81)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+0.0165* (+1.73)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Market-adjusted (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-3.03***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-0.0274** (-2.08)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+0.0193** (+1.98)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S&amp;P 500-adjusted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-3.06***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-0.0271** (-2.05)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+0.0196** (+2.01)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Mean-adjusted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-0.0197 (-1.48)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+0.0176* (+1.83)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567</w:t>
            </w:r>
          </w:p>
        </w:tc>
      </w:tr>
    </w:tbl>
    <w:bookmarkEnd w:id="41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CAR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re-derived from raw CRSP</w:t>
      </w:r>
      <w:r>
        <w:t xml:space="preserve"> </w:t>
      </w:r>
      <w:r>
        <w:t xml:space="preserve">daily returns under four benchmarks: the firm-specific market model (base);</w:t>
      </w:r>
      <w:r>
        <w:t xml:space="preserve"> </w:t>
      </w:r>
      <w:r>
        <w:t xml:space="preserve">market-adjusted (</w:t>
      </w:r>
      <m:oMath>
        <m:sSub>
          <m:e>
            <m:r>
              <m:t>R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m</m:t>
            </m:r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); S&amp;P-500-adjusted</w:t>
      </w:r>
      <w:r>
        <w:t xml:space="preserve"> </w:t>
      </w:r>
      <w:r>
        <w:t xml:space="preserve">(</w:t>
      </w:r>
      <m:oMath>
        <m:sSub>
          <m:e>
            <m:r>
              <m:t>R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−</m:t>
        </m:r>
        <m:sSubSup>
          <m:e>
            <m:r>
              <m:t>R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S&amp;P</m:t>
            </m:r>
          </m:sup>
        </m:sSubSup>
      </m:oMath>
      <w:r>
        <w:t xml:space="preserve">); and mean-adjusted (</w:t>
      </w:r>
      <m:oMath>
        <m:sSub>
          <m:e>
            <m:r>
              <m:t>R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less the firm’s</w:t>
      </w:r>
      <w:r>
        <w:t xml:space="preserve"> </w:t>
      </w:r>
      <w:r>
        <w:t xml:space="preserve">estimation-window mean).</w:t>
      </w:r>
      <w:r>
        <w:t xml:space="preserve"> </w:t>
      </w:r>
      <w:r>
        <w:t xml:space="preserve">“Mean CAR”</w:t>
      </w:r>
      <w:r>
        <w:t xml:space="preserve"> </w:t>
      </w:r>
      <w:r>
        <w:t xml:space="preserve">and its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test H1; the relative-layoff and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nor/>
            <m:sty m:val="p"/>
          </m:rPr>
          <m:t>assets</m:t>
        </m:r>
        <m:r>
          <m:rPr>
            <m:sty m:val="p"/>
          </m:rPr>
          <m:t>)</m:t>
        </m:r>
      </m:oMath>
      <w:r>
        <w:t xml:space="preserve"> </w:t>
      </w:r>
      <w:r>
        <w:t xml:space="preserve">slopes (size-controlled specification, firm-clustered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parentheses) test H2. The rebuilt market-model CAR reconciles with the base CARs</w:t>
      </w:r>
      <w:r>
        <w:t xml:space="preserve"> </w:t>
      </w:r>
      <w:r>
        <w:t xml:space="preserve">to machine precision.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42" w:name="tab:power"/>
    <w:p>
      <w:pPr>
        <w:pStyle w:val="TableCaption"/>
      </w:pPr>
      <w:r>
        <w:t xml:space="preserve">Minimum detectable effects at 80% power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inimum detectable effects at 80% power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 (pp)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 (pp)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MDE 80% (pp)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Rel. layoff (materiality),</w:t>
            </w:r>
            <w:r>
              <w:t xml:space="preserve"> </w:t>
            </w:r>
            <m:oMath>
              <m:r>
                <m:t>z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-2.53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ln(Assets),</w:t>
            </w:r>
            <w:r>
              <w:t xml:space="preserve"> </w:t>
            </w:r>
            <m:oMath>
              <m:r>
                <m:t>z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+1.54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Closure (machine motive proxy)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CAR[0,+5]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1.85</w:t>
            </w:r>
          </w:p>
        </w:tc>
      </w:tr>
    </w:tbl>
    <w:bookmarkEnd w:id="42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MDE(80%)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0.80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×</m:t>
        </m:r>
      </m:oMath>
      <w:r>
        <w:t xml:space="preserve">SE</w:t>
      </w:r>
      <w:r>
        <w:t xml:space="preserve"> </w:t>
      </w:r>
      <m:oMath>
        <m:r>
          <m:rPr>
            <m:sty m:val="p"/>
          </m:rPr>
          <m:t>≈</m:t>
        </m:r>
        <m:r>
          <m:t>2.80</m:t>
        </m:r>
        <m:r>
          <m:rPr>
            <m:sty m:val="p"/>
          </m:rPr>
          <m:t>×</m:t>
        </m:r>
      </m:oMath>
      <w:r>
        <w:t xml:space="preserve">SE, in CAR percentage points. Coefficients are from</w:t>
      </w:r>
      <w:r>
        <w:t xml:space="preserve"> </w:t>
      </w:r>
      <w:r>
        <w:t xml:space="preserve">the full cross-sectional specification (Table </w:t>
      </w:r>
      <w:hyperlink w:anchor="tab:main">
        <w:r>
          <w:rPr>
            <w:rStyle w:val="Hyperlink"/>
          </w:rPr>
          <w:t xml:space="preserve">4</w:t>
        </w:r>
      </w:hyperlink>
      <w:r>
        <w:t xml:space="preserve">, column 5); the</w:t>
      </w:r>
      <w:r>
        <w:t xml:space="preserve"> </w:t>
      </w:r>
      <w:r>
        <w:t xml:space="preserve">average CAR row uses the one-sample standard error. A</w:t>
      </w:r>
      <w:r>
        <w:t xml:space="preserve"> </w:t>
      </w:r>
      <w:r>
        <w:rPr>
          <w:i/>
          <w:iCs/>
        </w:rPr>
        <w:t xml:space="preserve">small</w:t>
      </w:r>
      <w:r>
        <w:t xml:space="preserve"> </w:t>
      </w:r>
      <w:r>
        <w:t xml:space="preserve">MDE relative to</w:t>
      </w:r>
      <w:r>
        <w:t xml:space="preserve"> </w:t>
      </w:r>
      <w:r>
        <w:t xml:space="preserve">the estimate (materiality; average CAR) indicates a well-identified effect; a</w:t>
      </w:r>
      <w:r>
        <w:t xml:space="preserve"> </w:t>
      </w:r>
      <w:r>
        <w:rPr>
          <w:i/>
          <w:iCs/>
        </w:rPr>
        <w:t xml:space="preserve">large</w:t>
      </w:r>
      <w:r>
        <w:t xml:space="preserve"> </w:t>
      </w:r>
      <w:r>
        <w:t xml:space="preserve">MDE relative to plausible effect sizes (the closure/motive proxy,</w:t>
      </w:r>
      <w:r>
        <w:t xml:space="preserve"> </w:t>
      </w:r>
      <m:oMath>
        <m:r>
          <m:t>5.1</m:t>
        </m:r>
      </m:oMath>
      <w:r>
        <w:t xml:space="preserve">pp) indicates an uninformative null—the design could not have detected an</w:t>
      </w:r>
      <w:r>
        <w:t xml:space="preserve"> </w:t>
      </w:r>
      <w:r>
        <w:t xml:space="preserve">economically meaningful motive effect with the machine proxy, motivating the</w:t>
      </w:r>
      <w:r>
        <w:t xml:space="preserve"> </w:t>
      </w:r>
      <w:r>
        <w:t xml:space="preserve">hand-coded motive measure.</w:t>
      </w:r>
    </w:p>
    <w:bookmarkStart w:id="43" w:name="tab:robust"/>
    <w:p>
      <w:pPr>
        <w:pStyle w:val="TableCaption"/>
      </w:pPr>
      <w:r>
        <w:t xml:space="preserve">Robustness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obustnes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Firm size (</w:t>
            </w:r>
            <m:oMath>
              <m:r>
                <m:t>z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Rel. layoff (</w:t>
            </w:r>
            <m:oMath>
              <m:r>
                <m:t>z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DV=CAR[0,+5] (base)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0.0152 (1.52)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-0.0252* (-1.84)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-0.0015 (-0.08)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DV=CAR[0,+2]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0.0032 (0.38)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-0.0308** (-2.01)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-0.0120 (-0.64)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DV=CAR[-1,+5]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0.0102 (0.92)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-0.0280** (-2.04)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0.0067 (0.25)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Exclude 2022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0.0104 (1.23)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-0.0302* (-1.73)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-0.0126 (-0.61)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firms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0.0169 (1.50)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-0.0249* (-1.75)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-0.0032 (-0.16)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ln(Mktcap) for 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0.0088 (0.83)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-0.0290** (-2.15)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-0.0001 (-0.00)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0.049</w:t>
            </w:r>
          </w:p>
        </w:tc>
      </w:tr>
    </w:tbl>
    <w:bookmarkEnd w:id="43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Full specification (relative layoff,</w:t>
      </w:r>
      <w:r>
        <w:t xml:space="preserve"> </w:t>
      </w:r>
      <w:r>
        <w:t xml:space="preserve">ln headcount, firm size, closure, tech) re-estimated under alternative dependent</w:t>
      </w:r>
      <w:r>
        <w:t xml:space="preserve"> </w:t>
      </w:r>
      <w:r>
        <w:t xml:space="preserve">variables, samples, and size proxies. Only the size, relative-layoff, and closure</w:t>
      </w:r>
      <w:r>
        <w:t xml:space="preserve"> </w:t>
      </w:r>
      <w:r>
        <w:t xml:space="preserve">coefficients are shown. Firm-clustered</w:t>
      </w:r>
      <w:r>
        <w:t xml:space="preserve"> </w:t>
      </w:r>
      <m:oMath>
        <m:r>
          <m:t>t</m:t>
        </m:r>
      </m:oMath>
      <w:r>
        <w:t xml:space="preserve">-statistics in parentheses.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47" w:name="fig:path"/>
    <w:p>
      <w:pPr>
        <w:pStyle w:val="CaptionedFigure"/>
      </w:pPr>
      <w:r>
        <w:drawing>
          <wp:inline>
            <wp:extent cx="4267200" cy="2866445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1_ar_path.pdf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66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Cumulative average abnormal return in event time around WARN mass-layoff</w:t>
      </w:r>
      <w:r>
        <w:t xml:space="preserve"> </w:t>
      </w:r>
      <w:r>
        <w:t xml:space="preserve">notices (615 firm-events, 2022–2024). The reaction is post-event; the pre-event</w:t>
      </w:r>
      <w:r>
        <w:t xml:space="preserve"> </w:t>
      </w:r>
      <w:r>
        <w:t xml:space="preserve">path is flat.</w:t>
      </w:r>
    </w:p>
    <w:bookmarkEnd w:id="47"/>
    <w:bookmarkStart w:id="51" w:name="fig:groups"/>
    <w:p>
      <w:pPr>
        <w:pStyle w:val="CaptionedFigure"/>
      </w:pPr>
      <w:r>
        <w:drawing>
          <wp:inline>
            <wp:extent cx="4800600" cy="2863678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ig2_car_by_group.pdf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63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Mean CAR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by firm size, relative layoff size, and layoff form. The</w:t>
      </w:r>
      <w:r>
        <w:t xml:space="preserve"> </w:t>
      </w:r>
      <w:r>
        <w:t xml:space="preserve">market punishes layoffs that are large relative to a small firm; the closure (vs. ongoing layoff) form—our motive proxy—does not distinguish the reaction.</w:t>
      </w:r>
    </w:p>
    <w:bookmarkEnd w:id="51"/>
    <w:bookmarkStart w:id="55" w:name="fig:ri"/>
    <w:p>
      <w:pPr>
        <w:pStyle w:val="CaptionedFigure"/>
      </w:pPr>
      <w:r>
        <w:drawing>
          <wp:inline>
            <wp:extent cx="3840480" cy="230124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fig3_randinf.pdf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301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Randomization inference for the materiality (relative-layoff) slope.</w:t>
      </w:r>
      <w:r>
        <w:t xml:space="preserve"> </w:t>
      </w:r>
      <w:r>
        <w:t xml:space="preserve">Histogram: the distribution of the slope under 2</w:t>
      </w:r>
      <w:r>
        <w:t xml:space="preserve">,</w:t>
      </w:r>
      <w:r>
        <w:t xml:space="preserve">000 random permutations of the</w:t>
      </w:r>
      <w:r>
        <w:t xml:space="preserve"> </w:t>
      </w:r>
      <w:r>
        <w:t xml:space="preserve">relative-layoff regressor. The actual estimate (red line) lies far in the left</w:t>
      </w:r>
      <w:r>
        <w:t xml:space="preserve"> </w:t>
      </w:r>
      <w:r>
        <w:t xml:space="preserve">tail (RI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0.001</m:t>
        </m:r>
      </m:oMath>
      <w:r>
        <w:t xml:space="preserve">), so the materiality effect is a genuine cross-sectional signal</w:t>
      </w:r>
      <w:r>
        <w:t xml:space="preserve"> </w:t>
      </w:r>
      <w:r>
        <w:t xml:space="preserve">rather than a clustered-standard-error artifact.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Coauthorship is provisional: the student is listed as a coauthor and authorship is confirmed upon completing the reserved hand-collection contribution (Task 1 in</w:t>
      </w:r>
      <w:r>
        <w:t xml:space="preserve"> </w:t>
      </w:r>
      <w:r>
        <w:rPr>
          <w:rStyle w:val="VerbatimChar"/>
        </w:rPr>
        <w:t xml:space="preserve">STUDENT_TASKS.md</w:t>
      </w:r>
      <w:r>
        <w:t xml:space="preserve">). A note on author order and status: the student is listed first here as a program convention, but in finance and economics published author order is conventionally alphabetical; all authorship on this draft is tentative and specific to the ASSIP 2026 program at this stage.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Pham: ASSIP 2026, George Mason University.</w:t>
      </w:r>
      <w:r>
        <w:t xml:space="preserve"> </w:t>
      </w:r>
      <w:r>
        <w:t xml:space="preserve">Gao (corresponding author): Costello College of Business, George Mason University,</w:t>
      </w:r>
      <w:r>
        <w:t xml:space="preserve"> </w:t>
      </w:r>
      <w:r>
        <w:rPr>
          <w:rStyle w:val="VerbatimChar"/>
        </w:rPr>
        <w:t xml:space="preserve">lgao9@gmu.edu</w:t>
      </w:r>
      <w:r>
        <w:t xml:space="preserve">. This is a student–faculty working paper prepared in the</w:t>
      </w:r>
      <w:r>
        <w:t xml:space="preserve"> </w:t>
      </w:r>
      <w:r>
        <w:t xml:space="preserve">ASSIP 2026 Empirical Finance research group. All results use public data—state</w:t>
      </w:r>
      <w:r>
        <w:t xml:space="preserve"> </w:t>
      </w:r>
      <w:r>
        <w:t xml:space="preserve">WARN databases (California EDD, Texas Workforce Commission, Oregon) and WRDS</w:t>
      </w:r>
      <w:r>
        <w:t xml:space="preserve"> </w:t>
      </w:r>
      <w:r>
        <w:t xml:space="preserve">(CRSP daily returns and value-weighted/S&amp;P indices; Compustat fundamentals;</w:t>
      </w:r>
      <w:r>
        <w:t xml:space="preserve"> </w:t>
      </w:r>
      <w:r>
        <w:t xml:space="preserve">the CRSP/Compustat link)—and every reported number traces to a CSV in</w:t>
      </w:r>
      <w:r>
        <w:t xml:space="preserve"> </w:t>
      </w:r>
      <w:r>
        <w:rPr>
          <w:rStyle w:val="VerbatimChar"/>
        </w:rPr>
        <w:t xml:space="preserve">output/tables/</w:t>
      </w:r>
      <w:r>
        <w:t xml:space="preserve"> </w:t>
      </w:r>
      <w:r>
        <w:t xml:space="preserve">and is reproduced by the code in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. We thank</w:t>
      </w:r>
      <w:r>
        <w:t xml:space="preserve"> </w:t>
      </w:r>
      <w:r>
        <w:t xml:space="preserve">the ASSIP 2026 cohort for comments. Any errors are our own.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CRSP daily market index in our</w:t>
      </w:r>
      <w:r>
        <w:t xml:space="preserve"> </w:t>
      </w:r>
      <w:r>
        <w:t xml:space="preserve">WRDS extract runs through 2024-12-31, so events with a full post-event window are</w:t>
      </w:r>
      <w:r>
        <w:t xml:space="preserve"> </w:t>
      </w:r>
      <w:r>
        <w:t xml:space="preserve">those through December 2024; the WARN panel itself extends into 2025.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df" /><Relationship Type="http://schemas.openxmlformats.org/officeDocument/2006/relationships/image" Id="rId48" Target="media/rId48.pdf" /><Relationship Type="http://schemas.openxmlformats.org/officeDocument/2006/relationships/image" Id="rId52" Target="media/rId52.pd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Kind of Layoff Does the Market Punish? Materiality, Motive, and the Limits of Administrative Data in a WARN-Notice Event Study</dc:title>
  <dc:creator>Andy Pham; Lei Gao</dc:creator>
  <cp:keywords/>
  <dcterms:created xsi:type="dcterms:W3CDTF">2026-07-25T07:11:26Z</dcterms:created>
  <dcterms:modified xsi:type="dcterms:W3CDTF">2026-07-25T07:11:26Z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Firms lay off workers for very different reasons—to cut costs in a downturn, or to reallocate away from a shrinking line of business—and it is not obvious that equity investors treat the two alike. We build a multi-state panel of mass-layoff (WARN Act) notices for 2022–2025 from the California, Texas, and Oregon WARN databases (6,560 notices), fuzzy-match the filers to listed firms, and estimate market-model cumulative abnormal returns (CARs) around 615 firm-level layoff events at 328 public companies. On average the market gives a modest but statistically significant negative verdict: CAR[0,+5]=-1.6\% (t=-2.41), concentrated in the days after the notice, with a clean near-zero pre-event placebo (-0.18\%, t=-0.32). But the average hides sharp heterogeneity, and it is not about how many people are let go. Absolute headcount is irrelevant (t=0.46); what matters is the layoff’s size relative to the firm and, equivalently, how small the firm is. Small firms lose 3.9\% (t=-2.86) while large firms are essentially unaffected (+0.4\%, t=1.13); a one-standard-deviation larger relative layoff moves CAR by -3.3 percentage points (t=-2.77), and this punishment falls almost entirely on small firms (size\timesrelative-layoff interaction =-0.065, t=-2.86). Four journal-track additions sharpen the reading. Randomization inference (2,000 permutations) places the materiality slope far in the tail (design-based p=0.001), so the effect does not rest on clustered-standard-error asymptotics. The average reaction survives three alternative abnormal-return benchmarks and is, if anything, stronger against market- and S&amp;P-adjusted returns (-2.0\%, t=-3.0). Crucially, our crude machine-readable proxy for motive—whether the filing is a plant closure (exit/reallocation) or an ongoing-operation layoff (cost-cutting)—shows no difference in CARs (t=-0.07; randomization p=0.92), and a minimum-detectable-effect analysis shows this null is not a tight bound: the machine proxy could only have detected a motive effect of 5.1 percentage points at 80% power, far above plausible layoff-CAR magnitudes. The machine motive flag is thus both a point-null and too imprecise to rule out a real motive effect. Distinguishing cost-cutting from strategic reallocation therefore requires reading the announcements and hand-coding motive, which is the central task this paper sets up. JEL: G14, J63, M51, G34. Keywords: mass layoffs, WARN Act, event study, abnormal returns, downsizing, restructuring, randomization inference, statistical power.</vt:lpwstr>
  </property>
  <property fmtid="{D5CDD505-2E9C-101B-9397-08002B2CF9AE}" pid="3" name="date">
    <vt:lpwstr>July 2026</vt:lpwstr>
  </property>
</Properties>
</file>