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df" ContentType="application/pdf"/>
  <Override PartName="/word/media/rId59.pdf" ContentType="application/pdf"/>
  <Override PartName="/word/media/rId63.pdf" ContentType="application/pdf"/>
  <Override PartName="/word/media/rId6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Not All Policy Shocks Are Alike:</w:t>
      </w:r>
      <w:r>
        <w:br/>
      </w:r>
      <w:r>
        <w:rPr>
          <w:b/>
          <w:bCs/>
        </w:rPr>
        <w:t xml:space="preserve">A Cohort Event-Study Atlas of the 2022–2025 U.S. Shock Wave</w:t>
      </w:r>
    </w:p>
    <w:p>
      <w:pPr>
        <w:pStyle w:val="Author"/>
      </w:pPr>
      <w:r>
        <w:t xml:space="preserve">Lei Gao</w:t>
      </w:r>
    </w:p>
    <w:p>
      <w:pPr>
        <w:pStyle w:val="Author"/>
      </w:pPr>
      <w:r>
        <w:t xml:space="preserve">The ASSIP 2026 Cohort</w:t>
      </w:r>
      <w:r>
        <w:rPr>
          <w:rStyle w:val="FootnoteReference"/>
        </w:rPr>
        <w:footnoteReference w:id="9"/>
      </w:r>
    </w:p>
    <w:p>
      <w:pPr>
        <w:pStyle w:val="Date"/>
      </w:pPr>
      <w:r>
        <w:t xml:space="preserve">July 2026</w:t>
      </w:r>
    </w:p>
    <w:p>
      <w:pPr>
        <w:pStyle w:val="AbstractTitle"/>
      </w:pPr>
      <w:r>
        <w:t xml:space="preserve">Abstract</w:t>
      </w:r>
    </w:p>
    <w:p>
      <w:pPr>
        <w:pStyle w:val="Abstract"/>
      </w:pPr>
      <w:r>
        <w:t xml:space="preserve">The years 2022–2025 delivered an unusually dense sequence of</w:t>
      </w:r>
      <w:r>
        <w:t xml:space="preserve"> </w:t>
      </w:r>
      <w:r>
        <w:rPr>
          <w:i/>
          <w:iCs/>
        </w:rPr>
        <w:t xml:space="preserve">dated</w:t>
      </w:r>
      <w:r>
        <w:t xml:space="preserve"> </w:t>
      </w:r>
      <w:r>
        <w:t xml:space="preserve">U.S. policy</w:t>
      </w:r>
      <w:r>
        <w:t xml:space="preserve"> </w:t>
      </w:r>
      <w:r>
        <w:t xml:space="preserve">and technology shocks—from the CHIPS Act and ChatGPT to Silicon Valley Bank, the 2025</w:t>
      </w:r>
      <w:r>
        <w:t xml:space="preserve"> </w:t>
      </w:r>
      <w:r>
        <w:t xml:space="preserve">reciprocal tariffs, and the Reg-NMS half-cent tick. We assemble them into a single, uniformly</w:t>
      </w:r>
      <w:r>
        <w:t xml:space="preserve"> </w:t>
      </w:r>
      <w:r>
        <w:t xml:space="preserve">measured event-study atlas across about 2</w:t>
      </w:r>
      <w:r>
        <w:t xml:space="preserve">,</w:t>
      </w:r>
      <w:r>
        <w:t xml:space="preserve">000 large firms and ask how the shocks differ along</w:t>
      </w:r>
      <w:r>
        <w:t xml:space="preserve"> </w:t>
      </w:r>
      <w:r>
        <w:t xml:space="preserve">three axes: how much the market</w:t>
      </w:r>
      <w:r>
        <w:t xml:space="preserve"> </w:t>
      </w:r>
      <w:r>
        <w:rPr>
          <w:i/>
          <w:iCs/>
        </w:rPr>
        <w:t xml:space="preserve">moves</w:t>
      </w:r>
      <w:r>
        <w:t xml:space="preserve">, how much it</w:t>
      </w:r>
      <w:r>
        <w:t xml:space="preserve"> </w:t>
      </w:r>
      <w:r>
        <w:rPr>
          <w:i/>
          <w:iCs/>
        </w:rPr>
        <w:t xml:space="preserve">differentiates</w:t>
      </w:r>
      <w:r>
        <w:t xml:space="preserve"> </w:t>
      </w:r>
      <w:r>
        <w:t xml:space="preserve">firms, and how it</w:t>
      </w:r>
      <w:r>
        <w:t xml:space="preserve"> </w:t>
      </w:r>
      <w:r>
        <w:rPr>
          <w:i/>
          <w:iCs/>
        </w:rPr>
        <w:t xml:space="preserve">propagates</w:t>
      </w:r>
      <w:r>
        <w:t xml:space="preserve">. Three findings survive formal testing. First, cross-sectional differentiation</w:t>
      </w:r>
      <w:r>
        <w:t xml:space="preserve"> </w:t>
      </w:r>
      <w:r>
        <w:t xml:space="preserve">is</w:t>
      </w:r>
      <w:r>
        <w:t xml:space="preserve"> </w:t>
      </w:r>
      <w:r>
        <w:rPr>
          <w:i/>
          <w:iCs/>
        </w:rPr>
        <w:t xml:space="preserve">real</w:t>
      </w:r>
      <w:r>
        <w:t xml:space="preserve">: for the tariff shock, the Reg-NMS tick, and the SVB collapse, the event-window</w:t>
      </w:r>
      <w:r>
        <w:t xml:space="preserve"> </w:t>
      </w:r>
      <w:r>
        <w:t xml:space="preserve">dispersion of firm CARs exceeds a placebo distribution of pseudo-event dispersions (ratios</w:t>
      </w:r>
      <w:r>
        <w:t xml:space="preserve"> </w:t>
      </w:r>
      <m:oMath>
        <m:r>
          <m:t>1.5</m:t>
        </m:r>
      </m:oMath>
      <w:r>
        <w:t xml:space="preserve">–</w:t>
      </w:r>
      <m:oMath>
        <m:r>
          <m:t>1.9</m:t>
        </m:r>
      </m:oMath>
      <w:r>
        <w:t xml:space="preserve">, empirical</w:t>
      </w:r>
      <w:r>
        <w:t xml:space="preserve"> </w:t>
      </w:r>
      <m:oMath>
        <m:r>
          <m:t>p</m:t>
        </m:r>
        <m:r>
          <m:rPr>
            <m:sty m:val="p"/>
          </m:rPr>
          <m:t>&lt;</m:t>
        </m:r>
        <m:r>
          <m:t>0.05</m:t>
        </m:r>
      </m:oMath>
      <w:r>
        <w:t xml:space="preserve">), and shock rankings by dispersion are stable across windows and</w:t>
      </w:r>
      <w:r>
        <w:t xml:space="preserve"> </w:t>
      </w:r>
      <w:r>
        <w:t xml:space="preserve">dispersion measures (Spearman</w:t>
      </w:r>
      <w:r>
        <w:t xml:space="preserve"> </w:t>
      </w:r>
      <m:oMath>
        <m:r>
          <m:t>0.72</m:t>
        </m:r>
      </m:oMath>
      <w:r>
        <w:t xml:space="preserve">–</w:t>
      </w:r>
      <m:oMath>
        <m:r>
          <m:t>0.83</m:t>
        </m:r>
      </m:oMath>
      <w:r>
        <w:t xml:space="preserve">). Second, this differentiation is overwhelmingly</w:t>
      </w:r>
      <w:r>
        <w:t xml:space="preserve"> </w:t>
      </w:r>
      <w:r>
        <w:rPr>
          <w:i/>
          <w:iCs/>
        </w:rPr>
        <w:t xml:space="preserve">idiosyncratic</w:t>
      </w:r>
      <w:r>
        <w:t xml:space="preserve">: market beta explains at most</w:t>
      </w:r>
      <w:r>
        <w:t xml:space="preserve"> </w:t>
      </w:r>
      <m:oMath>
        <m:r>
          <m:t>14</m:t>
        </m:r>
        <m:r>
          <m:rPr>
            <m:sty m:val="p"/>
          </m:rPr>
          <m:t>%</m:t>
        </m:r>
      </m:oMath>
      <w:r>
        <w:t xml:space="preserve"> </w:t>
      </w:r>
      <w:r>
        <w:t xml:space="preserve">of the cross-sectional CAR variance and</w:t>
      </w:r>
      <w:r>
        <w:t xml:space="preserve"> </w:t>
      </w:r>
      <w:r>
        <w:t xml:space="preserve">usually far less, so the dispersion is firm-specific repricing—exactly what a firm-level</w:t>
      </w:r>
      <w:r>
        <w:t xml:space="preserve"> </w:t>
      </w:r>
      <w:r>
        <w:t xml:space="preserve">exposure measure should capture. A pooled firm</w:t>
      </w:r>
      <m:oMath>
        <m:r>
          <m:rPr>
            <m:sty m:val="p"/>
          </m:rPr>
          <m:t>×</m:t>
        </m:r>
      </m:oMath>
      <w:r>
        <w:t xml:space="preserve">shock regression on observable traits (size,</w:t>
      </w:r>
      <w:r>
        <w:t xml:space="preserve"> </w:t>
      </w:r>
      <w:r>
        <w:t xml:space="preserve">beta, idiosyncratic volatility) explains</w:t>
      </w:r>
      <w:r>
        <w:t xml:space="preserve"> </w:t>
      </w:r>
      <m:oMath>
        <m:r>
          <m:t>21</m:t>
        </m:r>
        <m:r>
          <m:rPr>
            <m:sty m:val="p"/>
          </m:rPr>
          <m:t>%</m:t>
        </m:r>
      </m:oMath>
      <w:r>
        <w:t xml:space="preserve"> </w:t>
      </w:r>
      <w:r>
        <w:t xml:space="preserve">of</w:t>
      </w:r>
      <w:r>
        <w:t xml:space="preserve"> </w:t>
      </w:r>
      <m:oMath>
        <m:r>
          <m:rPr>
            <m:sty m:val="p"/>
          </m:rPr>
          <m:t>|</m:t>
        </m:r>
        <m:r>
          <m:rPr>
            <m:nor/>
            <m:sty m:val="p"/>
          </m:rPr>
          <m:t>CAR</m:t>
        </m:r>
        <m:r>
          <m:rPr>
            <m:sty m:val="p"/>
          </m:rPr>
          <m:t>|</m:t>
        </m:r>
      </m:oMath>
      <w:r>
        <w:t xml:space="preserve">; the rest is the space reserved</w:t>
      </w:r>
      <w:r>
        <w:t xml:space="preserve"> </w:t>
      </w:r>
      <w:r>
        <w:t xml:space="preserve">for the cohort’s hand-collected exposure test. Third, we are honest about what the small</w:t>
      </w:r>
      <w:r>
        <w:t xml:space="preserve"> </w:t>
      </w:r>
      <w:r>
        <w:t xml:space="preserve">cross-section of shocks cannot support: the widely quoted claim that differentiation</w:t>
      </w:r>
      <w:r>
        <w:t xml:space="preserve"> </w:t>
      </w:r>
      <w:r>
        <w:t xml:space="preserve">“scales with</w:t>
      </w:r>
      <w:r>
        <w:t xml:space="preserve"> </w:t>
      </w:r>
      <w:r>
        <w:t xml:space="preserve">shock size”</w:t>
      </w:r>
      <w:r>
        <w:t xml:space="preserve"> </w:t>
      </w:r>
      <w:r>
        <w:t xml:space="preserve">rests on a correlation of</w:t>
      </w:r>
      <w:r>
        <w:t xml:space="preserve"> </w:t>
      </w:r>
      <m:oMath>
        <m:r>
          <m:t>0.69</m:t>
        </m:r>
      </m:oMath>
      <w:r>
        <w:t xml:space="preserve"> </w:t>
      </w:r>
      <w:r>
        <w:t xml:space="preserve">whose bootstrap</w:t>
      </w:r>
      <w:r>
        <w:t xml:space="preserve"> </w:t>
      </w:r>
      <m:oMath>
        <m:r>
          <m:t>95</m:t>
        </m:r>
        <m:r>
          <m:rPr>
            <m:sty m:val="p"/>
          </m:rPr>
          <m:t>%</m:t>
        </m:r>
      </m:oMath>
      <w:r>
        <w:t xml:space="preserve"> </w:t>
      </w:r>
      <w:r>
        <w:t xml:space="preserve">interval is</w:t>
      </w:r>
      <w:r>
        <w:t xml:space="preserve"> </w:t>
      </w:r>
      <m:oMath>
        <m:r>
          <m:rPr>
            <m:sty m:val="p"/>
          </m:rPr>
          <m:t>[</m:t>
        </m:r>
        <m:r>
          <m:rPr>
            <m:sty m:val="p"/>
          </m:rPr>
          <m:t>−</m:t>
        </m:r>
        <m:r>
          <m:t>0.04</m:t>
        </m:r>
        <m:r>
          <m:rPr>
            <m:sty m:val="p"/>
          </m:rPr>
          <m:t>,</m:t>
        </m:r>
        <m:r>
          <m:t>0.97</m:t>
        </m:r>
        <m:r>
          <m:rPr>
            <m:sty m:val="p"/>
          </m:rPr>
          <m:t>]</m:t>
        </m:r>
      </m:oMath>
      <w:r>
        <w:t xml:space="preserve"> </w:t>
      </w:r>
      <w:r>
        <w:t xml:space="preserve">and which falls to</w:t>
      </w:r>
      <w:r>
        <w:t xml:space="preserve"> </w:t>
      </w:r>
      <m:oMath>
        <m:r>
          <m:t>0.26</m:t>
        </m:r>
      </m:oMath>
      <w:r>
        <w:t xml:space="preserve"> </w:t>
      </w:r>
      <w:r>
        <w:t xml:space="preserve">when the tariff shock is dropped—with</w:t>
      </w:r>
      <w:r>
        <w:t xml:space="preserve"> </w:t>
      </w:r>
      <m:oMath>
        <m:r>
          <m:t>n</m:t>
        </m:r>
        <m:r>
          <m:rPr>
            <m:sty m:val="p"/>
          </m:rPr>
          <m:t>=</m:t>
        </m:r>
        <m:r>
          <m:t>10</m:t>
        </m:r>
      </m:oMath>
      <w:r>
        <w:t xml:space="preserve"> </w:t>
      </w:r>
      <w:r>
        <w:t xml:space="preserve">shocks the design can</w:t>
      </w:r>
      <w:r>
        <w:t xml:space="preserve"> </w:t>
      </w:r>
      <w:r>
        <w:t xml:space="preserve">only reliably detect correlations above</w:t>
      </w:r>
      <w:r>
        <w:t xml:space="preserve"> </w:t>
      </w:r>
      <m:oMath>
        <m:r>
          <m:t>0.78</m:t>
        </m:r>
      </m:oMath>
      <w:r>
        <w:t xml:space="preserve">, so we report this as suggestive, not established.</w:t>
      </w:r>
      <w:r>
        <w:t xml:space="preserve"> </w:t>
      </w:r>
      <w:r>
        <w:t xml:space="preserve">Propagation is heterogeneous (</w:t>
      </w:r>
      <m:oMath>
        <m:sSup>
          <m:e>
            <m:r>
              <m:t>I</m:t>
            </m:r>
          </m:e>
          <m:sup>
            <m:r>
              <m:t>2</m:t>
            </m:r>
          </m:sup>
        </m:sSup>
        <m:r>
          <m:rPr>
            <m:sty m:val="p"/>
          </m:rPr>
          <m:t>=</m:t>
        </m:r>
        <m:r>
          <m:t>99</m:t>
        </m:r>
        <m:r>
          <m:rPr>
            <m:sty m:val="p"/>
          </m:rPr>
          <m:t>%</m:t>
        </m:r>
      </m:oMath>
      <w:r>
        <w:t xml:space="preserve"> </w:t>
      </w:r>
      <w:r>
        <w:t xml:space="preserve">across shocks; SVB the negative-drift outlier), but a</w:t>
      </w:r>
      <w:r>
        <w:t xml:space="preserve"> </w:t>
      </w:r>
      <w:r>
        <w:t xml:space="preserve">high-powered pooled test detects modest post-event</w:t>
      </w:r>
      <w:r>
        <w:t xml:space="preserve"> </w:t>
      </w:r>
      <w:r>
        <w:rPr>
          <w:i/>
          <w:iCs/>
        </w:rPr>
        <w:t xml:space="preserve">continuation</w:t>
      </w:r>
      <w:r>
        <w:t xml:space="preserve"> </w:t>
      </w:r>
      <w:r>
        <w:t xml:space="preserve">(within-shock, firm-clustered</w:t>
      </w:r>
      <w:r>
        <w:t xml:space="preserve"> </w:t>
      </w:r>
      <w:r>
        <w:t xml:space="preserve">top-minus-bottom announcement-quintile drift</w:t>
      </w:r>
      <w:r>
        <w:t xml:space="preserve"> </w:t>
      </w:r>
      <m:oMath>
        <m:r>
          <m:rPr>
            <m:sty m:val="p"/>
          </m:rPr>
          <m:t>+</m:t>
        </m:r>
        <m:r>
          <m:t>0.73</m:t>
        </m:r>
        <m:r>
          <m:rPr>
            <m:sty m:val="p"/>
          </m:rPr>
          <m:t>%</m:t>
        </m:r>
      </m:oMath>
      <w:r>
        <w:t xml:space="preserve">,</w:t>
      </w:r>
      <w:r>
        <w:t xml:space="preserve"> </w:t>
      </w:r>
      <m:oMath>
        <m:r>
          <m:t>t</m:t>
        </m:r>
        <m:r>
          <m:rPr>
            <m:sty m:val="p"/>
          </m:rPr>
          <m:t>=</m:t>
        </m:r>
        <m:r>
          <m:t>4.0</m:t>
        </m:r>
      </m:oMath>
      <w:r>
        <w:t xml:space="preserve">). The atlas is a reusable scaffold; its completion</w:t>
      </w:r>
      <w:r>
        <w:t xml:space="preserve"> </w:t>
      </w:r>
      <w:r>
        <w:t xml:space="preserve">is each student’s exposure measure.</w:t>
      </w:r>
      <w:r>
        <w:br/>
      </w:r>
      <w:r>
        <w:rPr>
          <w:b/>
          <w:bCs/>
        </w:rPr>
        <w:t xml:space="preserve">JEL:</w:t>
      </w:r>
      <w:r>
        <w:t xml:space="preserve"> </w:t>
      </w:r>
      <w:r>
        <w:t xml:space="preserve">G14, G18, E44.</w:t>
      </w:r>
      <w:r>
        <w:t xml:space="preserve"> </w:t>
      </w:r>
      <w:r>
        <w:rPr>
          <w:b/>
          <w:bCs/>
        </w:rPr>
        <w:t xml:space="preserve">Keywords:</w:t>
      </w:r>
      <w:r>
        <w:t xml:space="preserve"> </w:t>
      </w:r>
      <w:r>
        <w:t xml:space="preserve">event study, market efficiency, policy shocks, cross-sectional dispersion,</w:t>
      </w:r>
      <w:r>
        <w:t xml:space="preserve"> </w:t>
      </w:r>
      <w:r>
        <w:t xml:space="preserve">randomization inference, meta-analysis.</w:t>
      </w:r>
    </w:p>
    <w:bookmarkStart w:id="10" w:name="introduction"/>
    <w:p>
      <w:pPr>
        <w:pStyle w:val="Heading1"/>
      </w:pPr>
      <w:r>
        <w:t xml:space="preserve">Introduction</w:t>
      </w:r>
    </w:p>
    <w:p>
      <w:pPr>
        <w:pStyle w:val="FirstParagraph"/>
      </w:pPr>
      <w:r>
        <w:t xml:space="preserve">Empirical finance studies shocks one at a time. Yet 2022–2025 handed markets a whole</w:t>
      </w:r>
      <w:r>
        <w:t xml:space="preserve"> </w:t>
      </w:r>
      <w:r>
        <w:rPr>
          <w:i/>
          <w:iCs/>
        </w:rPr>
        <w:t xml:space="preserve">sequence</w:t>
      </w:r>
      <w:r>
        <w:t xml:space="preserve"> </w:t>
      </w:r>
      <w:r>
        <w:t xml:space="preserve">of clean, dated shocks, and studying them together—on identical footing—asks a</w:t>
      </w:r>
      <w:r>
        <w:t xml:space="preserve"> </w:t>
      </w:r>
      <w:r>
        <w:t xml:space="preserve">question no single event study can:</w:t>
      </w:r>
      <w:r>
        <w:t xml:space="preserve"> </w:t>
      </w:r>
      <w:r>
        <w:rPr>
          <w:i/>
          <w:iCs/>
        </w:rPr>
        <w:t xml:space="preserve">how do policy shocks differ</w:t>
      </w:r>
      <w:r>
        <w:t xml:space="preserve">? This cohort capstone builds</w:t>
      </w:r>
      <w:r>
        <w:t xml:space="preserve"> </w:t>
      </w:r>
      <w:r>
        <w:t xml:space="preserve">that comparison. Using the shared market-model machinery behind the individual papers in this</w:t>
      </w:r>
      <w:r>
        <w:t xml:space="preserve"> </w:t>
      </w:r>
      <w:r>
        <w:t xml:space="preserve">program</w:t>
      </w:r>
      <w:r>
        <w:t xml:space="preserve"> </w:t>
      </w:r>
      <w:r>
        <w:t xml:space="preserve">, we compute cumulative abnormal</w:t>
      </w:r>
      <w:r>
        <w:t xml:space="preserve"> </w:t>
      </w:r>
      <w:r>
        <w:t xml:space="preserve">returns (CARs) for a common sample of about 2</w:t>
      </w:r>
      <w:r>
        <w:t xml:space="preserve">,</w:t>
      </w:r>
      <w:r>
        <w:t xml:space="preserve">000 large firms around ten dated shocks</w:t>
      </w:r>
      <w:r>
        <w:t xml:space="preserve"> </w:t>
      </w:r>
      <w:r>
        <w:t xml:space="preserve">(Table </w:t>
      </w:r>
      <w:hyperlink w:anchor="tab:atlas">
        <w:r>
          <w:rPr>
            <w:rStyle w:val="Hyperlink"/>
          </w:rPr>
          <w:t xml:space="preserve">1</w:t>
        </w:r>
      </w:hyperlink>
      <w:r>
        <w:t xml:space="preserve">) and characterize each along three axes: the aggregate</w:t>
      </w:r>
      <w:r>
        <w:t xml:space="preserve"> </w:t>
      </w:r>
      <w:r>
        <w:rPr>
          <w:i/>
          <w:iCs/>
        </w:rPr>
        <w:t xml:space="preserve">level</w:t>
      </w:r>
      <w:r>
        <w:t xml:space="preserve"> </w:t>
      </w:r>
      <w:r>
        <w:t xml:space="preserve">move,</w:t>
      </w:r>
      <w:r>
        <w:t xml:space="preserve"> </w:t>
      </w:r>
      <w:r>
        <w:t xml:space="preserve">the cross-sectional</w:t>
      </w:r>
      <w:r>
        <w:t xml:space="preserve"> </w:t>
      </w:r>
      <w:r>
        <w:rPr>
          <w:i/>
          <w:iCs/>
        </w:rPr>
        <w:t xml:space="preserve">differentiation</w:t>
      </w:r>
      <w:r>
        <w:t xml:space="preserve"> </w:t>
      </w:r>
      <w:r>
        <w:t xml:space="preserve">of firms, and the</w:t>
      </w:r>
      <w:r>
        <w:t xml:space="preserve"> </w:t>
      </w:r>
      <w:r>
        <w:rPr>
          <w:i/>
          <w:iCs/>
        </w:rPr>
        <w:t xml:space="preserve">propagation</w:t>
      </w:r>
      <w:r>
        <w:t xml:space="preserve"> </w:t>
      </w:r>
      <w:r>
        <w:t xml:space="preserve">of the reaction</w:t>
      </w:r>
      <w:r>
        <w:t xml:space="preserve"> </w:t>
      </w:r>
      <w:r>
        <w:t xml:space="preserve">over the following days.</w:t>
      </w:r>
    </w:p>
    <w:p>
      <w:pPr>
        <w:pStyle w:val="BodyText"/>
      </w:pPr>
      <w:r>
        <w:t xml:space="preserve">The first axis is the level move—how much the market index shifted. These range from a</w:t>
      </w:r>
      <w:r>
        <w:t xml:space="preserve"> </w:t>
      </w:r>
      <m:oMath>
        <m:r>
          <m:rPr>
            <m:sty m:val="p"/>
          </m:rPr>
          <m:t>+</m:t>
        </m:r>
        <m:r>
          <m:t>3.1</m:t>
        </m:r>
        <m:r>
          <m:rPr>
            <m:sty m:val="p"/>
          </m:rPr>
          <m:t>%</m:t>
        </m:r>
      </m:oMath>
      <w:r>
        <w:t xml:space="preserve"> </w:t>
      </w:r>
      <w:r>
        <w:t xml:space="preserve">pop on ChatGPT to a</w:t>
      </w:r>
      <w:r>
        <w:t xml:space="preserve"> </w:t>
      </w:r>
      <m:oMath>
        <m:r>
          <m:rPr>
            <m:sty m:val="p"/>
          </m:rPr>
          <m:t>−</m:t>
        </m:r>
        <m:r>
          <m:t>11.0</m:t>
        </m:r>
        <m:r>
          <m:rPr>
            <m:sty m:val="p"/>
          </m:rPr>
          <m:t>%</m:t>
        </m:r>
      </m:oMath>
      <w:r>
        <w:t xml:space="preserve"> </w:t>
      </w:r>
      <w:r>
        <w:t xml:space="preserve">two-day crash on the April-2025 reciprocal tariffs. The second, and</w:t>
      </w:r>
      <w:r>
        <w:t xml:space="preserve"> </w:t>
      </w:r>
      <w:r>
        <w:t xml:space="preserve">the heart of the paper, is</w:t>
      </w:r>
      <w:r>
        <w:t xml:space="preserve"> </w:t>
      </w:r>
      <w:r>
        <w:rPr>
          <w:i/>
          <w:iCs/>
        </w:rPr>
        <w:t xml:space="preserve">differentiation</w:t>
      </w:r>
      <w:r>
        <w:t xml:space="preserve">: how much firms diverged, measured by the</w:t>
      </w:r>
      <w:r>
        <w:t xml:space="preserve"> </w:t>
      </w:r>
      <w:r>
        <w:t xml:space="preserve">cross-sectional standard deviation (SD) of announcement CARs. Because a market-wide shock is</w:t>
      </w:r>
      <w:r>
        <w:t xml:space="preserve"> </w:t>
      </w:r>
      <w:r>
        <w:t xml:space="preserve">absorbed by the benchmark, the mean abnormal return is near zero by construction; the informative</w:t>
      </w:r>
      <w:r>
        <w:t xml:space="preserve"> </w:t>
      </w:r>
      <w:r>
        <w:t xml:space="preserve">object is the</w:t>
      </w:r>
      <w:r>
        <w:t xml:space="preserve"> </w:t>
      </w:r>
      <w:r>
        <w:rPr>
          <w:i/>
          <w:iCs/>
        </w:rPr>
        <w:t xml:space="preserve">dispersion</w:t>
      </w:r>
      <w:r>
        <w:t xml:space="preserve">, which measures how sharply a shock sorted winners from losers</w:t>
      </w:r>
      <w:r>
        <w:t xml:space="preserve"> </w:t>
      </w:r>
      <w:r>
        <w:t xml:space="preserve">. The third axis is</w:t>
      </w:r>
      <w:r>
        <w:t xml:space="preserve"> </w:t>
      </w:r>
      <w:r>
        <w:rPr>
          <w:i/>
          <w:iCs/>
        </w:rPr>
        <w:t xml:space="preserve">propagation</w:t>
      </w:r>
      <w:r>
        <w:t xml:space="preserve">: does the reaction complete</w:t>
      </w:r>
      <w:r>
        <w:t xml:space="preserve"> </w:t>
      </w:r>
      <w:r>
        <w:t xml:space="preserve">quickly, drift, or reverse</w:t>
      </w:r>
      <w:r>
        <w:t xml:space="preserve"> </w:t>
      </w:r>
      <w:r>
        <w:t xml:space="preserve">?</w:t>
      </w:r>
    </w:p>
    <w:p>
      <w:pPr>
        <w:pStyle w:val="BodyText"/>
      </w:pPr>
      <w:r>
        <w:t xml:space="preserve">A descriptive atlas is only a starting point; the contribution of this draft is to subject each</w:t>
      </w:r>
      <w:r>
        <w:t xml:space="preserve"> </w:t>
      </w:r>
      <w:r>
        <w:t xml:space="preserve">axis to a formal, design-based test, and to be candid about which claims the ten-shock</w:t>
      </w:r>
      <w:r>
        <w:t xml:space="preserve"> </w:t>
      </w:r>
      <w:r>
        <w:t xml:space="preserve">cross-section can and cannot bear. We add ten tests to the original three-table draft.</w:t>
      </w:r>
    </w:p>
    <w:p>
      <w:pPr>
        <w:pStyle w:val="BodyText"/>
      </w:pPr>
      <w:r>
        <w:rPr>
          <w:b/>
          <w:bCs/>
        </w:rPr>
        <w:t xml:space="preserve">Differentiation is real, and it is idiosyncratic.</w:t>
      </w:r>
      <w:r>
        <w:t xml:space="preserve"> </w:t>
      </w:r>
      <w:r>
        <w:t xml:space="preserve">A shock that genuinely sorts firms</w:t>
      </w:r>
      <w:r>
        <w:t xml:space="preserve"> </w:t>
      </w:r>
      <w:r>
        <w:t xml:space="preserve">should produce cross-sectional dispersion larger than what the same firms show on ordinary days.</w:t>
      </w:r>
      <w:r>
        <w:t xml:space="preserve"> </w:t>
      </w:r>
      <w:r>
        <w:t xml:space="preserve">We build a placebo engine: one market model per firm over the full sample, then the cross-sectional</w:t>
      </w:r>
      <w:r>
        <w:t xml:space="preserve"> </w:t>
      </w:r>
      <w:r>
        <w:t xml:space="preserve">SD of two-day CARs at the true event date compared against a distribution of pseudo-event dates</w:t>
      </w:r>
      <w:r>
        <w:t xml:space="preserve"> </w:t>
      </w:r>
      <w:r>
        <w:t xml:space="preserve">drawn away from all ten shocks. For the tariff shock, the Reg-NMS half-cent tick, and the SVB</w:t>
      </w:r>
      <w:r>
        <w:t xml:space="preserve"> </w:t>
      </w:r>
      <w:r>
        <w:t xml:space="preserve">collapse, the event dispersion is</w:t>
      </w:r>
      <w:r>
        <w:t xml:space="preserve"> </w:t>
      </w:r>
      <m:oMath>
        <m:r>
          <m:t>1.5</m:t>
        </m:r>
      </m:oMath>
      <w:r>
        <w:t xml:space="preserve">–</w:t>
      </w:r>
      <m:oMath>
        <m:r>
          <m:t>1.9</m:t>
        </m:r>
      </m:oMath>
      <w:r>
        <w:t xml:space="preserve"> </w:t>
      </w:r>
      <w:r>
        <w:t xml:space="preserve">times the placebo mean and lands in the top few</w:t>
      </w:r>
      <w:r>
        <w:t xml:space="preserve"> </w:t>
      </w:r>
      <w:r>
        <w:t xml:space="preserve">percent of the placebo distribution (</w:t>
      </w:r>
      <m:oMath>
        <m:r>
          <m:t>p</m:t>
        </m:r>
        <m:r>
          <m:rPr>
            <m:sty m:val="p"/>
          </m:rPr>
          <m:t>&lt;</m:t>
        </m:r>
        <m:r>
          <m:t>0.05</m:t>
        </m:r>
      </m:oMath>
      <w:r>
        <w:t xml:space="preserve">; Table </w:t>
      </w:r>
      <w:hyperlink w:anchor="tab:diff">
        <w:r>
          <w:rPr>
            <w:rStyle w:val="Hyperlink"/>
          </w:rPr>
          <w:t xml:space="preserve">4</w:t>
        </w:r>
      </w:hyperlink>
      <w:r>
        <w:t xml:space="preserve">, Figure </w:t>
      </w:r>
      <w:hyperlink w:anchor="fig:placebo">
        <w:r>
          <w:rPr>
            <w:rStyle w:val="Hyperlink"/>
          </w:rPr>
          <w:t xml:space="preserve">2</w:t>
        </w:r>
      </w:hyperlink>
      <w:r>
        <w:t xml:space="preserve">).</w:t>
      </w:r>
      <w:r>
        <w:t xml:space="preserve"> </w:t>
      </w:r>
      <w:r>
        <w:t xml:space="preserve">The ranking of shocks by dispersion is not an artifact of the window or the statistic: it is stable</w:t>
      </w:r>
      <w:r>
        <w:t xml:space="preserve"> </w:t>
      </w:r>
      <w:r>
        <w:t xml:space="preserve">across the</w:t>
      </w:r>
      <w:r>
        <w:t xml:space="preserve"> </w:t>
      </w:r>
      <m:oMath>
        <m:r>
          <m:rPr>
            <m:sty m:val="p"/>
          </m:rPr>
          <m:t>[</m:t>
        </m:r>
        <m:r>
          <m:t>0</m:t>
        </m:r>
        <m:r>
          <m:rPr>
            <m:sty m:val="p"/>
          </m:rPr>
          <m:t>,</m:t>
        </m:r>
        <m:r>
          <m:rPr>
            <m:sty m:val="p"/>
          </m:rPr>
          <m:t>+</m:t>
        </m:r>
        <m:r>
          <m:t>1</m:t>
        </m:r>
        <m:r>
          <m:rPr>
            <m:sty m:val="p"/>
          </m:rPr>
          <m:t>]</m:t>
        </m:r>
      </m:oMath>
      <w:r>
        <w:t xml:space="preserve">,</w:t>
      </w:r>
      <w:r>
        <w:t xml:space="preserve"> </w:t>
      </w:r>
      <m:oMath>
        <m:r>
          <m:rPr>
            <m:sty m:val="p"/>
          </m:rPr>
          <m:t>[</m:t>
        </m:r>
        <m:r>
          <m:t>0</m:t>
        </m:r>
        <m:r>
          <m:rPr>
            <m:sty m:val="p"/>
          </m:rPr>
          <m:t>,</m:t>
        </m:r>
        <m:r>
          <m:rPr>
            <m:sty m:val="p"/>
          </m:rPr>
          <m:t>+</m:t>
        </m:r>
        <m:r>
          <m:t>5</m:t>
        </m:r>
        <m:r>
          <m:rPr>
            <m:sty m:val="p"/>
          </m:rPr>
          <m:t>]</m:t>
        </m:r>
      </m:oMath>
      <w:r>
        <w:t xml:space="preserve">, and</w:t>
      </w:r>
      <w:r>
        <w:t xml:space="preserve"> </w:t>
      </w:r>
      <m:oMath>
        <m:r>
          <m:rPr>
            <m:sty m:val="p"/>
          </m:rPr>
          <m:t>[</m:t>
        </m:r>
        <m:r>
          <m:rPr>
            <m:sty m:val="p"/>
          </m:rPr>
          <m:t>−</m:t>
        </m:r>
        <m:r>
          <m:t>5</m:t>
        </m:r>
        <m:r>
          <m:rPr>
            <m:sty m:val="p"/>
          </m:rPr>
          <m:t>,</m:t>
        </m:r>
        <m:r>
          <m:rPr>
            <m:sty m:val="p"/>
          </m:rPr>
          <m:t>+</m:t>
        </m:r>
        <m:r>
          <m:t>10</m:t>
        </m:r>
        <m:r>
          <m:rPr>
            <m:sty m:val="p"/>
          </m:rPr>
          <m:t>]</m:t>
        </m:r>
      </m:oMath>
      <w:r>
        <w:t xml:space="preserve"> </w:t>
      </w:r>
      <w:r>
        <w:t xml:space="preserve">windows and across SD, interquartile range, and</w:t>
      </w:r>
      <w:r>
        <w:t xml:space="preserve"> </w:t>
      </w:r>
      <w:r>
        <w:t xml:space="preserve">median absolute deviation (Spearman</w:t>
      </w:r>
      <w:r>
        <w:t xml:space="preserve"> </w:t>
      </w:r>
      <m:oMath>
        <m:r>
          <m:t>0.72</m:t>
        </m:r>
      </m:oMath>
      <w:r>
        <w:t xml:space="preserve">–</w:t>
      </w:r>
      <m:oMath>
        <m:r>
          <m:t>0.83</m:t>
        </m:r>
      </m:oMath>
      <w:r>
        <w:t xml:space="preserve">, all</w:t>
      </w:r>
      <w:r>
        <w:t xml:space="preserve"> </w:t>
      </w:r>
      <m:oMath>
        <m:r>
          <m:t>p</m:t>
        </m:r>
        <m:r>
          <m:rPr>
            <m:sty m:val="p"/>
          </m:rPr>
          <m:t>&lt;</m:t>
        </m:r>
        <m:r>
          <m:t>0.02</m:t>
        </m:r>
      </m:oMath>
      <w:r>
        <w:t xml:space="preserve">; Table </w:t>
      </w:r>
      <w:hyperlink w:anchor="tab:rankcorr">
        <w:r>
          <w:rPr>
            <w:rStyle w:val="Hyperlink"/>
          </w:rPr>
          <w:t xml:space="preserve">5</w:t>
        </w:r>
      </w:hyperlink>
      <w:r>
        <w:t xml:space="preserve">).</w:t>
      </w:r>
      <w:r>
        <w:t xml:space="preserve"> </w:t>
      </w:r>
      <w:r>
        <w:t xml:space="preserve">Crucially, the differentiation is not a beta story: a firm-by-firm regression of announcement CARs</w:t>
      </w:r>
      <w:r>
        <w:t xml:space="preserve"> </w:t>
      </w:r>
      <w:r>
        <w:t xml:space="preserve">on market beta explains at most</w:t>
      </w:r>
      <w:r>
        <w:t xml:space="preserve"> </w:t>
      </w:r>
      <m:oMath>
        <m:r>
          <m:t>14</m:t>
        </m:r>
        <m:r>
          <m:rPr>
            <m:sty m:val="p"/>
          </m:rPr>
          <m:t>%</m:t>
        </m:r>
      </m:oMath>
      <w:r>
        <w:t xml:space="preserve"> </w:t>
      </w:r>
      <w:r>
        <w:t xml:space="preserve">of the cross-sectional variance (for the tariff) and</w:t>
      </w:r>
      <w:r>
        <w:t xml:space="preserve"> </w:t>
      </w:r>
      <w:r>
        <w:t xml:space="preserve">essentially nothing for most shocks, leaving</w:t>
      </w:r>
      <w:r>
        <w:t xml:space="preserve"> </w:t>
      </w:r>
      <m:oMath>
        <m:r>
          <m:t>92</m:t>
        </m:r>
      </m:oMath>
      <w:r>
        <w:t xml:space="preserve">–</w:t>
      </w:r>
      <m:oMath>
        <m:r>
          <m:t>100</m:t>
        </m:r>
        <m:r>
          <m:rPr>
            <m:sty m:val="p"/>
          </m:rPr>
          <m:t>%</m:t>
        </m:r>
      </m:oMath>
      <w:r>
        <w:t xml:space="preserve"> </w:t>
      </w:r>
      <w:r>
        <w:t xml:space="preserve">of the dispersion idiosyncratic</w:t>
      </w:r>
      <w:r>
        <w:t xml:space="preserve"> </w:t>
      </w:r>
      <w:r>
        <w:t xml:space="preserve">(Table </w:t>
      </w:r>
      <w:hyperlink w:anchor="tab:beta">
        <w:r>
          <w:rPr>
            <w:rStyle w:val="Hyperlink"/>
          </w:rPr>
          <w:t xml:space="preserve">6</w:t>
        </w:r>
      </w:hyperlink>
      <w:r>
        <w:t xml:space="preserve">). This is the empirical signature that firm-specific</w:t>
      </w:r>
      <w:r>
        <w:t xml:space="preserve"> </w:t>
      </w:r>
      <w:r>
        <w:rPr>
          <w:i/>
          <w:iCs/>
        </w:rPr>
        <w:t xml:space="preserve">exposure</w:t>
      </w:r>
      <w:r>
        <w:t xml:space="preserve">, not</w:t>
      </w:r>
      <w:r>
        <w:t xml:space="preserve"> </w:t>
      </w:r>
      <w:r>
        <w:t xml:space="preserve">systematic risk, drives the sorting—which is precisely the variable the cohort reserves for</w:t>
      </w:r>
      <w:r>
        <w:t xml:space="preserve"> </w:t>
      </w:r>
      <w:r>
        <w:t xml:space="preserve">hand-collection.</w:t>
      </w:r>
    </w:p>
    <w:p>
      <w:pPr>
        <w:pStyle w:val="BodyText"/>
      </w:pPr>
      <w:r>
        <w:rPr>
          <w:b/>
          <w:bCs/>
        </w:rPr>
        <w:t xml:space="preserve">Observable traits explain part of it; exposure is the reserved next step.</w:t>
      </w:r>
      <w:r>
        <w:t xml:space="preserve"> </w:t>
      </w:r>
      <w:r>
        <w:t xml:space="preserve">Pooling all</w:t>
      </w:r>
      <w:r>
        <w:t xml:space="preserve"> </w:t>
      </w:r>
      <m:oMath>
        <m:r>
          <m:t>19</m:t>
        </m:r>
        <m:r>
          <m:rPr>
            <m:sty m:val="p"/>
          </m:rPr>
          <m:t>,</m:t>
        </m:r>
        <m:r>
          <m:t>256</m:t>
        </m:r>
      </m:oMath>
      <w:r>
        <w:t xml:space="preserve"> </w:t>
      </w:r>
      <w:r>
        <w:t xml:space="preserve">firm</w:t>
      </w:r>
      <m:oMath>
        <m:r>
          <m:rPr>
            <m:sty m:val="p"/>
          </m:rPr>
          <m:t>×</m:t>
        </m:r>
      </m:oMath>
      <w:r>
        <w:t xml:space="preserve">shock observations, we regress</w:t>
      </w:r>
      <w:r>
        <w:t xml:space="preserve"> </w:t>
      </w:r>
      <m:oMath>
        <m:r>
          <m:rPr>
            <m:sty m:val="p"/>
          </m:rPr>
          <m:t>|</m:t>
        </m:r>
        <m:r>
          <m:rPr>
            <m:nor/>
            <m:sty m:val="p"/>
          </m:rPr>
          <m:t>CAR</m:t>
        </m:r>
        <m:r>
          <m:rPr>
            <m:sty m:val="p"/>
          </m:rPr>
          <m:t>[</m:t>
        </m:r>
        <m:r>
          <m:t>0</m:t>
        </m:r>
        <m:r>
          <m:rPr>
            <m:sty m:val="p"/>
          </m:rPr>
          <m:t>,</m:t>
        </m:r>
        <m:r>
          <m:rPr>
            <m:sty m:val="p"/>
          </m:rPr>
          <m:t>+</m:t>
        </m:r>
        <m:r>
          <m:t>1</m:t>
        </m:r>
        <m:r>
          <m:rPr>
            <m:sty m:val="p"/>
          </m:rPr>
          <m:t>]</m:t>
        </m:r>
        <m:r>
          <m:rPr>
            <m:sty m:val="p"/>
          </m:rPr>
          <m:t>|</m:t>
        </m:r>
      </m:oMath>
      <w:r>
        <w:t xml:space="preserve"> </w:t>
      </w:r>
      <w:r>
        <w:t xml:space="preserve">on observable firm</w:t>
      </w:r>
      <w:r>
        <w:t xml:space="preserve"> </w:t>
      </w:r>
      <w:r>
        <w:t xml:space="preserve">characteristics—log market capitalization, market beta, and idiosyncratic volatility—with shock</w:t>
      </w:r>
      <w:r>
        <w:t xml:space="preserve"> </w:t>
      </w:r>
      <w:r>
        <w:t xml:space="preserve">and industry fixed effects and standard errors clustered by firm (Table </w:t>
      </w:r>
      <w:hyperlink w:anchor="tab:pooled">
        <w:r>
          <w:rPr>
            <w:rStyle w:val="Hyperlink"/>
          </w:rPr>
          <w:t xml:space="preserve">7</w:t>
        </w:r>
      </w:hyperlink>
      <w:r>
        <w:t xml:space="preserve">). All three</w:t>
      </w:r>
      <w:r>
        <w:t xml:space="preserve"> </w:t>
      </w:r>
      <w:r>
        <w:t xml:space="preserve">enter positively and idiosyncratic volatility dominates (</w:t>
      </w:r>
      <m:oMath>
        <m:r>
          <m:t>t</m:t>
        </m:r>
        <m:r>
          <m:rPr>
            <m:sty m:val="p"/>
          </m:rPr>
          <m:t>=</m:t>
        </m:r>
        <m:r>
          <m:t>11.3</m:t>
        </m:r>
      </m:oMath>
      <w:r>
        <w:t xml:space="preserve">); together with the fixed effects</w:t>
      </w:r>
      <w:r>
        <w:t xml:space="preserve"> </w:t>
      </w:r>
      <w:r>
        <w:t xml:space="preserve">they explain</w:t>
      </w:r>
      <w:r>
        <w:t xml:space="preserve"> </w:t>
      </w:r>
      <m:oMath>
        <m:r>
          <m:t>21</m:t>
        </m:r>
        <m:r>
          <m:rPr>
            <m:sty m:val="p"/>
          </m:rPr>
          <m:t>%</m:t>
        </m:r>
      </m:oMath>
      <w:r>
        <w:t xml:space="preserve"> </w:t>
      </w:r>
      <w:r>
        <w:t xml:space="preserve">of the variation in reaction magnitude. The remaining variation is the space the</w:t>
      </w:r>
      <w:r>
        <w:t xml:space="preserve"> </w:t>
      </w:r>
      <w:r>
        <w:t xml:space="preserve">design deliberately leaves open: whether each shock’s</w:t>
      </w:r>
      <w:r>
        <w:t xml:space="preserve"> </w:t>
      </w:r>
      <w:r>
        <w:rPr>
          <w:i/>
          <w:iCs/>
        </w:rPr>
        <w:t xml:space="preserve">specific</w:t>
      </w:r>
      <w:r>
        <w:t xml:space="preserve"> </w:t>
      </w:r>
      <w:r>
        <w:t xml:space="preserve">firm-level exposure (import-input</w:t>
      </w:r>
      <w:r>
        <w:t xml:space="preserve"> </w:t>
      </w:r>
      <w:r>
        <w:t xml:space="preserve">intensity for tariffs, uninsured-deposit ratios for SVB, AI-exposure for the language-model shocks)</w:t>
      </w:r>
      <w:r>
        <w:t xml:space="preserve"> </w:t>
      </w:r>
      <w:r>
        <w:t xml:space="preserve">explains the residual dispersion, and whether that exposure was priced</w:t>
      </w:r>
      <w:r>
        <w:t xml:space="preserve"> </w:t>
      </w:r>
      <w:r>
        <w:rPr>
          <w:i/>
          <w:iCs/>
        </w:rPr>
        <w:t xml:space="preserve">before</w:t>
      </w:r>
      <w:r>
        <w:t xml:space="preserve"> </w:t>
      </w:r>
      <w:r>
        <w:t xml:space="preserve">the</w:t>
      </w:r>
      <w:r>
        <w:t xml:space="preserve"> </w:t>
      </w:r>
      <w:r>
        <w:t xml:space="preserve">announcement. That test requires the exposure crosswalk the cohort is assembling, and we do not</w:t>
      </w:r>
      <w:r>
        <w:t xml:space="preserve"> </w:t>
      </w:r>
      <w:r>
        <w:t xml:space="preserve">attempt it with the generic observables here.</w:t>
      </w:r>
    </w:p>
    <w:p>
      <w:pPr>
        <w:pStyle w:val="BodyText"/>
      </w:pPr>
      <w:r>
        <w:rPr>
          <w:b/>
          <w:bCs/>
        </w:rPr>
        <w:t xml:space="preserve">We are honest about the small cross-section.</w:t>
      </w:r>
      <w:r>
        <w:t xml:space="preserve"> </w:t>
      </w:r>
      <w:r>
        <w:t xml:space="preserve">The draft’s headline was that differentiation</w:t>
      </w:r>
      <w:r>
        <w:t xml:space="preserve"> </w:t>
      </w:r>
      <w:r>
        <w:t xml:space="preserve">“scales with shock size,”</w:t>
      </w:r>
      <w:r>
        <w:t xml:space="preserve"> </w:t>
      </w:r>
      <w:r>
        <w:t xml:space="preserve">summarized by a</w:t>
      </w:r>
      <w:r>
        <w:t xml:space="preserve"> </w:t>
      </w:r>
      <m:oMath>
        <m:r>
          <m:t>0.69</m:t>
        </m:r>
      </m:oMath>
      <w:r>
        <w:t xml:space="preserve"> </w:t>
      </w:r>
      <w:r>
        <w:t xml:space="preserve">correlation between the absolute market move and</w:t>
      </w:r>
      <w:r>
        <w:t xml:space="preserve"> </w:t>
      </w:r>
      <w:r>
        <w:t xml:space="preserve">the cross-sectional dispersion. With only ten shocks this is fragile. A bootstrap gives a</w:t>
      </w:r>
      <w:r>
        <w:t xml:space="preserve"> </w:t>
      </w:r>
      <m:oMath>
        <m:r>
          <m:t>95</m:t>
        </m:r>
        <m:r>
          <m:rPr>
            <m:sty m:val="p"/>
          </m:rPr>
          <m:t>%</m:t>
        </m:r>
      </m:oMath>
      <w:r>
        <w:t xml:space="preserve"> </w:t>
      </w:r>
      <w:r>
        <w:t xml:space="preserve">interval of</w:t>
      </w:r>
      <w:r>
        <w:t xml:space="preserve"> </w:t>
      </w:r>
      <m:oMath>
        <m:r>
          <m:rPr>
            <m:sty m:val="p"/>
          </m:rPr>
          <m:t>[</m:t>
        </m:r>
        <m:r>
          <m:rPr>
            <m:sty m:val="p"/>
          </m:rPr>
          <m:t>−</m:t>
        </m:r>
        <m:r>
          <m:t>0.04</m:t>
        </m:r>
        <m:r>
          <m:rPr>
            <m:sty m:val="p"/>
          </m:rPr>
          <m:t>,</m:t>
        </m:r>
        <m:r>
          <m:t>0.97</m:t>
        </m:r>
        <m:r>
          <m:rPr>
            <m:sty m:val="p"/>
          </m:rPr>
          <m:t>]</m:t>
        </m:r>
      </m:oMath>
      <w:r>
        <w:t xml:space="preserve">; leave-one-shock-out drops the correlation to</w:t>
      </w:r>
      <w:r>
        <w:t xml:space="preserve"> </w:t>
      </w:r>
      <m:oMath>
        <m:r>
          <m:t>0.26</m:t>
        </m:r>
      </m:oMath>
      <w:r>
        <w:t xml:space="preserve"> </w:t>
      </w:r>
      <w:r>
        <w:t xml:space="preserve">when the tariff</w:t>
      </w:r>
      <w:r>
        <w:t xml:space="preserve"> </w:t>
      </w:r>
      <w:r>
        <w:t xml:space="preserve">shock is removed (Table </w:t>
      </w:r>
      <w:hyperlink w:anchor="tab:boot">
        <w:r>
          <w:rPr>
            <w:rStyle w:val="Hyperlink"/>
          </w:rPr>
          <w:t xml:space="preserve">12</w:t>
        </w:r>
      </w:hyperlink>
      <w:r>
        <w:t xml:space="preserve">, Figure </w:t>
      </w:r>
      <w:hyperlink w:anchor="fig:bootstrap">
        <w:r>
          <w:rPr>
            <w:rStyle w:val="Hyperlink"/>
          </w:rPr>
          <w:t xml:space="preserve">4</w:t>
        </w:r>
      </w:hyperlink>
      <w:r>
        <w:t xml:space="preserve">); and a power calculation shows</w:t>
      </w:r>
      <w:r>
        <w:t xml:space="preserve"> </w:t>
      </w:r>
      <w:r>
        <w:t xml:space="preserve">that with</w:t>
      </w:r>
      <w:r>
        <w:t xml:space="preserve"> </w:t>
      </w:r>
      <m:oMath>
        <m:r>
          <m:t>n</m:t>
        </m:r>
        <m:r>
          <m:rPr>
            <m:sty m:val="p"/>
          </m:rPr>
          <m:t>=</m:t>
        </m:r>
        <m:r>
          <m:t>10</m:t>
        </m:r>
      </m:oMath>
      <w:r>
        <w:t xml:space="preserve"> </w:t>
      </w:r>
      <w:r>
        <w:t xml:space="preserve">the design can only reliably detect correlations above</w:t>
      </w:r>
      <w:r>
        <w:t xml:space="preserve"> </w:t>
      </w:r>
      <m:oMath>
        <m:r>
          <m:t>0.78</m:t>
        </m:r>
      </m:oMath>
      <w:r>
        <w:t xml:space="preserve"> </w:t>
      </w:r>
      <w:r>
        <w:t xml:space="preserve">(Table </w:t>
      </w:r>
      <w:hyperlink w:anchor="tab:power">
        <w:r>
          <w:rPr>
            <w:rStyle w:val="Hyperlink"/>
          </w:rPr>
          <w:t xml:space="preserve">13</w:t>
        </w:r>
      </w:hyperlink>
      <w:r>
        <w:t xml:space="preserve">). The Reg-NMS tick makes the point vivid: it differentiates firms as sharply</w:t>
      </w:r>
      <w:r>
        <w:t xml:space="preserve"> </w:t>
      </w:r>
      <w:r>
        <w:t xml:space="preserve">as the tariff (dispersion</w:t>
      </w:r>
      <w:r>
        <w:t xml:space="preserve"> </w:t>
      </w:r>
      <m:oMath>
        <m:r>
          <m:t>5.1</m:t>
        </m:r>
        <m:r>
          <m:rPr>
            <m:sty m:val="p"/>
          </m:rPr>
          <m:t>%</m:t>
        </m:r>
      </m:oMath>
      <w:r>
        <w:t xml:space="preserve">) despite a tiny</w:t>
      </w:r>
      <w:r>
        <w:t xml:space="preserve"> </w:t>
      </w:r>
      <m:oMath>
        <m:r>
          <m:rPr>
            <m:sty m:val="p"/>
          </m:rPr>
          <m:t>−</m:t>
        </m:r>
        <m:r>
          <m:t>1.1</m:t>
        </m:r>
        <m:r>
          <m:rPr>
            <m:sty m:val="p"/>
          </m:rPr>
          <m:t>%</m:t>
        </m:r>
      </m:oMath>
      <w:r>
        <w:t xml:space="preserve"> </w:t>
      </w:r>
      <w:r>
        <w:t xml:space="preserve">market move. We therefore</w:t>
      </w:r>
      <w:r>
        <w:t xml:space="preserve"> </w:t>
      </w:r>
      <w:r>
        <w:rPr>
          <w:i/>
          <w:iCs/>
        </w:rPr>
        <w:t xml:space="preserve">retract</w:t>
      </w:r>
      <w:r>
        <w:rPr>
          <w:i/>
          <w:iCs/>
        </w:rPr>
        <w:t xml:space="preserve"> </w:t>
      </w:r>
      <w:r>
        <w:rPr>
          <w:i/>
          <w:iCs/>
        </w:rPr>
        <w:t xml:space="preserve">the strong scaling claim</w:t>
      </w:r>
      <w:r>
        <w:t xml:space="preserve"> </w:t>
      </w:r>
      <w:r>
        <w:t xml:space="preserve">and report it as suggestive. What is robust is that differentiation is</w:t>
      </w:r>
      <w:r>
        <w:t xml:space="preserve"> </w:t>
      </w:r>
      <w:r>
        <w:t xml:space="preserve">real, idiosyncratic, and largest for the tariff, the tick, and SVB.</w:t>
      </w:r>
    </w:p>
    <w:p>
      <w:pPr>
        <w:pStyle w:val="BodyText"/>
      </w:pPr>
      <w:r>
        <w:rPr>
          <w:b/>
          <w:bCs/>
        </w:rPr>
        <w:t xml:space="preserve">Propagation is heterogeneous but shows modest continuation.</w:t>
      </w:r>
      <w:r>
        <w:t xml:space="preserve"> </w:t>
      </w:r>
      <w:r>
        <w:t xml:space="preserve">Post-event drift differs</w:t>
      </w:r>
      <w:r>
        <w:t xml:space="preserve"> </w:t>
      </w:r>
      <w:r>
        <w:t xml:space="preserve">enormously across shocks: a random-effects meta-analysis</w:t>
      </w:r>
      <w:r>
        <w:t xml:space="preserve"> </w:t>
      </w:r>
      <w:r>
        <w:t xml:space="preserve"> </w:t>
      </w:r>
      <w:r>
        <w:t xml:space="preserve">of</w:t>
      </w:r>
      <w:r>
        <w:t xml:space="preserve"> </w:t>
      </w:r>
      <w:r>
        <w:t xml:space="preserve">the mean drift returns a pooled estimate indistinguishable from zero but with</w:t>
      </w:r>
      <w:r>
        <w:t xml:space="preserve"> </w:t>
      </w:r>
      <m:oMath>
        <m:sSup>
          <m:e>
            <m:r>
              <m:t>I</m:t>
            </m:r>
          </m:e>
          <m:sup>
            <m:r>
              <m:t>2</m:t>
            </m:r>
          </m:sup>
        </m:sSup>
        <m:r>
          <m:rPr>
            <m:sty m:val="p"/>
          </m:rPr>
          <m:t>=</m:t>
        </m:r>
        <m:r>
          <m:t>99</m:t>
        </m:r>
        <m:r>
          <m:rPr>
            <m:sty m:val="p"/>
          </m:rPr>
          <m:t>%</m:t>
        </m:r>
      </m:oMath>
      <w:r>
        <w:t xml:space="preserve"> </w:t>
      </w:r>
      <w:r>
        <w:t xml:space="preserve">(Table </w:t>
      </w:r>
      <w:hyperlink w:anchor="tab:metare">
        <w:r>
          <w:rPr>
            <w:rStyle w:val="Hyperlink"/>
          </w:rPr>
          <w:t xml:space="preserve">8</w:t>
        </w:r>
      </w:hyperlink>
      <w:r>
        <w:t xml:space="preserve">, Figure </w:t>
      </w:r>
      <w:hyperlink w:anchor="fig:forest">
        <w:r>
          <w:rPr>
            <w:rStyle w:val="Hyperlink"/>
          </w:rPr>
          <w:t xml:space="preserve">3</w:t>
        </w:r>
      </w:hyperlink>
      <w:r>
        <w:t xml:space="preserve">)—these are genuinely different events, and SVB is</w:t>
      </w:r>
      <w:r>
        <w:t xml:space="preserve"> </w:t>
      </w:r>
      <w:r>
        <w:t xml:space="preserve">the negative-drift (</w:t>
      </w:r>
      <m:oMath>
        <m:r>
          <m:rPr>
            <m:sty m:val="p"/>
          </m:rPr>
          <m:t>−</m:t>
        </m:r>
        <m:r>
          <m:t>3.5</m:t>
        </m:r>
        <m:r>
          <m:rPr>
            <m:sty m:val="p"/>
          </m:rPr>
          <m:t>%</m:t>
        </m:r>
      </m:oMath>
      <w:r>
        <w:t xml:space="preserve">) contagion outlier. Yet pooling firms and sorting by announcement CAR,</w:t>
      </w:r>
      <w:r>
        <w:t xml:space="preserve"> </w:t>
      </w:r>
      <w:r>
        <w:t xml:space="preserve">the highest-power test we run, reveals a monotone pattern: firms that fell most on impact keep</w:t>
      </w:r>
      <w:r>
        <w:t xml:space="preserve"> </w:t>
      </w:r>
      <w:r>
        <w:t xml:space="preserve">falling and firms that rose keep rising, a top-minus-bottom quintile drift of</w:t>
      </w:r>
      <w:r>
        <w:t xml:space="preserve"> </w:t>
      </w:r>
      <m:oMath>
        <m:r>
          <m:rPr>
            <m:sty m:val="p"/>
          </m:rPr>
          <m:t>+</m:t>
        </m:r>
        <m:r>
          <m:t>0.73</m:t>
        </m:r>
        <m:r>
          <m:rPr>
            <m:sty m:val="p"/>
          </m:rPr>
          <m:t>%</m:t>
        </m:r>
      </m:oMath>
      <w:r>
        <w:t xml:space="preserve"> </w:t>
      </w:r>
      <w:r>
        <w:t xml:space="preserve">(</w:t>
      </w:r>
      <m:oMath>
        <m:r>
          <m:t>t</m:t>
        </m:r>
        <m:r>
          <m:rPr>
            <m:sty m:val="p"/>
          </m:rPr>
          <m:t>=</m:t>
        </m:r>
        <m:r>
          <m:t>3.9</m:t>
        </m:r>
      </m:oMath>
      <w:r>
        <w:t xml:space="preserve">;</w:t>
      </w:r>
      <w:r>
        <w:t xml:space="preserve"> </w:t>
      </w:r>
      <w:r>
        <w:t xml:space="preserve">Table </w:t>
      </w:r>
      <w:hyperlink w:anchor="tab:overreact">
        <w:r>
          <w:rPr>
            <w:rStyle w:val="Hyperlink"/>
          </w:rPr>
          <w:t xml:space="preserve">9</w:t>
        </w:r>
      </w:hyperlink>
      <w:r>
        <w:t xml:space="preserve">)—modest</w:t>
      </w:r>
      <w:r>
        <w:t xml:space="preserve"> </w:t>
      </w:r>
      <w:r>
        <w:rPr>
          <w:i/>
          <w:iCs/>
        </w:rPr>
        <w:t xml:space="preserve">under-reaction</w:t>
      </w:r>
      <w:r>
        <w:t xml:space="preserve">, not the over-reaction a contrarian would</w:t>
      </w:r>
      <w:r>
        <w:t xml:space="preserve"> </w:t>
      </w:r>
      <w:r>
        <w:t xml:space="preserve">predict.</w:t>
      </w:r>
    </w:p>
    <w:p>
      <w:pPr>
        <w:pStyle w:val="BodyText"/>
      </w:pPr>
      <w:r>
        <w:t xml:space="preserve">We make four contributions. First, we provide a</w:t>
      </w:r>
      <w:r>
        <w:t xml:space="preserve"> </w:t>
      </w:r>
      <w:r>
        <w:rPr>
          <w:i/>
          <w:iCs/>
        </w:rPr>
        <w:t xml:space="preserve">comparative</w:t>
      </w:r>
      <w:r>
        <w:t xml:space="preserve"> </w:t>
      </w:r>
      <w:r>
        <w:t xml:space="preserve">event-study lens on a dense</w:t>
      </w:r>
      <w:r>
        <w:t xml:space="preserve"> </w:t>
      </w:r>
      <w:r>
        <w:t xml:space="preserve">natural sequence of policy shocks, measured on strictly common footing. Second, we show how to make</w:t>
      </w:r>
      <w:r>
        <w:t xml:space="preserve"> </w:t>
      </w:r>
      <w:r>
        <w:t xml:space="preserve">a cross-shock atlas rigorous with design-based tools—placebo/permutation dispersion tests,</w:t>
      </w:r>
      <w:r>
        <w:t xml:space="preserve"> </w:t>
      </w:r>
      <w:r>
        <w:t xml:space="preserve">rank-stability checks, pooled clustered regressions, random-effects meta-analysis, bootstrap, and</w:t>
      </w:r>
      <w:r>
        <w:t xml:space="preserve"> </w:t>
      </w:r>
      <w:r>
        <w:t xml:space="preserve">minimum-detectable-effect calculations—rather than leaning on a handful of fragile cross-shock</w:t>
      </w:r>
      <w:r>
        <w:t xml:space="preserve"> </w:t>
      </w:r>
      <w:r>
        <w:t xml:space="preserve">correlations. Third, we correct an over-strong claim in the original draft and quantify exactly why</w:t>
      </w:r>
      <w:r>
        <w:t xml:space="preserve"> </w:t>
      </w:r>
      <m:oMath>
        <m:r>
          <m:t>n</m:t>
        </m:r>
        <m:r>
          <m:rPr>
            <m:sty m:val="p"/>
          </m:rPr>
          <m:t>=</m:t>
        </m:r>
        <m:r>
          <m:t>10</m:t>
        </m:r>
      </m:oMath>
      <w:r>
        <w:t xml:space="preserve"> </w:t>
      </w:r>
      <w:r>
        <w:t xml:space="preserve">cannot support it. Fourth, we locate the differentiation in idiosyncratic, firm-specific</w:t>
      </w:r>
      <w:r>
        <w:t xml:space="preserve"> </w:t>
      </w:r>
      <w:r>
        <w:t xml:space="preserve">repricing, setting up the cohort’s reserved exposure test as the natural completion. Section 2</w:t>
      </w:r>
      <w:r>
        <w:t xml:space="preserve"> </w:t>
      </w:r>
      <w:r>
        <w:t xml:space="preserve">describes the shock wave and hypotheses, Section 3 the literature, Section 4 the data and design,</w:t>
      </w:r>
      <w:r>
        <w:t xml:space="preserve"> </w:t>
      </w:r>
      <w:r>
        <w:t xml:space="preserve">Section 5 tests whether the differentiation is real, Section 6 decomposes it into systematic and</w:t>
      </w:r>
      <w:r>
        <w:t xml:space="preserve"> </w:t>
      </w:r>
      <w:r>
        <w:t xml:space="preserve">idiosyncratic parts, Section 7 confronts the fragility of the size-scaling claim, Section 8 studies</w:t>
      </w:r>
      <w:r>
        <w:t xml:space="preserve"> </w:t>
      </w:r>
      <w:r>
        <w:t xml:space="preserve">propagation, Section 9 reports power, and Section 10 concludes with the reserved exposure test.</w:t>
      </w:r>
    </w:p>
    <w:bookmarkEnd w:id="10"/>
    <w:bookmarkStart w:id="14" w:name="sec:bg"/>
    <w:p>
      <w:pPr>
        <w:pStyle w:val="Heading1"/>
      </w:pPr>
      <w:r>
        <w:t xml:space="preserve">The Shock Wave and Hypotheses</w:t>
      </w:r>
    </w:p>
    <w:bookmarkStart w:id="11" w:name="ten-dated-shocks."/>
    <w:p>
      <w:pPr>
        <w:pStyle w:val="Heading4"/>
      </w:pPr>
      <w:r>
        <w:t xml:space="preserve">Ten dated shocks.</w:t>
      </w:r>
    </w:p>
    <w:p>
      <w:pPr>
        <w:pStyle w:val="FirstParagraph"/>
      </w:pPr>
      <w:r>
        <w:t xml:space="preserve">We study ten dated events spanning industrial policy, tax, technology,</w:t>
      </w:r>
      <w:r>
        <w:t xml:space="preserve"> </w:t>
      </w:r>
      <w:r>
        <w:t xml:space="preserve">banking, disclosure, trade, crypto regulation, and market microstructure (Table </w:t>
      </w:r>
      <w:hyperlink w:anchor="tab:atlas">
        <w:r>
          <w:rPr>
            <w:rStyle w:val="Hyperlink"/>
          </w:rPr>
          <w:t xml:space="preserve">1</w:t>
        </w:r>
      </w:hyperlink>
      <w:r>
        <w:t xml:space="preserve">):</w:t>
      </w:r>
      <w:r>
        <w:t xml:space="preserve"> </w:t>
      </w:r>
      <w:r>
        <w:t xml:space="preserve">the CHIPS Act signing (Aug 2022), the IRA buyback excise tax (Aug 2022), the ChatGPT release (Nov</w:t>
      </w:r>
      <w:r>
        <w:t xml:space="preserve"> </w:t>
      </w:r>
      <w:r>
        <w:t xml:space="preserve">2022) and GPT-4 release (Mar 2023), the Silicon Valley Bank collapse (Mar 2023), the SEC five-day</w:t>
      </w:r>
      <w:r>
        <w:t xml:space="preserve"> </w:t>
      </w:r>
      <w:r>
        <w:t xml:space="preserve">13D rule (Feb 2024), the April-2025 reciprocal tariff shock and the tariff pause days later, the</w:t>
      </w:r>
      <w:r>
        <w:t xml:space="preserve"> </w:t>
      </w:r>
      <w:r>
        <w:t xml:space="preserve">GENIUS Act (Jul 2025), and the Reg-NMS half-cent tick pilot (Nov 2025). Each is</w:t>
      </w:r>
      <w:r>
        <w:t xml:space="preserve"> </w:t>
      </w:r>
      <w:r>
        <w:t xml:space="preserve">“owned”</w:t>
      </w:r>
      <w:r>
        <w:t xml:space="preserve"> </w:t>
      </w:r>
      <w:r>
        <w:t xml:space="preserve">by the</w:t>
      </w:r>
      <w:r>
        <w:t xml:space="preserve"> </w:t>
      </w:r>
      <w:r>
        <w:t xml:space="preserve">cohort member whose individual project studies it; the ownership is what makes the reserved</w:t>
      </w:r>
      <w:r>
        <w:t xml:space="preserve"> </w:t>
      </w:r>
      <w:r>
        <w:t xml:space="preserve">exposure test feasible. We use a single calendar date per shock and are explicit</w:t>
      </w:r>
      <w:r>
        <w:t xml:space="preserve"> </w:t>
      </w:r>
      <w:r>
        <w:t xml:space="preserve">(Section </w:t>
      </w:r>
      <w:hyperlink w:anchor="sec:concl">
        <w:r>
          <w:rPr>
            <w:rStyle w:val="Hyperlink"/>
          </w:rPr>
          <w:t xml:space="preserve">11</w:t>
        </w:r>
      </w:hyperlink>
      <w:r>
        <w:t xml:space="preserve">) that the exact intraday timing—announcement versus effective, pre-</w:t>
      </w:r>
      <w:r>
        <w:t xml:space="preserve"> </w:t>
      </w:r>
      <w:r>
        <w:t xml:space="preserve">versus post-close—is part of the reserved hand-collection and is not resolved here.</w:t>
      </w:r>
    </w:p>
    <w:bookmarkEnd w:id="11"/>
    <w:bookmarkStart w:id="12" w:name="three-axes-and-hypotheses."/>
    <w:p>
      <w:pPr>
        <w:pStyle w:val="Heading4"/>
      </w:pPr>
      <w:r>
        <w:t xml:space="preserve">Three axes and hypotheses.</w:t>
      </w:r>
    </w:p>
    <w:p>
      <w:pPr>
        <w:pStyle w:val="FirstParagraph"/>
      </w:pPr>
      <w:r>
        <w:t xml:space="preserve">The atlas measures each shock on three axes. The</w:t>
      </w:r>
      <w:r>
        <w:t xml:space="preserve"> </w:t>
      </w:r>
      <w:r>
        <w:rPr>
          <w:i/>
          <w:iCs/>
        </w:rPr>
        <w:t xml:space="preserve">level</w:t>
      </w:r>
      <w:r>
        <w:t xml:space="preserve"> </w:t>
      </w:r>
      <w:r>
        <w:t xml:space="preserve">is the raw market move over</w:t>
      </w:r>
      <w:r>
        <w:t xml:space="preserve"> </w:t>
      </w:r>
      <m:oMath>
        <m:r>
          <m:rPr>
            <m:sty m:val="p"/>
          </m:rPr>
          <m:t>[</m:t>
        </m:r>
        <m:r>
          <m:t>0</m:t>
        </m:r>
        <m:r>
          <m:rPr>
            <m:sty m:val="p"/>
          </m:rPr>
          <m:t>,</m:t>
        </m:r>
        <m:r>
          <m:rPr>
            <m:sty m:val="p"/>
          </m:rPr>
          <m:t>+</m:t>
        </m:r>
        <m:r>
          <m:t>1</m:t>
        </m:r>
        <m:r>
          <m:rPr>
            <m:sty m:val="p"/>
          </m:rPr>
          <m:t>]</m:t>
        </m:r>
      </m:oMath>
      <w:r>
        <w:t xml:space="preserve">.</w:t>
      </w:r>
      <w:r>
        <w:t xml:space="preserve"> </w:t>
      </w:r>
      <w:r>
        <w:rPr>
          <w:i/>
          <w:iCs/>
        </w:rPr>
        <w:t xml:space="preserve">Differentiation</w:t>
      </w:r>
      <w:r>
        <w:t xml:space="preserve"> </w:t>
      </w:r>
      <w:r>
        <w:t xml:space="preserve">is the cross-sectional SD</w:t>
      </w:r>
      <w:r>
        <w:t xml:space="preserve"> </w:t>
      </w:r>
      <w:r>
        <w:t xml:space="preserve">of firm CARs over</w:t>
      </w:r>
      <w:r>
        <w:t xml:space="preserve"> </w:t>
      </w:r>
      <m:oMath>
        <m:r>
          <m:rPr>
            <m:sty m:val="p"/>
          </m:rPr>
          <m:t>[</m:t>
        </m:r>
        <m:r>
          <m:t>0</m:t>
        </m:r>
        <m:r>
          <m:rPr>
            <m:sty m:val="p"/>
          </m:rPr>
          <m:t>,</m:t>
        </m:r>
        <m:r>
          <m:rPr>
            <m:sty m:val="p"/>
          </m:rPr>
          <m:t>+</m:t>
        </m:r>
        <m:r>
          <m:t>1</m:t>
        </m:r>
        <m:r>
          <m:rPr>
            <m:sty m:val="p"/>
          </m:rPr>
          <m:t>]</m:t>
        </m:r>
      </m:oMath>
      <w:r>
        <w:t xml:space="preserve">: a large, uniform shock moves every firm the same way (low dispersion),</w:t>
      </w:r>
      <w:r>
        <w:t xml:space="preserve"> </w:t>
      </w:r>
      <w:r>
        <w:t xml:space="preserve">while a shock that reallocates value across firms produces high dispersion.</w:t>
      </w:r>
      <w:r>
        <w:t xml:space="preserve"> </w:t>
      </w:r>
      <w:r>
        <w:rPr>
          <w:i/>
          <w:iCs/>
        </w:rPr>
        <w:t xml:space="preserve">Propagation</w:t>
      </w:r>
      <w:r>
        <w:t xml:space="preserve"> </w:t>
      </w:r>
      <w:r>
        <w:t xml:space="preserve">is</w:t>
      </w:r>
      <w:r>
        <w:t xml:space="preserve"> </w:t>
      </w:r>
      <w:r>
        <w:t xml:space="preserve">captured by the mean drift over</w:t>
      </w:r>
      <w:r>
        <w:t xml:space="preserve"> </w:t>
      </w:r>
      <m:oMath>
        <m:r>
          <m:rPr>
            <m:sty m:val="p"/>
          </m:rPr>
          <m:t>[</m:t>
        </m:r>
        <m:r>
          <m:rPr>
            <m:sty m:val="p"/>
          </m:rPr>
          <m:t>+</m:t>
        </m:r>
        <m:r>
          <m:t>2</m:t>
        </m:r>
        <m:r>
          <m:rPr>
            <m:sty m:val="p"/>
          </m:rPr>
          <m:t>,</m:t>
        </m:r>
        <m:r>
          <m:rPr>
            <m:sty m:val="p"/>
          </m:rPr>
          <m:t>+</m:t>
        </m:r>
        <m:r>
          <m:t>10</m:t>
        </m:r>
        <m:r>
          <m:rPr>
            <m:sty m:val="p"/>
          </m:rPr>
          <m:t>]</m:t>
        </m:r>
      </m:oMath>
      <w:r>
        <w:t xml:space="preserve"> </w:t>
      </w:r>
      <w:r>
        <w:t xml:space="preserve">and by the cross-firm correlation between the</w:t>
      </w:r>
      <w:r>
        <w:t xml:space="preserve"> </w:t>
      </w:r>
      <w:r>
        <w:t xml:space="preserve">announcement CAR and the subsequent drift (positive</w:t>
      </w:r>
      <w:r>
        <w:t xml:space="preserve"> </w:t>
      </w:r>
      <m:oMath>
        <m:r>
          <m:rPr>
            <m:sty m:val="p"/>
          </m:rPr>
          <m:t>=</m:t>
        </m:r>
      </m:oMath>
      <w:r>
        <w:t xml:space="preserve"> </w:t>
      </w:r>
      <w:r>
        <w:t xml:space="preserve">continuation, negative</w:t>
      </w:r>
      <w:r>
        <w:t xml:space="preserve"> </w:t>
      </w:r>
      <m:oMath>
        <m:r>
          <m:rPr>
            <m:sty m:val="p"/>
          </m:rPr>
          <m:t>=</m:t>
        </m:r>
      </m:oMath>
      <w:r>
        <w:t xml:space="preserve"> </w:t>
      </w:r>
      <w:r>
        <w:t xml:space="preserve">reversal). These</w:t>
      </w:r>
      <w:r>
        <w:t xml:space="preserve"> </w:t>
      </w:r>
      <w:r>
        <w:t xml:space="preserve">motivate three hypotheses:</w:t>
      </w:r>
    </w:p>
    <w:p>
      <w:pPr>
        <w:pStyle w:val="BlockText"/>
      </w:pPr>
      <w:r>
        <w:rPr>
          <w:b/>
          <w:bCs/>
        </w:rPr>
        <w:t xml:space="preserve">H1 (Real differentiation).</w:t>
      </w:r>
      <w:r>
        <w:t xml:space="preserve"> </w:t>
      </w:r>
      <w:r>
        <w:t xml:space="preserve">Large policy shocks produce cross-sectional CAR dispersion</w:t>
      </w:r>
      <w:r>
        <w:t xml:space="preserve"> </w:t>
      </w:r>
      <w:r>
        <w:t xml:space="preserve">above the level firms exhibit on ordinary days.</w:t>
      </w:r>
      <w:r>
        <w:br/>
      </w:r>
      <w:r>
        <w:rPr>
          <w:b/>
          <w:bCs/>
        </w:rPr>
        <w:t xml:space="preserve">H2 (Idiosyncratic differentiation).</w:t>
      </w:r>
      <w:r>
        <w:t xml:space="preserve"> </w:t>
      </w:r>
      <w:r>
        <w:t xml:space="preserve">The dispersion is firm-specific, not a repricing of</w:t>
      </w:r>
      <w:r>
        <w:t xml:space="preserve"> </w:t>
      </w:r>
      <w:r>
        <w:t xml:space="preserve">systematic (beta) risk.</w:t>
      </w:r>
      <w:r>
        <w:br/>
      </w:r>
      <w:r>
        <w:rPr>
          <w:b/>
          <w:bCs/>
        </w:rPr>
        <w:t xml:space="preserve">H3 (Efficient propagation).</w:t>
      </w:r>
      <w:r>
        <w:t xml:space="preserve"> </w:t>
      </w:r>
      <w:r>
        <w:t xml:space="preserve">Post-event drift is small and mean-reverting, consistent with</w:t>
      </w:r>
      <w:r>
        <w:t xml:space="preserve"> </w:t>
      </w:r>
      <w:r>
        <w:t xml:space="preserve">prompt price discovery, absent a contagion mechanism.</w:t>
      </w:r>
    </w:p>
    <w:p>
      <w:pPr>
        <w:pStyle w:val="FirstParagraph"/>
      </w:pPr>
      <w:r>
        <w:t xml:space="preserve">Our evidence supports H1 for the three largest shocks, supports H2 broadly, and gives a nuanced</w:t>
      </w:r>
      <w:r>
        <w:t xml:space="preserve"> </w:t>
      </w:r>
      <w:r>
        <w:t xml:space="preserve">verdict on H3: propagation is efficient on average but with a systematic component of modest</w:t>
      </w:r>
      <w:r>
        <w:t xml:space="preserve"> </w:t>
      </w:r>
      <w:r>
        <w:t xml:space="preserve">under-reaction and one clear contagion outlier (SVB).</w:t>
      </w:r>
    </w:p>
    <w:bookmarkEnd w:id="12"/>
    <w:bookmarkStart w:id="13" w:name="the-ten-shocks-one-by-one."/>
    <w:p>
      <w:pPr>
        <w:pStyle w:val="Heading4"/>
      </w:pPr>
      <w:r>
        <w:t xml:space="preserve">The ten shocks, one by one.</w:t>
      </w:r>
    </w:p>
    <w:p>
      <w:pPr>
        <w:pStyle w:val="FirstParagraph"/>
      </w:pPr>
      <w:r>
        <w:t xml:space="preserve">Because each shock is owned by a cohort member, it is worth</w:t>
      </w:r>
      <w:r>
        <w:t xml:space="preserve"> </w:t>
      </w:r>
      <w:r>
        <w:t xml:space="preserve">walking the atlas across its three axes (all figures from Table </w:t>
      </w:r>
      <w:hyperlink w:anchor="tab:atlas">
        <w:r>
          <w:rPr>
            <w:rStyle w:val="Hyperlink"/>
          </w:rPr>
          <w:t xml:space="preserve">1</w:t>
        </w:r>
      </w:hyperlink>
      <w:r>
        <w:t xml:space="preserve">). The</w:t>
      </w:r>
      <w:r>
        <w:t xml:space="preserve"> </w:t>
      </w:r>
      <w:r>
        <w:rPr>
          <w:i/>
          <w:iCs/>
        </w:rPr>
        <w:t xml:space="preserve">CHIPS Act</w:t>
      </w:r>
      <w:r>
        <w:t xml:space="preserve"> </w:t>
      </w:r>
      <w:r>
        <w:t xml:space="preserve">signing (owned by A. Tang) moved the market</w:t>
      </w:r>
      <w:r>
        <w:t xml:space="preserve"> </w:t>
      </w:r>
      <m:oMath>
        <m:r>
          <m:rPr>
            <m:sty m:val="p"/>
          </m:rPr>
          <m:t>+</m:t>
        </m:r>
        <m:r>
          <m:t>1.7</m:t>
        </m:r>
        <m:r>
          <m:rPr>
            <m:sty m:val="p"/>
          </m:rPr>
          <m:t>%</m:t>
        </m:r>
      </m:oMath>
      <w:r>
        <w:t xml:space="preserve"> </w:t>
      </w:r>
      <w:r>
        <w:t xml:space="preserve">with modest dispersion (</w:t>
      </w:r>
      <m:oMath>
        <m:r>
          <m:t>2.9</m:t>
        </m:r>
        <m:r>
          <m:rPr>
            <m:sty m:val="p"/>
          </m:rPr>
          <m:t>%</m:t>
        </m:r>
      </m:oMath>
      <w:r>
        <w:t xml:space="preserve">) and a small</w:t>
      </w:r>
      <w:r>
        <w:t xml:space="preserve"> </w:t>
      </w:r>
      <w:r>
        <w:t xml:space="preserve">negative drift. The</w:t>
      </w:r>
      <w:r>
        <w:t xml:space="preserve"> </w:t>
      </w:r>
      <w:r>
        <w:rPr>
          <w:i/>
          <w:iCs/>
        </w:rPr>
        <w:t xml:space="preserve">IRA buyback excise tax</w:t>
      </w:r>
      <w:r>
        <w:t xml:space="preserve"> </w:t>
      </w:r>
      <w:r>
        <w:t xml:space="preserve">was nearly a non-event in aggregate (</w:t>
      </w:r>
      <m:oMath>
        <m:r>
          <m:rPr>
            <m:sty m:val="p"/>
          </m:rPr>
          <m:t>−</m:t>
        </m:r>
        <m:r>
          <m:t>0.7</m:t>
        </m:r>
        <m:r>
          <m:rPr>
            <m:sty m:val="p"/>
          </m:rPr>
          <m:t>%</m:t>
        </m:r>
      </m:oMath>
      <w:r>
        <w:t xml:space="preserve">) with</w:t>
      </w:r>
      <w:r>
        <w:t xml:space="preserve"> </w:t>
      </w:r>
      <w:r>
        <w:t xml:space="preserve">the lowest dispersion of all (</w:t>
      </w:r>
      <m:oMath>
        <m:r>
          <m:t>2.5</m:t>
        </m:r>
        <m:r>
          <m:rPr>
            <m:sty m:val="p"/>
          </m:rPr>
          <m:t>%</m:t>
        </m:r>
      </m:oMath>
      <w:r>
        <w:t xml:space="preserve">). The two language-model shocks bracket the technology story:</w:t>
      </w:r>
      <w:r>
        <w:t xml:space="preserve"> </w:t>
      </w:r>
      <w:r>
        <w:rPr>
          <w:i/>
          <w:iCs/>
        </w:rPr>
        <w:t xml:space="preserve">ChatGPT</w:t>
      </w:r>
      <w:r>
        <w:t xml:space="preserve"> </w:t>
      </w:r>
      <w:r>
        <w:t xml:space="preserve">(N. Ngo) produced a</w:t>
      </w:r>
      <w:r>
        <w:t xml:space="preserve"> </w:t>
      </w:r>
      <m:oMath>
        <m:r>
          <m:rPr>
            <m:sty m:val="p"/>
          </m:rPr>
          <m:t>+</m:t>
        </m:r>
        <m:r>
          <m:t>3.1</m:t>
        </m:r>
        <m:r>
          <m:rPr>
            <m:sty m:val="p"/>
          </m:rPr>
          <m:t>%</m:t>
        </m:r>
      </m:oMath>
      <w:r>
        <w:t xml:space="preserve"> </w:t>
      </w:r>
      <w:r>
        <w:t xml:space="preserve">pop and</w:t>
      </w:r>
      <w:r>
        <w:t xml:space="preserve"> </w:t>
      </w:r>
      <m:oMath>
        <m:r>
          <m:t>3.1</m:t>
        </m:r>
        <m:r>
          <m:rPr>
            <m:sty m:val="p"/>
          </m:rPr>
          <m:t>%</m:t>
        </m:r>
      </m:oMath>
      <w:r>
        <w:t xml:space="preserve"> </w:t>
      </w:r>
      <w:r>
        <w:t xml:space="preserve">dispersion, while</w:t>
      </w:r>
      <w:r>
        <w:t xml:space="preserve"> </w:t>
      </w:r>
      <w:r>
        <w:rPr>
          <w:i/>
          <w:iCs/>
        </w:rPr>
        <w:t xml:space="preserve">GPT-4</w:t>
      </w:r>
      <w:r>
        <w:t xml:space="preserve"> </w:t>
      </w:r>
      <w:r>
        <w:t xml:space="preserve">moved the</w:t>
      </w:r>
      <w:r>
        <w:t xml:space="preserve"> </w:t>
      </w:r>
      <w:r>
        <w:t xml:space="preserve">index only</w:t>
      </w:r>
      <w:r>
        <w:t xml:space="preserve"> </w:t>
      </w:r>
      <m:oMath>
        <m:r>
          <m:rPr>
            <m:sty m:val="p"/>
          </m:rPr>
          <m:t>+</m:t>
        </m:r>
        <m:r>
          <m:t>1.0</m:t>
        </m:r>
        <m:r>
          <m:rPr>
            <m:sty m:val="p"/>
          </m:rPr>
          <m:t>%</m:t>
        </m:r>
      </m:oMath>
      <w:r>
        <w:t xml:space="preserve"> </w:t>
      </w:r>
      <w:r>
        <w:t xml:space="preserve">yet still dispersed firms (</w:t>
      </w:r>
      <m:oMath>
        <m:r>
          <m:t>3.2</m:t>
        </m:r>
        <m:r>
          <m:rPr>
            <m:sty m:val="p"/>
          </m:rPr>
          <m:t>%</m:t>
        </m:r>
      </m:oMath>
      <w:r>
        <w:t xml:space="preserve">). The</w:t>
      </w:r>
      <w:r>
        <w:t xml:space="preserve"> </w:t>
      </w:r>
      <w:r>
        <w:rPr>
          <w:i/>
          <w:iCs/>
        </w:rPr>
        <w:t xml:space="preserve">SVB collapse</w:t>
      </w:r>
      <w:r>
        <w:t xml:space="preserve"> </w:t>
      </w:r>
      <w:r>
        <w:t xml:space="preserve">(A. Zhang) is the</w:t>
      </w:r>
      <w:r>
        <w:t xml:space="preserve"> </w:t>
      </w:r>
      <w:r>
        <w:t xml:space="preserve">propagation outlier: a</w:t>
      </w:r>
      <w:r>
        <w:t xml:space="preserve"> </w:t>
      </w:r>
      <m:oMath>
        <m:r>
          <m:rPr>
            <m:sty m:val="p"/>
          </m:rPr>
          <m:t>−</m:t>
        </m:r>
        <m:r>
          <m:t>3.7</m:t>
        </m:r>
        <m:r>
          <m:rPr>
            <m:sty m:val="p"/>
          </m:rPr>
          <m:t>%</m:t>
        </m:r>
      </m:oMath>
      <w:r>
        <w:t xml:space="preserve"> </w:t>
      </w:r>
      <w:r>
        <w:t xml:space="preserve">move,</w:t>
      </w:r>
      <w:r>
        <w:t xml:space="preserve"> </w:t>
      </w:r>
      <m:oMath>
        <m:r>
          <m:t>4.2</m:t>
        </m:r>
        <m:r>
          <m:rPr>
            <m:sty m:val="p"/>
          </m:rPr>
          <m:t>%</m:t>
        </m:r>
      </m:oMath>
      <w:r>
        <w:t xml:space="preserve"> </w:t>
      </w:r>
      <w:r>
        <w:t xml:space="preserve">dispersion, and a large</w:t>
      </w:r>
      <w:r>
        <w:t xml:space="preserve"> </w:t>
      </w:r>
      <m:oMath>
        <m:r>
          <m:rPr>
            <m:sty m:val="p"/>
          </m:rPr>
          <m:t>−</m:t>
        </m:r>
        <m:r>
          <m:t>3.5</m:t>
        </m:r>
        <m:r>
          <m:rPr>
            <m:sty m:val="p"/>
          </m:rPr>
          <m:t>%</m:t>
        </m:r>
      </m:oMath>
      <w:r>
        <w:t xml:space="preserve"> </w:t>
      </w:r>
      <w:r>
        <w:t xml:space="preserve">drift with a positive</w:t>
      </w:r>
      <w:r>
        <w:t xml:space="preserve"> </w:t>
      </w:r>
      <w:r>
        <w:t xml:space="preserve">reversal correlation (</w:t>
      </w:r>
      <m:oMath>
        <m:r>
          <m:rPr>
            <m:sty m:val="p"/>
          </m:rPr>
          <m:t>+</m:t>
        </m:r>
        <m:r>
          <m:t>0.42</m:t>
        </m:r>
      </m:oMath>
      <w:r>
        <w:t xml:space="preserve">)—firms that fell most kept falling, the contagion signature. The</w:t>
      </w:r>
      <w:r>
        <w:t xml:space="preserve"> </w:t>
      </w:r>
      <w:r>
        <w:rPr>
          <w:i/>
          <w:iCs/>
        </w:rPr>
        <w:t xml:space="preserve">SEC five-day 13D rule</w:t>
      </w:r>
      <w:r>
        <w:t xml:space="preserve"> </w:t>
      </w:r>
      <w:r>
        <w:t xml:space="preserve">was procedurally invisible (</w:t>
      </w:r>
      <m:oMath>
        <m:r>
          <m:rPr>
            <m:sty m:val="p"/>
          </m:rPr>
          <m:t>−</m:t>
        </m:r>
        <m:r>
          <m:t>0.1</m:t>
        </m:r>
        <m:r>
          <m:rPr>
            <m:sty m:val="p"/>
          </m:rPr>
          <m:t>%</m:t>
        </m:r>
      </m:oMath>
      <w:r>
        <w:t xml:space="preserve">,</w:t>
      </w:r>
      <w:r>
        <w:t xml:space="preserve"> </w:t>
      </w:r>
      <m:oMath>
        <m:r>
          <m:t>2.8</m:t>
        </m:r>
        <m:r>
          <m:rPr>
            <m:sty m:val="p"/>
          </m:rPr>
          <m:t>%</m:t>
        </m:r>
      </m:oMath>
      <w:r>
        <w:t xml:space="preserve"> </w:t>
      </w:r>
      <w:r>
        <w:t xml:space="preserve">dispersion). The</w:t>
      </w:r>
      <w:r>
        <w:t xml:space="preserve"> </w:t>
      </w:r>
      <w:r>
        <w:rPr>
          <w:i/>
          <w:iCs/>
        </w:rPr>
        <w:t xml:space="preserve">April-2025 reciprocal tariff</w:t>
      </w:r>
      <w:r>
        <w:t xml:space="preserve"> </w:t>
      </w:r>
      <w:r>
        <w:t xml:space="preserve">(D. Yaveroglu) is the largest shock on every axis:</w:t>
      </w:r>
      <w:r>
        <w:t xml:space="preserve"> </w:t>
      </w:r>
      <m:oMath>
        <m:r>
          <m:rPr>
            <m:sty m:val="p"/>
          </m:rPr>
          <m:t>−</m:t>
        </m:r>
        <m:r>
          <m:t>11.0</m:t>
        </m:r>
        <m:r>
          <m:rPr>
            <m:sty m:val="p"/>
          </m:rPr>
          <m:t>%</m:t>
        </m:r>
      </m:oMath>
      <w:r>
        <w:t xml:space="preserve"> </w:t>
      </w:r>
      <w:r>
        <w:t xml:space="preserve">market move and</w:t>
      </w:r>
      <w:r>
        <w:t xml:space="preserve"> </w:t>
      </w:r>
      <m:oMath>
        <m:r>
          <m:t>5.8</m:t>
        </m:r>
        <m:r>
          <m:rPr>
            <m:sty m:val="p"/>
          </m:rPr>
          <m:t>%</m:t>
        </m:r>
      </m:oMath>
      <w:r>
        <w:t xml:space="preserve"> </w:t>
      </w:r>
      <w:r>
        <w:t xml:space="preserve">dispersion, its</w:t>
      </w:r>
      <w:r>
        <w:t xml:space="preserve"> </w:t>
      </w:r>
      <m:oMath>
        <m:r>
          <m:rPr>
            <m:sty m:val="p"/>
          </m:rPr>
          <m:t>+</m:t>
        </m:r>
        <m:r>
          <m:t>6.2</m:t>
        </m:r>
        <m:r>
          <m:rPr>
            <m:sty m:val="p"/>
          </m:rPr>
          <m:t>%</m:t>
        </m:r>
      </m:oMath>
      <w:r>
        <w:t xml:space="preserve"> </w:t>
      </w:r>
      <w:r>
        <w:rPr>
          <w:i/>
          <w:iCs/>
        </w:rPr>
        <w:t xml:space="preserve">pause</w:t>
      </w:r>
      <w:r>
        <w:t xml:space="preserve"> </w:t>
      </w:r>
      <w:r>
        <w:t xml:space="preserve">days later partly reversing it with a</w:t>
      </w:r>
      <w:r>
        <w:t xml:space="preserve"> </w:t>
      </w:r>
      <w:r>
        <w:t xml:space="preserve">strong positive drift (</w:t>
      </w:r>
      <m:oMath>
        <m:r>
          <m:rPr>
            <m:sty m:val="p"/>
          </m:rPr>
          <m:t>+</m:t>
        </m:r>
        <m:r>
          <m:t>2.6</m:t>
        </m:r>
        <m:r>
          <m:rPr>
            <m:sty m:val="p"/>
          </m:rPr>
          <m:t>%</m:t>
        </m:r>
      </m:oMath>
      <w:r>
        <w:t xml:space="preserve">). The</w:t>
      </w:r>
      <w:r>
        <w:t xml:space="preserve"> </w:t>
      </w:r>
      <w:r>
        <w:rPr>
          <w:i/>
          <w:iCs/>
        </w:rPr>
        <w:t xml:space="preserve">GENIUS Act</w:t>
      </w:r>
      <w:r>
        <w:t xml:space="preserve"> </w:t>
      </w:r>
      <w:r>
        <w:t xml:space="preserve">(D. Joŕabekova) barely moved the broad</w:t>
      </w:r>
      <w:r>
        <w:t xml:space="preserve"> </w:t>
      </w:r>
      <w:r>
        <w:t xml:space="preserve">index (</w:t>
      </w:r>
      <m:oMath>
        <m:r>
          <m:rPr>
            <m:sty m:val="p"/>
          </m:rPr>
          <m:t>+</m:t>
        </m:r>
        <m:r>
          <m:t>0.1</m:t>
        </m:r>
        <m:r>
          <m:rPr>
            <m:sty m:val="p"/>
          </m:rPr>
          <m:t>%</m:t>
        </m:r>
      </m:oMath>
      <w:r>
        <w:t xml:space="preserve">) as a targeted crypto-regulatory event. Finally, the</w:t>
      </w:r>
      <w:r>
        <w:t xml:space="preserve"> </w:t>
      </w:r>
      <w:r>
        <w:rPr>
          <w:i/>
          <w:iCs/>
        </w:rPr>
        <w:t xml:space="preserve">Reg-NMS half-cent tick</w:t>
      </w:r>
      <w:r>
        <w:t xml:space="preserve"> </w:t>
      </w:r>
      <w:r>
        <w:t xml:space="preserve">pilot (K. Borra) is the atlas’s most instructive case: a tiny</w:t>
      </w:r>
      <w:r>
        <w:t xml:space="preserve"> </w:t>
      </w:r>
      <m:oMath>
        <m:r>
          <m:rPr>
            <m:sty m:val="p"/>
          </m:rPr>
          <m:t>−</m:t>
        </m:r>
        <m:r>
          <m:t>1.1</m:t>
        </m:r>
        <m:r>
          <m:rPr>
            <m:sty m:val="p"/>
          </m:rPr>
          <m:t>%</m:t>
        </m:r>
      </m:oMath>
      <w:r>
        <w:t xml:space="preserve"> </w:t>
      </w:r>
      <w:r>
        <w:t xml:space="preserve">aggregate move but the</w:t>
      </w:r>
      <w:r>
        <w:t xml:space="preserve"> </w:t>
      </w:r>
      <w:r>
        <w:t xml:space="preserve">second-highest dispersion (</w:t>
      </w:r>
      <m:oMath>
        <m:r>
          <m:t>5.2</m:t>
        </m:r>
        <m:r>
          <m:rPr>
            <m:sty m:val="p"/>
          </m:rPr>
          <m:t>%</m:t>
        </m:r>
      </m:oMath>
      <w:r>
        <w:t xml:space="preserve">)—a microstructure rule that reshuffled firms without moving the</w:t>
      </w:r>
      <w:r>
        <w:t xml:space="preserve"> </w:t>
      </w:r>
      <w:r>
        <w:t xml:space="preserve">market, the sharpest counterexample to</w:t>
      </w:r>
      <w:r>
        <w:t xml:space="preserve"> </w:t>
      </w:r>
      <w:r>
        <w:t xml:space="preserve">“differentiation scales with size.”</w:t>
      </w:r>
    </w:p>
    <w:bookmarkEnd w:id="13"/>
    <w:bookmarkEnd w:id="14"/>
    <w:bookmarkStart w:id="15" w:name="sec:lit"/>
    <w:p>
      <w:pPr>
        <w:pStyle w:val="Heading1"/>
      </w:pPr>
      <w:r>
        <w:t xml:space="preserve">Related Literature</w:t>
      </w:r>
    </w:p>
    <w:p>
      <w:pPr>
        <w:pStyle w:val="FirstParagraph"/>
      </w:pPr>
      <w:r>
        <w:t xml:space="preserve">This paper connects four strands. The first is</w:t>
      </w:r>
      <w:r>
        <w:t xml:space="preserve"> </w:t>
      </w:r>
      <w:r>
        <w:rPr>
          <w:i/>
          <w:iCs/>
        </w:rPr>
        <w:t xml:space="preserve">event-study methodology</w:t>
      </w:r>
      <w:r>
        <w:t xml:space="preserve">. The market-model</w:t>
      </w:r>
      <w:r>
        <w:t xml:space="preserve"> </w:t>
      </w:r>
      <w:r>
        <w:t xml:space="preserve">CAR and its inference are standard</w:t>
      </w:r>
      <w:r>
        <w:t xml:space="preserve"> </w:t>
      </w:r>
      <w:r>
        <w:t xml:space="preserve">, but short-horizon</w:t>
      </w:r>
      <w:r>
        <w:t xml:space="preserve"> </w:t>
      </w:r>
      <w:r>
        <w:t xml:space="preserve">tests are vulnerable to event-induced variance and to cross-sectional correlation of abnormal</w:t>
      </w:r>
      <w:r>
        <w:t xml:space="preserve"> </w:t>
      </w:r>
      <w:r>
        <w:t xml:space="preserve">returns</w:t>
      </w:r>
      <w:r>
        <w:t xml:space="preserve"> </w:t>
      </w:r>
      <w:r>
        <w:t xml:space="preserve">. A market-wide policy shock is the extreme case: abnormal</w:t>
      </w:r>
      <w:r>
        <w:t xml:space="preserve"> </w:t>
      </w:r>
      <w:r>
        <w:t xml:space="preserve">returns are strongly cross-sectionally correlated and the event mechanically inflates variance.</w:t>
      </w:r>
      <w:r>
        <w:t xml:space="preserve"> </w:t>
      </w:r>
      <w:r>
        <w:t xml:space="preserve">This is exactly why we do not test mean CARs (which are near zero by construction here) but instead</w:t>
      </w:r>
      <w:r>
        <w:t xml:space="preserve"> </w:t>
      </w:r>
      <w:r>
        <w:t xml:space="preserve">test the</w:t>
      </w:r>
      <w:r>
        <w:t xml:space="preserve"> </w:t>
      </w:r>
      <w:r>
        <w:rPr>
          <w:i/>
          <w:iCs/>
        </w:rPr>
        <w:t xml:space="preserve">dispersion</w:t>
      </w:r>
      <w:r>
        <w:t xml:space="preserve"> </w:t>
      </w:r>
      <w:r>
        <w:t xml:space="preserve">against a placebo distribution and pool firm</w:t>
      </w:r>
      <m:oMath>
        <m:r>
          <m:rPr>
            <m:sty m:val="p"/>
          </m:rPr>
          <m:t>×</m:t>
        </m:r>
      </m:oMath>
      <w:r>
        <w:t xml:space="preserve">shock reactions with</w:t>
      </w:r>
      <w:r>
        <w:t xml:space="preserve"> </w:t>
      </w:r>
      <w:r>
        <w:t xml:space="preserve">firm-clustered standard errors—design-based analogues of the corrections these papers propose.</w:t>
      </w:r>
    </w:p>
    <w:p>
      <w:pPr>
        <w:pStyle w:val="BodyText"/>
      </w:pPr>
      <w:r>
        <w:t xml:space="preserve">The second strand is the</w:t>
      </w:r>
      <w:r>
        <w:t xml:space="preserve"> </w:t>
      </w:r>
      <w:r>
        <w:rPr>
          <w:i/>
          <w:iCs/>
        </w:rPr>
        <w:t xml:space="preserve">cross-sectional dispersion of returns</w:t>
      </w:r>
      <w:r>
        <w:t xml:space="preserve"> </w:t>
      </w:r>
      <w:r>
        <w:t xml:space="preserve">as information.</w:t>
      </w:r>
      <w:r>
        <w:t xml:space="preserve"> </w:t>
      </w:r>
      <w:r>
        <w:t xml:space="preserve"> </w:t>
      </w:r>
      <w:r>
        <w:t xml:space="preserve">showed that firm-specific return variation is large and largely unexplained by systematic factors,</w:t>
      </w:r>
      <w:r>
        <w:t xml:space="preserve"> </w:t>
      </w:r>
      <w:r>
        <w:t xml:space="preserve">and</w:t>
      </w:r>
      <w:r>
        <w:t xml:space="preserve"> </w:t>
      </w:r>
      <w:r>
        <w:t xml:space="preserve"> </w:t>
      </w:r>
      <w:r>
        <w:t xml:space="preserve">linked cross-firm return synchronicity to how much firm-specific information</w:t>
      </w:r>
      <w:r>
        <w:t xml:space="preserve"> </w:t>
      </w:r>
      <w:r>
        <w:t xml:space="preserve">is capitalized. Our differentiation axis is a policy-shock version of this idea: a shock that</w:t>
      </w:r>
      <w:r>
        <w:t xml:space="preserve"> </w:t>
      </w:r>
      <w:r>
        <w:t xml:space="preserve">capitalizes firm-specific information produces idiosyncratic dispersion, which is what</w:t>
      </w:r>
      <w:r>
        <w:t xml:space="preserve"> </w:t>
      </w:r>
      <w:r>
        <w:t xml:space="preserve">Table </w:t>
      </w:r>
      <w:hyperlink w:anchor="tab:beta">
        <w:r>
          <w:rPr>
            <w:rStyle w:val="Hyperlink"/>
          </w:rPr>
          <w:t xml:space="preserve">6</w:t>
        </w:r>
      </w:hyperlink>
      <w:r>
        <w:t xml:space="preserve"> </w:t>
      </w:r>
      <w:r>
        <w:t xml:space="preserve">finds. The reserved exposure test asks whether a</w:t>
      </w:r>
      <w:r>
        <w:t xml:space="preserve"> </w:t>
      </w:r>
      <w:r>
        <w:rPr>
          <w:i/>
          <w:iCs/>
        </w:rPr>
        <w:t xml:space="preserve">named</w:t>
      </w:r>
      <w:r>
        <w:t xml:space="preserve"> </w:t>
      </w:r>
      <w:r>
        <w:t xml:space="preserve">exposure</w:t>
      </w:r>
      <w:r>
        <w:t xml:space="preserve"> </w:t>
      </w:r>
      <w:r>
        <w:t xml:space="preserve">accounts for that idiosyncratic dispersion.</w:t>
      </w:r>
    </w:p>
    <w:p>
      <w:pPr>
        <w:pStyle w:val="BodyText"/>
      </w:pPr>
      <w:r>
        <w:t xml:space="preserve">The third strand is</w:t>
      </w:r>
      <w:r>
        <w:t xml:space="preserve"> </w:t>
      </w:r>
      <w:r>
        <w:rPr>
          <w:i/>
          <w:iCs/>
        </w:rPr>
        <w:t xml:space="preserve">post-event drift and over/under-reaction</w:t>
      </w:r>
      <w:r>
        <w:t xml:space="preserve">.</w:t>
      </w:r>
      <w:r>
        <w:t xml:space="preserve"> </w:t>
      </w:r>
      <w:r>
        <w:t xml:space="preserve"> </w:t>
      </w:r>
      <w:r>
        <w:t xml:space="preserve">document</w:t>
      </w:r>
      <w:r>
        <w:t xml:space="preserve"> </w:t>
      </w:r>
      <w:r>
        <w:t xml:space="preserve">post-earnings-announcement drift (under-reaction);</w:t>
      </w:r>
      <w:r>
        <w:t xml:space="preserve"> </w:t>
      </w:r>
      <w:r>
        <w:t xml:space="preserve"> </w:t>
      </w:r>
      <w:r>
        <w:t xml:space="preserve">document long-horizon</w:t>
      </w:r>
      <w:r>
        <w:t xml:space="preserve"> </w:t>
      </w:r>
      <w:r>
        <w:t xml:space="preserve">over-reaction and reversal. Our pooled quintile test (Table </w:t>
      </w:r>
      <w:hyperlink w:anchor="tab:overreact">
        <w:r>
          <w:rPr>
            <w:rStyle w:val="Hyperlink"/>
          </w:rPr>
          <w:t xml:space="preserve">9</w:t>
        </w:r>
      </w:hyperlink>
      <w:r>
        <w:t xml:space="preserve">) is a short-horizon</w:t>
      </w:r>
      <w:r>
        <w:t xml:space="preserve"> </w:t>
      </w:r>
      <w:r>
        <w:t xml:space="preserve">policy-shock version: the modest continuation we find sits on the under-reaction side, consistent</w:t>
      </w:r>
      <w:r>
        <w:t xml:space="preserve"> </w:t>
      </w:r>
      <w:r>
        <w:t xml:space="preserve">with information diffusing over several days—most dramatically for the banking-contagion shock.</w:t>
      </w:r>
    </w:p>
    <w:p>
      <w:pPr>
        <w:pStyle w:val="BodyText"/>
      </w:pPr>
      <w:r>
        <w:t xml:space="preserve">The fourth strand is</w:t>
      </w:r>
      <w:r>
        <w:t xml:space="preserve"> </w:t>
      </w:r>
      <w:r>
        <w:rPr>
          <w:i/>
          <w:iCs/>
        </w:rPr>
        <w:t xml:space="preserve">evidence synthesis and design-based inference</w:t>
      </w:r>
      <w:r>
        <w:t xml:space="preserve">. Aggregating estimates</w:t>
      </w:r>
      <w:r>
        <w:t xml:space="preserve"> </w:t>
      </w:r>
      <w:r>
        <w:t xml:space="preserve">across heterogeneous events is a meta-analysis problem; we use the DerSimonian–Laird random-effects</w:t>
      </w:r>
      <w:r>
        <w:t xml:space="preserve"> </w:t>
      </w:r>
      <w:r>
        <w:t xml:space="preserve">estimator</w:t>
      </w:r>
      <w:r>
        <w:t xml:space="preserve"> </w:t>
      </w:r>
      <w:r>
        <w:t xml:space="preserve"> </w:t>
      </w:r>
      <w:r>
        <w:t xml:space="preserve">and the</w:t>
      </w:r>
      <w:r>
        <w:t xml:space="preserve"> </w:t>
      </w:r>
      <m:oMath>
        <m:sSup>
          <m:e>
            <m:r>
              <m:t>I</m:t>
            </m:r>
          </m:e>
          <m:sup>
            <m:r>
              <m:t>2</m:t>
            </m:r>
          </m:sup>
        </m:sSup>
      </m:oMath>
      <w:r>
        <w:t xml:space="preserve"> </w:t>
      </w:r>
      <w:r>
        <w:t xml:space="preserve">heterogeneity statistic</w:t>
      </w:r>
      <w:r>
        <w:t xml:space="preserve"> </w:t>
      </w:r>
      <w:r>
        <w:t xml:space="preserve"> </w:t>
      </w:r>
      <w:r>
        <w:t xml:space="preserve">to</w:t>
      </w:r>
      <w:r>
        <w:t xml:space="preserve"> </w:t>
      </w:r>
      <w:r>
        <w:t xml:space="preserve">characterize—not to average away—the enormous cross-shock heterogeneity. For the small</w:t>
      </w:r>
      <w:r>
        <w:t xml:space="preserve"> </w:t>
      </w:r>
      <w:r>
        <w:t xml:space="preserve">cross-section of shocks we lean on resampling and randomization ideas</w:t>
      </w:r>
      <w:r>
        <w:t xml:space="preserve"> </w:t>
      </w:r>
      <w:r>
        <w:t xml:space="preserve"> </w:t>
      </w:r>
      <w:r>
        <w:t xml:space="preserve">and on the discipline of reporting a null through its power and confidence interval</w:t>
      </w:r>
      <w:r>
        <w:t xml:space="preserve"> </w:t>
      </w:r>
      <w:r>
        <w:t xml:space="preserve">, so that</w:t>
      </w:r>
      <w:r>
        <w:t xml:space="preserve"> </w:t>
      </w:r>
      <w:r>
        <w:t xml:space="preserve">“differentiation scales with size”</w:t>
      </w:r>
      <w:r>
        <w:t xml:space="preserve"> </w:t>
      </w:r>
      <w:r>
        <w:t xml:space="preserve">is stated as a bounded, falsifiable</w:t>
      </w:r>
      <w:r>
        <w:t xml:space="preserve"> </w:t>
      </w:r>
      <w:r>
        <w:t xml:space="preserve">claim rather than a single fragile correlation. The policy-shock setting itself is motivated by the</w:t>
      </w:r>
      <w:r>
        <w:t xml:space="preserve"> </w:t>
      </w:r>
      <w:r>
        <w:t xml:space="preserve">economic-policy-uncertainty literature</w:t>
      </w:r>
      <w:r>
        <w:t xml:space="preserve"> </w:t>
      </w:r>
      <w:r>
        <w:t xml:space="preserve">, which treats dated policy events as</w:t>
      </w:r>
      <w:r>
        <w:t xml:space="preserve"> </w:t>
      </w:r>
      <w:r>
        <w:t xml:space="preserve">first-order drivers of asset prices.</w:t>
      </w:r>
    </w:p>
    <w:p>
      <w:pPr>
        <w:pStyle w:val="BodyText"/>
      </w:pPr>
      <w:r>
        <w:t xml:space="preserve">Methodologically, the paper’s stance is that a</w:t>
      </w:r>
      <w:r>
        <w:t xml:space="preserve"> </w:t>
      </w:r>
      <w:r>
        <w:rPr>
          <w:i/>
          <w:iCs/>
        </w:rPr>
        <w:t xml:space="preserve">comparative</w:t>
      </w:r>
      <w:r>
        <w:t xml:space="preserve"> </w:t>
      </w:r>
      <w:r>
        <w:t xml:space="preserve">atlas of shocks is worth building</w:t>
      </w:r>
      <w:r>
        <w:t xml:space="preserve"> </w:t>
      </w:r>
      <w:r>
        <w:t xml:space="preserve">only if it is held to the same inferential standard as a single event study—and that meeting that</w:t>
      </w:r>
      <w:r>
        <w:t xml:space="preserve"> </w:t>
      </w:r>
      <w:r>
        <w:t xml:space="preserve">standard requires importing tools finance rarely uses side by side. Placebo/permutation tests of</w:t>
      </w:r>
      <w:r>
        <w:t xml:space="preserve"> </w:t>
      </w:r>
      <w:r>
        <w:t xml:space="preserve">dispersion, rank-stability checks across estimators, random-effects synthesis with explicit</w:t>
      </w:r>
      <w:r>
        <w:t xml:space="preserve"> </w:t>
      </w:r>
      <w:r>
        <w:t xml:space="preserve">heterogeneity accounting, and minimum-detectable-effect reporting are each standard in some</w:t>
      </w:r>
      <w:r>
        <w:t xml:space="preserve"> </w:t>
      </w:r>
      <w:r>
        <w:t xml:space="preserve">discipline; combining them lets a ten-shock cross-section make honest claims without pretending to a</w:t>
      </w:r>
      <w:r>
        <w:t xml:space="preserve"> </w:t>
      </w:r>
      <w:r>
        <w:t xml:space="preserve">sample size it does not have. The alternative—reading a handful of cross-shock correlations as</w:t>
      </w:r>
      <w:r>
        <w:t xml:space="preserve"> </w:t>
      </w:r>
      <w:r>
        <w:t xml:space="preserve">facts—is precisely the practice this draft corrects. In that sense the paper is as much about</w:t>
      </w:r>
      <w:r>
        <w:t xml:space="preserve"> </w:t>
      </w:r>
      <w:r>
        <w:rPr>
          <w:i/>
          <w:iCs/>
        </w:rPr>
        <w:t xml:space="preserve">how</w:t>
      </w:r>
      <w:r>
        <w:t xml:space="preserve"> </w:t>
      </w:r>
      <w:r>
        <w:t xml:space="preserve">to compare shocks as about the shocks themselves.</w:t>
      </w:r>
    </w:p>
    <w:bookmarkEnd w:id="15"/>
    <w:bookmarkStart w:id="21" w:name="sec:data"/>
    <w:p>
      <w:pPr>
        <w:pStyle w:val="Heading1"/>
      </w:pPr>
      <w:r>
        <w:t xml:space="preserve">Data and Research Design</w:t>
      </w:r>
    </w:p>
    <w:bookmarkStart w:id="16" w:name="sample."/>
    <w:p>
      <w:pPr>
        <w:pStyle w:val="Heading4"/>
      </w:pPr>
      <w:r>
        <w:t xml:space="preserve">Sample.</w:t>
      </w:r>
    </w:p>
    <w:p>
      <w:pPr>
        <w:pStyle w:val="FirstParagraph"/>
      </w:pPr>
      <w:r>
        <w:t xml:space="preserve">We take the daily returns of the roughly 2</w:t>
      </w:r>
      <w:r>
        <w:t xml:space="preserve">,</w:t>
      </w:r>
      <w:r>
        <w:t xml:space="preserve">000 largest U.S. firms by 2022</w:t>
      </w:r>
      <w:r>
        <w:t xml:space="preserve"> </w:t>
      </w:r>
      <w:r>
        <w:t xml:space="preserve">market capitalization from 2021-06 through 2025-12 (CRSP</w:t>
      </w:r>
      <w:r>
        <w:t xml:space="preserve"> </w:t>
      </w:r>
      <w:r>
        <w:rPr>
          <w:rStyle w:val="VerbatimChar"/>
        </w:rPr>
        <w:t xml:space="preserve">dsf</w:t>
      </w:r>
      <w:r>
        <w:t xml:space="preserve"> </w:t>
      </w:r>
      <w:r>
        <w:t xml:space="preserve">and, for 2025,</w:t>
      </w:r>
      <w:r>
        <w:t xml:space="preserve"> </w:t>
      </w:r>
      <w:r>
        <w:rPr>
          <w:rStyle w:val="VerbatimChar"/>
        </w:rPr>
        <w:t xml:space="preserve">dsf_v2</w:t>
      </w:r>
      <w:r>
        <w:t xml:space="preserve">), benchmarked to the Fama-French market return (which extends through the 2025</w:t>
      </w:r>
      <w:r>
        <w:t xml:space="preserve"> </w:t>
      </w:r>
      <w:r>
        <w:t xml:space="preserve">events). Firm characteristics—market capitalization (for size), SIC industry, and market</w:t>
      </w:r>
      <w:r>
        <w:t xml:space="preserve"> </w:t>
      </w:r>
      <w:r>
        <w:t xml:space="preserve">beta—are observable and standard; we add each firm’s idiosyncratic volatility, computed as the</w:t>
      </w:r>
      <w:r>
        <w:t xml:space="preserve"> </w:t>
      </w:r>
      <w:r>
        <w:t xml:space="preserve">standard deviation of its market-model residual over the full sample. None of these is a</w:t>
      </w:r>
      <w:r>
        <w:t xml:space="preserve"> </w:t>
      </w:r>
      <w:r>
        <w:t xml:space="preserve">shock-specific exposure measure. Table </w:t>
      </w:r>
      <w:hyperlink w:anchor="tab:sumstats">
        <w:r>
          <w:rPr>
            <w:rStyle w:val="Hyperlink"/>
          </w:rPr>
          <w:t xml:space="preserve">2</w:t>
        </w:r>
      </w:hyperlink>
      <w:r>
        <w:t xml:space="preserve"> </w:t>
      </w:r>
      <w:r>
        <w:t xml:space="preserve">summarizes the observable</w:t>
      </w:r>
      <w:r>
        <w:t xml:space="preserve"> </w:t>
      </w:r>
      <w:r>
        <w:t xml:space="preserve">characteristics: the sample averages a market beta near one and a log market capitalization of</w:t>
      </w:r>
      <w:r>
        <w:t xml:space="preserve"> </w:t>
      </w:r>
      <w:r>
        <w:t xml:space="preserve">about</w:t>
      </w:r>
      <w:r>
        <w:t xml:space="preserve"> </w:t>
      </w:r>
      <m:oMath>
        <m:r>
          <m:t>9.3</m:t>
        </m:r>
      </m:oMath>
      <w:r>
        <w:t xml:space="preserve">, and the number of firms with a clean market model is stable at roughly</w:t>
      </w:r>
      <w:r>
        <w:t xml:space="preserve"> </w:t>
      </w:r>
      <m:oMath>
        <m:r>
          <m:t>1</m:t>
        </m:r>
        <m:r>
          <m:rPr>
            <m:sty m:val="p"/>
          </m:rPr>
          <m:t>,</m:t>
        </m:r>
        <m:r>
          <m:t>900</m:t>
        </m:r>
      </m:oMath>
      <w:r>
        <w:t xml:space="preserve">–</w:t>
      </w:r>
      <m:oMath>
        <m:r>
          <m:t>2</m:t>
        </m:r>
        <m:r>
          <m:rPr>
            <m:sty m:val="p"/>
          </m:rPr>
          <m:t>,</m:t>
        </m:r>
        <m:r>
          <m:t>000</m:t>
        </m:r>
      </m:oMath>
      <w:r>
        <w:t xml:space="preserve"> </w:t>
      </w:r>
      <w:r>
        <w:t xml:space="preserve">across shocks, so the atlas compares the same broad universe at each event.</w:t>
      </w:r>
    </w:p>
    <w:bookmarkEnd w:id="16"/>
    <w:bookmarkStart w:id="17" w:name="firm-level-cars."/>
    <w:p>
      <w:pPr>
        <w:pStyle w:val="Heading4"/>
      </w:pPr>
      <w:r>
        <w:t xml:space="preserve">Firm-level CARs.</w:t>
      </w:r>
    </w:p>
    <w:p>
      <w:pPr>
        <w:pStyle w:val="FirstParagraph"/>
      </w:pPr>
      <w:r>
        <w:t xml:space="preserve">For each shock we estimate a market model</w:t>
      </w:r>
      <w:r>
        <w:t xml:space="preserve"> </w:t>
      </w:r>
      <m:oMath>
        <m:sSub>
          <m:e>
            <m:r>
              <m:t>R</m:t>
            </m:r>
          </m:e>
          <m:sub>
            <m:r>
              <m:t>i</m:t>
            </m:r>
            <m:r>
              <m:t>t</m:t>
            </m:r>
          </m:sub>
        </m:sSub>
        <m:r>
          <m:rPr>
            <m:sty m:val="p"/>
          </m:rPr>
          <m:t>=</m:t>
        </m:r>
        <m:sSub>
          <m:e>
            <m:r>
              <m:t>α</m:t>
            </m:r>
          </m:e>
          <m:sub>
            <m:r>
              <m:t>i</m:t>
            </m:r>
          </m:sub>
        </m:sSub>
        <m:r>
          <m:rPr>
            <m:sty m:val="p"/>
          </m:rPr>
          <m:t>+</m:t>
        </m:r>
        <m:sSub>
          <m:e>
            <m:r>
              <m:t>β</m:t>
            </m:r>
          </m:e>
          <m:sub>
            <m:r>
              <m:t>i</m:t>
            </m:r>
          </m:sub>
        </m:sSub>
        <m:sSub>
          <m:e>
            <m:r>
              <m:t>R</m:t>
            </m:r>
          </m:e>
          <m:sub>
            <m:r>
              <m:t>m</m:t>
            </m:r>
            <m:r>
              <m:t>t</m:t>
            </m:r>
          </m:sub>
        </m:sSub>
        <m:r>
          <m:rPr>
            <m:sty m:val="p"/>
          </m:rPr>
          <m:t>+</m:t>
        </m:r>
        <m:sSub>
          <m:e>
            <m:r>
              <m:t>ε</m:t>
            </m:r>
          </m:e>
          <m:sub>
            <m:r>
              <m:t>i</m:t>
            </m:r>
            <m:r>
              <m:t>t</m:t>
            </m:r>
          </m:sub>
        </m:sSub>
      </m:oMath>
      <w:r>
        <w:t xml:space="preserve"> </w:t>
      </w:r>
      <w:r>
        <w:t xml:space="preserve">over the window</w:t>
      </w:r>
      <w:r>
        <w:t xml:space="preserve"> </w:t>
      </w:r>
      <m:oMath>
        <m:r>
          <m:rPr>
            <m:sty m:val="p"/>
          </m:rPr>
          <m:t>[</m:t>
        </m:r>
        <m:r>
          <m:rPr>
            <m:sty m:val="p"/>
          </m:rPr>
          <m:t>−</m:t>
        </m:r>
        <m:r>
          <m:t>252</m:t>
        </m:r>
        <m:r>
          <m:rPr>
            <m:sty m:val="p"/>
          </m:rPr>
          <m:t>,</m:t>
        </m:r>
        <m:r>
          <m:rPr>
            <m:sty m:val="p"/>
          </m:rPr>
          <m:t>−</m:t>
        </m:r>
        <m:r>
          <m:t>46</m:t>
        </m:r>
        <m:r>
          <m:rPr>
            <m:sty m:val="p"/>
          </m:rPr>
          <m:t>]</m:t>
        </m:r>
      </m:oMath>
      <w:r>
        <w:t xml:space="preserve"> </w:t>
      </w:r>
      <w:r>
        <w:t xml:space="preserve">trading days</w:t>
      </w:r>
      <w:r>
        <w:t xml:space="preserve"> </w:t>
      </w:r>
      <w:r>
        <w:t xml:space="preserve">relative to the event and cumulate abnormal returns over a pre-window</w:t>
      </w:r>
      <w:r>
        <w:t xml:space="preserve"> </w:t>
      </w:r>
      <m:oMath>
        <m:r>
          <m:rPr>
            <m:sty m:val="p"/>
          </m:rPr>
          <m:t>[</m:t>
        </m:r>
        <m:r>
          <m:rPr>
            <m:sty m:val="p"/>
          </m:rPr>
          <m:t>−</m:t>
        </m:r>
        <m:r>
          <m:t>5</m:t>
        </m:r>
        <m:r>
          <m:rPr>
            <m:sty m:val="p"/>
          </m:rPr>
          <m:t>,</m:t>
        </m:r>
        <m:r>
          <m:rPr>
            <m:sty m:val="p"/>
          </m:rPr>
          <m:t>−</m:t>
        </m:r>
        <m:r>
          <m:t>1</m:t>
        </m:r>
        <m:r>
          <m:rPr>
            <m:sty m:val="p"/>
          </m:rPr>
          <m:t>]</m:t>
        </m:r>
      </m:oMath>
      <w:r>
        <w:t xml:space="preserve">, an announcement</w:t>
      </w:r>
      <w:r>
        <w:t xml:space="preserve"> </w:t>
      </w:r>
      <w:r>
        <w:t xml:space="preserve">window</w:t>
      </w:r>
      <w:r>
        <w:t xml:space="preserve"> </w:t>
      </w:r>
      <m:oMath>
        <m:r>
          <m:rPr>
            <m:sty m:val="p"/>
          </m:rPr>
          <m:t>[</m:t>
        </m:r>
        <m:r>
          <m:t>0</m:t>
        </m:r>
        <m:r>
          <m:rPr>
            <m:sty m:val="p"/>
          </m:rPr>
          <m:t>,</m:t>
        </m:r>
        <m:r>
          <m:rPr>
            <m:sty m:val="p"/>
          </m:rPr>
          <m:t>+</m:t>
        </m:r>
        <m:r>
          <m:t>1</m:t>
        </m:r>
        <m:r>
          <m:rPr>
            <m:sty m:val="p"/>
          </m:rPr>
          <m:t>]</m:t>
        </m:r>
      </m:oMath>
      <w:r>
        <w:t xml:space="preserve">, a week</w:t>
      </w:r>
      <w:r>
        <w:t xml:space="preserve"> </w:t>
      </w:r>
      <m:oMath>
        <m:r>
          <m:rPr>
            <m:sty m:val="p"/>
          </m:rPr>
          <m:t>[</m:t>
        </m:r>
        <m:r>
          <m:t>0</m:t>
        </m:r>
        <m:r>
          <m:rPr>
            <m:sty m:val="p"/>
          </m:rPr>
          <m:t>,</m:t>
        </m:r>
        <m:r>
          <m:rPr>
            <m:sty m:val="p"/>
          </m:rPr>
          <m:t>+</m:t>
        </m:r>
        <m:r>
          <m:t>5</m:t>
        </m:r>
        <m:r>
          <m:rPr>
            <m:sty m:val="p"/>
          </m:rPr>
          <m:t>]</m:t>
        </m:r>
      </m:oMath>
      <w:r>
        <w:t xml:space="preserve">, a wide window</w:t>
      </w:r>
      <w:r>
        <w:t xml:space="preserve"> </w:t>
      </w:r>
      <m:oMath>
        <m:r>
          <m:rPr>
            <m:sty m:val="p"/>
          </m:rPr>
          <m:t>[</m:t>
        </m:r>
        <m:r>
          <m:rPr>
            <m:sty m:val="p"/>
          </m:rPr>
          <m:t>−</m:t>
        </m:r>
        <m:r>
          <m:t>5</m:t>
        </m:r>
        <m:r>
          <m:rPr>
            <m:sty m:val="p"/>
          </m:rPr>
          <m:t>,</m:t>
        </m:r>
        <m:r>
          <m:rPr>
            <m:sty m:val="p"/>
          </m:rPr>
          <m:t>+</m:t>
        </m:r>
        <m:r>
          <m:t>10</m:t>
        </m:r>
        <m:r>
          <m:rPr>
            <m:sty m:val="p"/>
          </m:rPr>
          <m:t>]</m:t>
        </m:r>
      </m:oMath>
      <w:r>
        <w:t xml:space="preserve">, and a drift window</w:t>
      </w:r>
      <w:r>
        <w:t xml:space="preserve"> </w:t>
      </w:r>
      <m:oMath>
        <m:r>
          <m:rPr>
            <m:sty m:val="p"/>
          </m:rPr>
          <m:t>[</m:t>
        </m:r>
        <m:r>
          <m:rPr>
            <m:sty m:val="p"/>
          </m:rPr>
          <m:t>+</m:t>
        </m:r>
        <m:r>
          <m:t>2</m:t>
        </m:r>
        <m:r>
          <m:rPr>
            <m:sty m:val="p"/>
          </m:rPr>
          <m:t>,</m:t>
        </m:r>
        <m:r>
          <m:rPr>
            <m:sty m:val="p"/>
          </m:rPr>
          <m:t>+</m:t>
        </m:r>
        <m:r>
          <m:t>10</m:t>
        </m:r>
        <m:r>
          <m:rPr>
            <m:sty m:val="p"/>
          </m:rPr>
          <m:t>]</m:t>
        </m:r>
      </m:oMath>
      <w:r>
        <w:t xml:space="preserve">. For each</w:t>
      </w:r>
      <w:r>
        <w:t xml:space="preserve"> </w:t>
      </w:r>
      <w:r>
        <w:t xml:space="preserve">shock we report the raw market move, the mean and cross-sectional SD of announcement CARs, the</w:t>
      </w:r>
      <w:r>
        <w:t xml:space="preserve"> </w:t>
      </w:r>
      <w:r>
        <w:t xml:space="preserve">pre-window and drift means, and the cross-firm reversal correlation between the announcement and</w:t>
      </w:r>
      <w:r>
        <w:t xml:space="preserve"> </w:t>
      </w:r>
      <w:r>
        <w:t xml:space="preserve">drift windows (Table </w:t>
      </w:r>
      <w:hyperlink w:anchor="tab:atlas">
        <w:r>
          <w:rPr>
            <w:rStyle w:val="Hyperlink"/>
          </w:rPr>
          <w:t xml:space="preserve">1</w:t>
        </w:r>
      </w:hyperlink>
      <w:r>
        <w:t xml:space="preserve">). Because a market-wide shock is absorbed by the benchmark,</w:t>
      </w:r>
      <w:r>
        <w:t xml:space="preserve"> </w:t>
      </w:r>
      <w:r>
        <w:t xml:space="preserve">mean abnormal returns are near zero by construction; the informative statistics are the</w:t>
      </w:r>
      <w:r>
        <w:t xml:space="preserve"> </w:t>
      </w:r>
      <w:r>
        <w:t xml:space="preserve">cross-sectional</w:t>
      </w:r>
      <w:r>
        <w:t xml:space="preserve"> </w:t>
      </w:r>
      <w:r>
        <w:rPr>
          <w:i/>
          <w:iCs/>
        </w:rPr>
        <w:t xml:space="preserve">dispersion</w:t>
      </w:r>
      <w:r>
        <w:t xml:space="preserve"> </w:t>
      </w:r>
      <w:r>
        <w:t xml:space="preserve">and the</w:t>
      </w:r>
      <w:r>
        <w:t xml:space="preserve"> </w:t>
      </w:r>
      <w:r>
        <w:rPr>
          <w:i/>
          <w:iCs/>
        </w:rPr>
        <w:t xml:space="preserve">propagation</w:t>
      </w:r>
      <w:r>
        <w:t xml:space="preserve"> </w:t>
      </w:r>
      <w:r>
        <w:t xml:space="preserve">measures.</w:t>
      </w:r>
    </w:p>
    <w:bookmarkEnd w:id="17"/>
    <w:bookmarkStart w:id="18" w:name="the-placebo-engine."/>
    <w:p>
      <w:pPr>
        <w:pStyle w:val="Heading4"/>
      </w:pPr>
      <w:r>
        <w:t xml:space="preserve">The placebo engine.</w:t>
      </w:r>
    </w:p>
    <w:p>
      <w:pPr>
        <w:pStyle w:val="FirstParagraph"/>
      </w:pPr>
      <w:r>
        <w:t xml:space="preserve">To test whether a shock’s dispersion is genuinely elevated</w:t>
      </w:r>
      <w:r>
        <w:t xml:space="preserve"> </w:t>
      </w:r>
      <w:r>
        <w:t xml:space="preserve">(H1), we estimate one market model per firm over the full sample, form daily abnormal returns, and</w:t>
      </w:r>
      <w:r>
        <w:t xml:space="preserve"> </w:t>
      </w:r>
      <w:r>
        <w:t xml:space="preserve">compute the cross-sectional SD of two-day CARs at the true event date and at</w:t>
      </w:r>
      <w:r>
        <w:t xml:space="preserve"> </w:t>
      </w:r>
      <m:oMath>
        <m:r>
          <m:t>600</m:t>
        </m:r>
      </m:oMath>
      <w:r>
        <w:t xml:space="preserve"> </w:t>
      </w:r>
      <w:r>
        <w:t xml:space="preserve">pseudo-event</w:t>
      </w:r>
      <w:r>
        <w:t xml:space="preserve"> </w:t>
      </w:r>
      <w:r>
        <w:t xml:space="preserve">dates drawn from the trading calendar but excluded from a</w:t>
      </w:r>
      <w:r>
        <w:t xml:space="preserve"> </w:t>
      </w:r>
      <m:oMath>
        <m:r>
          <m:rPr>
            <m:sty m:val="p"/>
          </m:rPr>
          <m:t>±</m:t>
        </m:r>
        <m:r>
          <m:t>15</m:t>
        </m:r>
      </m:oMath>
      <w:r>
        <w:t xml:space="preserve">-day neighborhood of every real</w:t>
      </w:r>
      <w:r>
        <w:t xml:space="preserve"> </w:t>
      </w:r>
      <w:r>
        <w:t xml:space="preserve">shock. The empirical</w:t>
      </w:r>
      <w:r>
        <w:t xml:space="preserve"> </w:t>
      </w:r>
      <m:oMath>
        <m:r>
          <m:t>p</m:t>
        </m:r>
      </m:oMath>
      <w:r>
        <w:t xml:space="preserve">-value is the share of pseudo-events whose dispersion equals or exceeds the</w:t>
      </w:r>
      <w:r>
        <w:t xml:space="preserve"> </w:t>
      </w:r>
      <w:r>
        <w:t xml:space="preserve">real one. Two caveats we state plainly: the full-sample</w:t>
      </w:r>
      <w:r>
        <w:t xml:space="preserve"> </w:t>
      </w:r>
      <m:oMath>
        <m:r>
          <m:t>α</m:t>
        </m:r>
        <m:r>
          <m:rPr>
            <m:sty m:val="p"/>
          </m:rPr>
          <m:t>,</m:t>
        </m:r>
        <m:r>
          <m:t>β</m:t>
        </m:r>
      </m:oMath>
      <w:r>
        <w:t xml:space="preserve"> </w:t>
      </w:r>
      <w:r>
        <w:t xml:space="preserve">used for the placebo carry a</w:t>
      </w:r>
      <w:r>
        <w:t xml:space="preserve"> </w:t>
      </w:r>
      <w:r>
        <w:t xml:space="preserve">mild look-ahead (they use the whole period, not only pre-event data), and because 2022–2025 is a</w:t>
      </w:r>
      <w:r>
        <w:t xml:space="preserve"> </w:t>
      </w:r>
      <w:r>
        <w:t xml:space="preserve">dense shock window, some pseudo-event dates fall near</w:t>
      </w:r>
      <w:r>
        <w:t xml:space="preserve"> </w:t>
      </w:r>
      <w:r>
        <w:rPr>
          <w:i/>
          <w:iCs/>
        </w:rPr>
        <w:t xml:space="preserve">other</w:t>
      </w:r>
      <w:r>
        <w:t xml:space="preserve"> </w:t>
      </w:r>
      <w:r>
        <w:t xml:space="preserve">shocks, which</w:t>
      </w:r>
      <w:r>
        <w:t xml:space="preserve"> </w:t>
      </w:r>
      <w:r>
        <w:rPr>
          <w:i/>
          <w:iCs/>
        </w:rPr>
        <w:t xml:space="preserve">inflates</w:t>
      </w:r>
      <w:r>
        <w:t xml:space="preserve"> </w:t>
      </w:r>
      <w:r>
        <w:t xml:space="preserve">the</w:t>
      </w:r>
      <w:r>
        <w:t xml:space="preserve"> </w:t>
      </w:r>
      <w:r>
        <w:t xml:space="preserve">placebo distribution and makes the test conservative—so a rejection is if anything understated.</w:t>
      </w:r>
    </w:p>
    <w:bookmarkEnd w:id="18"/>
    <w:bookmarkStart w:id="19" w:name="pooled-design-and-inference."/>
    <w:p>
      <w:pPr>
        <w:pStyle w:val="Heading4"/>
      </w:pPr>
      <w:r>
        <w:t xml:space="preserve">Pooled design and inference.</w:t>
      </w:r>
    </w:p>
    <w:p>
      <w:pPr>
        <w:pStyle w:val="FirstParagraph"/>
      </w:pPr>
      <w:r>
        <w:t xml:space="preserve">The atlas’s ten cross-shock statistics are, by</w:t>
      </w:r>
      <w:r>
        <w:t xml:space="preserve"> </w:t>
      </w:r>
      <w:r>
        <w:t xml:space="preserve">construction, a sample of</w:t>
      </w:r>
      <w:r>
        <w:t xml:space="preserve"> </w:t>
      </w:r>
      <m:oMath>
        <m:r>
          <m:t>n</m:t>
        </m:r>
        <m:r>
          <m:rPr>
            <m:sty m:val="p"/>
          </m:rPr>
          <m:t>=</m:t>
        </m:r>
        <m:r>
          <m:t>10</m:t>
        </m:r>
      </m:oMath>
      <w:r>
        <w:t xml:space="preserve">: any correlation computed across shocks is underpowered and we</w:t>
      </w:r>
      <w:r>
        <w:t xml:space="preserve"> </w:t>
      </w:r>
      <w:r>
        <w:t xml:space="preserve">treat it as descriptive, guarding every such claim with a bootstrap and a minimum-detectable-effect</w:t>
      </w:r>
      <w:r>
        <w:t xml:space="preserve"> </w:t>
      </w:r>
      <w:r>
        <w:t xml:space="preserve">calculation. The statistical power of the paper lives instead in the pooled firm</w:t>
      </w:r>
      <m:oMath>
        <m:r>
          <m:rPr>
            <m:sty m:val="p"/>
          </m:rPr>
          <m:t>×</m:t>
        </m:r>
      </m:oMath>
      <w:r>
        <w:t xml:space="preserve">shock</w:t>
      </w:r>
      <w:r>
        <w:t xml:space="preserve"> </w:t>
      </w:r>
      <w:r>
        <w:t xml:space="preserve">tests, which use</w:t>
      </w:r>
      <w:r>
        <w:t xml:space="preserve"> </w:t>
      </w:r>
      <m:oMath>
        <m:r>
          <m:rPr>
            <m:sty m:val="p"/>
          </m:rPr>
          <m:t>∼</m:t>
        </m:r>
      </m:oMath>
      <w:r>
        <w:t xml:space="preserve">19</w:t>
      </w:r>
      <w:r>
        <w:t xml:space="preserve">,</w:t>
      </w:r>
      <w:r>
        <w:t xml:space="preserve">000 observations. There, the same firm appears in up to ten shocks and</w:t>
      </w:r>
      <w:r>
        <w:t xml:space="preserve"> </w:t>
      </w:r>
      <w:r>
        <w:t xml:space="preserve">each shock is a common cross-sectional event, so residuals are correlated within firm</w:t>
      </w:r>
      <w:r>
        <w:t xml:space="preserve"> </w:t>
      </w:r>
      <w:r>
        <w:rPr>
          <w:i/>
          <w:iCs/>
        </w:rPr>
        <w:t xml:space="preserve">and</w:t>
      </w:r>
      <w:r>
        <w:t xml:space="preserve"> </w:t>
      </w:r>
      <w:r>
        <w:t xml:space="preserve">within shock; we absorb the shock (and industry) dimension with fixed effects and cluster standard</w:t>
      </w:r>
      <w:r>
        <w:t xml:space="preserve"> </w:t>
      </w:r>
      <w:r>
        <w:t xml:space="preserve">errors by firm (</w:t>
      </w:r>
      <m:oMath>
        <m:r>
          <m:rPr>
            <m:sty m:val="p"/>
          </m:rPr>
          <m:t>∼</m:t>
        </m:r>
      </m:oMath>
      <w:r>
        <w:t xml:space="preserve">1</w:t>
      </w:r>
      <w:r>
        <w:t xml:space="preserve">,</w:t>
      </w:r>
      <w:r>
        <w:t xml:space="preserve">989 clusters), rather than clustering on the ten shocks, which are far too</w:t>
      </w:r>
      <w:r>
        <w:t xml:space="preserve"> </w:t>
      </w:r>
      <w:r>
        <w:t xml:space="preserve">few for reliable cluster-robust inference.</w:t>
      </w:r>
    </w:p>
    <w:bookmarkEnd w:id="19"/>
    <w:bookmarkStart w:id="20" w:name="the-reserved-boundary."/>
    <w:p>
      <w:pPr>
        <w:pStyle w:val="Heading4"/>
      </w:pPr>
      <w:r>
        <w:t xml:space="preserve">The reserved boundary.</w:t>
      </w:r>
    </w:p>
    <w:p>
      <w:pPr>
        <w:pStyle w:val="FirstParagraph"/>
      </w:pPr>
      <w:r>
        <w:t xml:space="preserve">Everything in this paper uses observable data. The cohort’s</w:t>
      </w:r>
      <w:r>
        <w:t xml:space="preserve"> </w:t>
      </w:r>
      <w:r>
        <w:t xml:space="preserve">reserved contribution—each shock’s exact event time and its firm-level exposure measure, assembled</w:t>
      </w:r>
      <w:r>
        <w:t xml:space="preserve"> </w:t>
      </w:r>
      <w:r>
        <w:t xml:space="preserve">into an</w:t>
      </w:r>
      <w:r>
        <w:t xml:space="preserve"> </w:t>
      </w:r>
      <w:r>
        <w:rPr>
          <w:rStyle w:val="VerbatimChar"/>
        </w:rPr>
        <w:t xml:space="preserve">exposure_by_shock.csv</w:t>
      </w:r>
      <w:r>
        <w:t xml:space="preserve"> </w:t>
      </w:r>
      <w:r>
        <w:t xml:space="preserve">crosswalk—is deliberately</w:t>
      </w:r>
      <w:r>
        <w:t xml:space="preserve"> </w:t>
      </w:r>
      <w:r>
        <w:rPr>
          <w:i/>
          <w:iCs/>
        </w:rPr>
        <w:t xml:space="preserve">not</w:t>
      </w:r>
      <w:r>
        <w:t xml:space="preserve"> </w:t>
      </w:r>
      <w:r>
        <w:t xml:space="preserve">constructed here. The</w:t>
      </w:r>
      <w:r>
        <w:t xml:space="preserve"> </w:t>
      </w:r>
      <w:r>
        <w:t xml:space="preserve">central open questions (does named exposure explain the idiosyncratic dispersion? was exposure</w:t>
      </w:r>
      <w:r>
        <w:t xml:space="preserve"> </w:t>
      </w:r>
      <w:r>
        <w:t xml:space="preserve">priced before the announcement?) are left for that crosswalk; the size/beta/volatility observables</w:t>
      </w:r>
      <w:r>
        <w:t xml:space="preserve"> </w:t>
      </w:r>
      <w:r>
        <w:t xml:space="preserve">we use are chosen precisely because they are generic and orthogonal to the reserved measure.</w:t>
      </w:r>
    </w:p>
    <w:bookmarkEnd w:id="20"/>
    <w:bookmarkEnd w:id="21"/>
    <w:bookmarkStart w:id="25" w:name="sec:diff"/>
    <w:p>
      <w:pPr>
        <w:pStyle w:val="Heading1"/>
      </w:pPr>
      <w:r>
        <w:t xml:space="preserve">Is the Differentiation Real?</w:t>
      </w:r>
    </w:p>
    <w:bookmarkStart w:id="22" w:name="the-atlas."/>
    <w:p>
      <w:pPr>
        <w:pStyle w:val="Heading4"/>
      </w:pPr>
      <w:r>
        <w:t xml:space="preserve">The atlas.</w:t>
      </w:r>
    </w:p>
    <w:p>
      <w:pPr>
        <w:pStyle w:val="FirstParagraph"/>
      </w:pPr>
      <w:r>
        <w:t xml:space="preserve">Table </w:t>
      </w:r>
      <w:hyperlink w:anchor="tab:atlas">
        <w:r>
          <w:rPr>
            <w:rStyle w:val="Hyperlink"/>
          </w:rPr>
          <w:t xml:space="preserve">1</w:t>
        </w:r>
      </w:hyperlink>
      <w:r>
        <w:t xml:space="preserve"> </w:t>
      </w:r>
      <w:r>
        <w:t xml:space="preserve">and Figure </w:t>
      </w:r>
      <w:hyperlink w:anchor="fig:atlas">
        <w:r>
          <w:rPr>
            <w:rStyle w:val="Hyperlink"/>
          </w:rPr>
          <w:t xml:space="preserve">1</w:t>
        </w:r>
      </w:hyperlink>
      <w:r>
        <w:t xml:space="preserve"> </w:t>
      </w:r>
      <w:r>
        <w:t xml:space="preserve">lay out the ten shocks. The</w:t>
      </w:r>
      <w:r>
        <w:t xml:space="preserve"> </w:t>
      </w:r>
      <w:r>
        <w:t xml:space="preserve">market moves span</w:t>
      </w:r>
      <w:r>
        <w:t xml:space="preserve"> </w:t>
      </w:r>
      <m:oMath>
        <m:r>
          <m:rPr>
            <m:sty m:val="p"/>
          </m:rPr>
          <m:t>−</m:t>
        </m:r>
        <m:r>
          <m:t>11.0</m:t>
        </m:r>
        <m:r>
          <m:rPr>
            <m:sty m:val="p"/>
          </m:rPr>
          <m:t>%</m:t>
        </m:r>
      </m:oMath>
      <w:r>
        <w:t xml:space="preserve"> </w:t>
      </w:r>
      <w:r>
        <w:t xml:space="preserve">(tariff) to</w:t>
      </w:r>
      <w:r>
        <w:t xml:space="preserve"> </w:t>
      </w:r>
      <m:oMath>
        <m:r>
          <m:rPr>
            <m:sty m:val="p"/>
          </m:rPr>
          <m:t>+</m:t>
        </m:r>
        <m:r>
          <m:t>6.1</m:t>
        </m:r>
        <m:r>
          <m:rPr>
            <m:sty m:val="p"/>
          </m:rPr>
          <m:t>%</m:t>
        </m:r>
      </m:oMath>
      <w:r>
        <w:t xml:space="preserve"> </w:t>
      </w:r>
      <w:r>
        <w:t xml:space="preserve">(tariff pause) and</w:t>
      </w:r>
      <w:r>
        <w:t xml:space="preserve"> </w:t>
      </w:r>
      <m:oMath>
        <m:r>
          <m:rPr>
            <m:sty m:val="p"/>
          </m:rPr>
          <m:t>+</m:t>
        </m:r>
        <m:r>
          <m:t>3.1</m:t>
        </m:r>
        <m:r>
          <m:rPr>
            <m:sty m:val="p"/>
          </m:rPr>
          <m:t>%</m:t>
        </m:r>
      </m:oMath>
      <w:r>
        <w:t xml:space="preserve"> </w:t>
      </w:r>
      <w:r>
        <w:t xml:space="preserve">(ChatGPT); the</w:t>
      </w:r>
      <w:r>
        <w:t xml:space="preserve"> </w:t>
      </w:r>
      <w:r>
        <w:t xml:space="preserve">cross-sectional dispersion of announcement CARs spans</w:t>
      </w:r>
      <w:r>
        <w:t xml:space="preserve"> </w:t>
      </w:r>
      <m:oMath>
        <m:r>
          <m:t>2.5</m:t>
        </m:r>
        <m:r>
          <m:rPr>
            <m:sty m:val="p"/>
          </m:rPr>
          <m:t>%</m:t>
        </m:r>
      </m:oMath>
      <w:r>
        <w:t xml:space="preserve"> </w:t>
      </w:r>
      <w:r>
        <w:t xml:space="preserve">(IRA excise tax) to</w:t>
      </w:r>
      <w:r>
        <w:t xml:space="preserve"> </w:t>
      </w:r>
      <m:oMath>
        <m:r>
          <m:t>5.8</m:t>
        </m:r>
        <m:r>
          <m:rPr>
            <m:sty m:val="p"/>
          </m:rPr>
          <m:t>%</m:t>
        </m:r>
      </m:oMath>
      <w:r>
        <w:t xml:space="preserve"> </w:t>
      </w:r>
      <w:r>
        <w:t xml:space="preserve">(tariff)</w:t>
      </w:r>
      <w:r>
        <w:t xml:space="preserve"> </w:t>
      </w:r>
      <w:r>
        <w:t xml:space="preserve">and</w:t>
      </w:r>
      <w:r>
        <w:t xml:space="preserve"> </w:t>
      </w:r>
      <m:oMath>
        <m:r>
          <m:t>5.2</m:t>
        </m:r>
        <m:r>
          <m:rPr>
            <m:sty m:val="p"/>
          </m:rPr>
          <m:t>%</m:t>
        </m:r>
      </m:oMath>
      <w:r>
        <w:t xml:space="preserve"> </w:t>
      </w:r>
      <w:r>
        <w:t xml:space="preserve">(Reg-NMS tick). Mean announcement CARs hover near zero, as expected.</w:t>
      </w:r>
    </w:p>
    <w:bookmarkEnd w:id="22"/>
    <w:bookmarkStart w:id="23" w:name="Xe029b9477f13e91847930356c8d7933ec7577b8"/>
    <w:p>
      <w:pPr>
        <w:pStyle w:val="Heading4"/>
      </w:pPr>
      <w:r>
        <w:t xml:space="preserve">Dispersion exceeds placebo for the three largest sorters.</w:t>
      </w:r>
    </w:p>
    <w:p>
      <w:pPr>
        <w:pStyle w:val="FirstParagraph"/>
      </w:pPr>
      <w:r>
        <w:t xml:space="preserve">Table </w:t>
      </w:r>
      <w:hyperlink w:anchor="tab:diff">
        <w:r>
          <w:rPr>
            <w:rStyle w:val="Hyperlink"/>
          </w:rPr>
          <w:t xml:space="preserve">4</w:t>
        </w:r>
      </w:hyperlink>
      <w:r>
        <w:t xml:space="preserve"> </w:t>
      </w:r>
      <w:r>
        <w:t xml:space="preserve">and</w:t>
      </w:r>
      <w:r>
        <w:t xml:space="preserve"> </w:t>
      </w:r>
      <w:r>
        <w:t xml:space="preserve">Figure </w:t>
      </w:r>
      <w:hyperlink w:anchor="fig:placebo">
        <w:r>
          <w:rPr>
            <w:rStyle w:val="Hyperlink"/>
          </w:rPr>
          <w:t xml:space="preserve">2</w:t>
        </w:r>
      </w:hyperlink>
      <w:r>
        <w:t xml:space="preserve"> </w:t>
      </w:r>
      <w:r>
        <w:t xml:space="preserve">report the placebo test. The average firm shows a two-day dispersion of</w:t>
      </w:r>
      <w:r>
        <w:t xml:space="preserve"> </w:t>
      </w:r>
      <w:r>
        <w:t xml:space="preserve">about</w:t>
      </w:r>
      <w:r>
        <w:t xml:space="preserve"> </w:t>
      </w:r>
      <m:oMath>
        <m:r>
          <m:t>2.8</m:t>
        </m:r>
        <m:r>
          <m:rPr>
            <m:sty m:val="p"/>
          </m:rPr>
          <m:t>%</m:t>
        </m:r>
      </m:oMath>
      <w:r>
        <w:t xml:space="preserve"> </w:t>
      </w:r>
      <w:r>
        <w:t xml:space="preserve">on ordinary days. Three shocks clear that bar decisively: the Reg-NMS half-cent tick</w:t>
      </w:r>
      <w:r>
        <w:t xml:space="preserve"> </w:t>
      </w:r>
      <w:r>
        <w:t xml:space="preserve">(dispersion</w:t>
      </w:r>
      <w:r>
        <w:t xml:space="preserve"> </w:t>
      </w:r>
      <m:oMath>
        <m:r>
          <m:t>5.1</m:t>
        </m:r>
        <m:r>
          <m:rPr>
            <m:sty m:val="p"/>
          </m:rPr>
          <m:t>%</m:t>
        </m:r>
      </m:oMath>
      <w:r>
        <w:t xml:space="preserve">, ratio</w:t>
      </w:r>
      <w:r>
        <w:t xml:space="preserve"> </w:t>
      </w:r>
      <m:oMath>
        <m:r>
          <m:t>1.85</m:t>
        </m:r>
      </m:oMath>
      <w:r>
        <w:t xml:space="preserve">, empirical</w:t>
      </w:r>
      <w:r>
        <w:t xml:space="preserve"> </w:t>
      </w:r>
      <m:oMath>
        <m:r>
          <m:t>p</m:t>
        </m:r>
        <m:r>
          <m:rPr>
            <m:sty m:val="p"/>
          </m:rPr>
          <m:t>=</m:t>
        </m:r>
        <m:r>
          <m:t>0.006</m:t>
        </m:r>
      </m:oMath>
      <w:r>
        <w:t xml:space="preserve">), the reciprocal tariff (</w:t>
      </w:r>
      <m:oMath>
        <m:r>
          <m:t>5.1</m:t>
        </m:r>
        <m:r>
          <m:rPr>
            <m:sty m:val="p"/>
          </m:rPr>
          <m:t>%</m:t>
        </m:r>
      </m:oMath>
      <w:r>
        <w:t xml:space="preserve">, ratio</w:t>
      </w:r>
      <w:r>
        <w:t xml:space="preserve"> </w:t>
      </w:r>
      <m:oMath>
        <m:r>
          <m:t>1.83</m:t>
        </m:r>
      </m:oMath>
      <w:r>
        <w:t xml:space="preserve">,</w:t>
      </w:r>
      <w:r>
        <w:t xml:space="preserve"> </w:t>
      </w:r>
      <m:oMath>
        <m:r>
          <m:t>p</m:t>
        </m:r>
        <m:r>
          <m:rPr>
            <m:sty m:val="p"/>
          </m:rPr>
          <m:t>=</m:t>
        </m:r>
        <m:r>
          <m:t>0.009</m:t>
        </m:r>
      </m:oMath>
      <w:r>
        <w:t xml:space="preserve">), and the SVB collapse (</w:t>
      </w:r>
      <m:oMath>
        <m:r>
          <m:t>4.1</m:t>
        </m:r>
        <m:r>
          <m:rPr>
            <m:sty m:val="p"/>
          </m:rPr>
          <m:t>%</m:t>
        </m:r>
      </m:oMath>
      <w:r>
        <w:t xml:space="preserve">, ratio</w:t>
      </w:r>
      <w:r>
        <w:t xml:space="preserve"> </w:t>
      </w:r>
      <m:oMath>
        <m:r>
          <m:t>1.46</m:t>
        </m:r>
      </m:oMath>
      <w:r>
        <w:t xml:space="preserve">,</w:t>
      </w:r>
      <w:r>
        <w:t xml:space="preserve"> </w:t>
      </w:r>
      <m:oMath>
        <m:r>
          <m:t>p</m:t>
        </m:r>
        <m:r>
          <m:rPr>
            <m:sty m:val="p"/>
          </m:rPr>
          <m:t>=</m:t>
        </m:r>
        <m:r>
          <m:t>0.034</m:t>
        </m:r>
      </m:oMath>
      <w:r>
        <w:t xml:space="preserve">). The two language-model</w:t>
      </w:r>
      <w:r>
        <w:t xml:space="preserve"> </w:t>
      </w:r>
      <w:r>
        <w:t xml:space="preserve">releases and the tariff pause sit modestly above placebo (ratios</w:t>
      </w:r>
      <w:r>
        <w:t xml:space="preserve"> </w:t>
      </w:r>
      <m:oMath>
        <m:r>
          <m:rPr>
            <m:sty m:val="p"/>
          </m:rPr>
          <m:t>≈</m:t>
        </m:r>
        <m:r>
          <m:t>1.15</m:t>
        </m:r>
      </m:oMath>
      <w:r>
        <w:t xml:space="preserve">,</w:t>
      </w:r>
      <w:r>
        <w:t xml:space="preserve"> </w:t>
      </w:r>
      <m:oMath>
        <m:r>
          <m:t>p</m:t>
        </m:r>
        <m:r>
          <m:rPr>
            <m:sty m:val="p"/>
          </m:rPr>
          <m:t>≈</m:t>
        </m:r>
        <m:r>
          <m:t>0.20</m:t>
        </m:r>
      </m:oMath>
      <w:r>
        <w:t xml:space="preserve">),</w:t>
      </w:r>
      <w:r>
        <w:t xml:space="preserve"> </w:t>
      </w:r>
      <w:r>
        <w:t xml:space="preserve">and the procedural shocks (CHIPS, 13D rule, GENIUS Act, IRA excise) are indistinguishable from an</w:t>
      </w:r>
      <w:r>
        <w:t xml:space="preserve"> </w:t>
      </w:r>
      <w:r>
        <w:t xml:space="preserve">ordinary day. Differentiation, then, is real but concentrated: only the largest real and regulatory</w:t>
      </w:r>
      <w:r>
        <w:t xml:space="preserve"> </w:t>
      </w:r>
      <w:r>
        <w:t xml:space="preserve">reallocations sort firms beyond normal daily noise. This supports H1 for the three leading shocks</w:t>
      </w:r>
      <w:r>
        <w:t xml:space="preserve"> </w:t>
      </w:r>
      <w:r>
        <w:t xml:space="preserve">and, notably, shows a microstructure rule (the tick) differentiating as sharply as a macro trade</w:t>
      </w:r>
      <w:r>
        <w:t xml:space="preserve"> </w:t>
      </w:r>
      <w:r>
        <w:t xml:space="preserve">shock.</w:t>
      </w:r>
    </w:p>
    <w:bookmarkEnd w:id="23"/>
    <w:bookmarkStart w:id="24" w:name="X69256bc88024df69f455f1c84ed4b552ae411ea"/>
    <w:p>
      <w:pPr>
        <w:pStyle w:val="Heading4"/>
      </w:pPr>
      <w:r>
        <w:t xml:space="preserve">The ranking is robust to how dispersion is measured.</w:t>
      </w:r>
    </w:p>
    <w:p>
      <w:pPr>
        <w:pStyle w:val="FirstParagraph"/>
      </w:pPr>
      <w:r>
        <w:t xml:space="preserve">A skeptic might worry the ranking</w:t>
      </w:r>
      <w:r>
        <w:t xml:space="preserve"> </w:t>
      </w:r>
      <w:r>
        <w:t xml:space="preserve">depends on the two-day window or the SD statistic. It does not. Table </w:t>
      </w:r>
      <w:hyperlink w:anchor="tab:rankcorr">
        <w:r>
          <w:rPr>
            <w:rStyle w:val="Hyperlink"/>
          </w:rPr>
          <w:t xml:space="preserve">5</w:t>
        </w:r>
      </w:hyperlink>
      <w:r>
        <w:t xml:space="preserve"> </w:t>
      </w:r>
      <w:r>
        <w:t xml:space="preserve">shows that</w:t>
      </w:r>
      <w:r>
        <w:t xml:space="preserve"> </w:t>
      </w:r>
      <w:r>
        <w:t xml:space="preserve">the shock ranking by</w:t>
      </w:r>
      <w:r>
        <w:t xml:space="preserve"> </w:t>
      </w:r>
      <m:oMath>
        <m:r>
          <m:rPr>
            <m:sty m:val="p"/>
          </m:rPr>
          <m:t>[</m:t>
        </m:r>
        <m:r>
          <m:t>0</m:t>
        </m:r>
        <m:r>
          <m:rPr>
            <m:sty m:val="p"/>
          </m:rPr>
          <m:t>,</m:t>
        </m:r>
        <m:r>
          <m:rPr>
            <m:sty m:val="p"/>
          </m:rPr>
          <m:t>+</m:t>
        </m:r>
        <m:r>
          <m:t>1</m:t>
        </m:r>
        <m:r>
          <m:rPr>
            <m:sty m:val="p"/>
          </m:rPr>
          <m:t>]</m:t>
        </m:r>
      </m:oMath>
      <w:r>
        <w:t xml:space="preserve"> </w:t>
      </w:r>
      <w:r>
        <w:t xml:space="preserve">SD correlates</w:t>
      </w:r>
      <w:r>
        <w:t xml:space="preserve"> </w:t>
      </w:r>
      <m:oMath>
        <m:r>
          <m:t>0.72</m:t>
        </m:r>
      </m:oMath>
      <w:r>
        <w:t xml:space="preserve"> </w:t>
      </w:r>
      <w:r>
        <w:t xml:space="preserve">with the</w:t>
      </w:r>
      <w:r>
        <w:t xml:space="preserve"> </w:t>
      </w:r>
      <m:oMath>
        <m:r>
          <m:rPr>
            <m:sty m:val="p"/>
          </m:rPr>
          <m:t>[</m:t>
        </m:r>
        <m:r>
          <m:t>0</m:t>
        </m:r>
        <m:r>
          <m:rPr>
            <m:sty m:val="p"/>
          </m:rPr>
          <m:t>,</m:t>
        </m:r>
        <m:r>
          <m:rPr>
            <m:sty m:val="p"/>
          </m:rPr>
          <m:t>+</m:t>
        </m:r>
        <m:r>
          <m:t>5</m:t>
        </m:r>
        <m:r>
          <m:rPr>
            <m:sty m:val="p"/>
          </m:rPr>
          <m:t>]</m:t>
        </m:r>
      </m:oMath>
      <w:r>
        <w:t xml:space="preserve"> </w:t>
      </w:r>
      <w:r>
        <w:t xml:space="preserve">ranking,</w:t>
      </w:r>
      <w:r>
        <w:t xml:space="preserve"> </w:t>
      </w:r>
      <m:oMath>
        <m:r>
          <m:t>0.79</m:t>
        </m:r>
      </m:oMath>
      <w:r>
        <w:t xml:space="preserve"> </w:t>
      </w:r>
      <w:r>
        <w:t xml:space="preserve">with the</w:t>
      </w:r>
      <w:r>
        <w:t xml:space="preserve"> </w:t>
      </w:r>
      <m:oMath>
        <m:r>
          <m:rPr>
            <m:sty m:val="p"/>
          </m:rPr>
          <m:t>[</m:t>
        </m:r>
        <m:r>
          <m:rPr>
            <m:sty m:val="p"/>
          </m:rPr>
          <m:t>−</m:t>
        </m:r>
        <m:r>
          <m:t>5</m:t>
        </m:r>
        <m:r>
          <m:rPr>
            <m:sty m:val="p"/>
          </m:rPr>
          <m:t>,</m:t>
        </m:r>
        <m:r>
          <m:rPr>
            <m:sty m:val="p"/>
          </m:rPr>
          <m:t>+</m:t>
        </m:r>
        <m:r>
          <m:t>10</m:t>
        </m:r>
        <m:r>
          <m:rPr>
            <m:sty m:val="p"/>
          </m:rPr>
          <m:t>]</m:t>
        </m:r>
      </m:oMath>
      <w:r>
        <w:t xml:space="preserve"> </w:t>
      </w:r>
      <w:r>
        <w:t xml:space="preserve">ranking,</w:t>
      </w:r>
      <w:r>
        <w:t xml:space="preserve"> </w:t>
      </w:r>
      <m:oMath>
        <m:r>
          <m:t>0.81</m:t>
        </m:r>
      </m:oMath>
      <w:r>
        <w:t xml:space="preserve"> </w:t>
      </w:r>
      <w:r>
        <w:t xml:space="preserve">with the interquartile-range ranking, and</w:t>
      </w:r>
      <w:r>
        <w:t xml:space="preserve"> </w:t>
      </w:r>
      <m:oMath>
        <m:r>
          <m:t>0.83</m:t>
        </m:r>
      </m:oMath>
      <w:r>
        <w:t xml:space="preserve"> </w:t>
      </w:r>
      <w:r>
        <w:t xml:space="preserve">with the median-absolute</w:t>
      </w:r>
      <w:r>
        <w:t xml:space="preserve"> </w:t>
      </w:r>
      <w:r>
        <w:t xml:space="preserve">-deviation ranking (all</w:t>
      </w:r>
      <w:r>
        <w:t xml:space="preserve"> </w:t>
      </w:r>
      <m:oMath>
        <m:r>
          <m:t>p</m:t>
        </m:r>
        <m:r>
          <m:rPr>
            <m:sty m:val="p"/>
          </m:rPr>
          <m:t>&lt;</m:t>
        </m:r>
        <m:r>
          <m:t>0.02</m:t>
        </m:r>
      </m:oMath>
      <w:r>
        <w:t xml:space="preserve">). The differentiation ordering is a property of the shocks, not of</w:t>
      </w:r>
      <w:r>
        <w:t xml:space="preserve"> </w:t>
      </w:r>
      <w:r>
        <w:t xml:space="preserve">the measurement choice.</w:t>
      </w:r>
    </w:p>
    <w:bookmarkEnd w:id="24"/>
    <w:bookmarkEnd w:id="25"/>
    <w:bookmarkStart w:id="28" w:name="sec:beta"/>
    <w:p>
      <w:pPr>
        <w:pStyle w:val="Heading1"/>
      </w:pPr>
      <w:r>
        <w:t xml:space="preserve">Systematic versus Idiosyncratic Differentiation</w:t>
      </w:r>
    </w:p>
    <w:bookmarkStart w:id="26" w:name="beta-explains-almost-none-of-it."/>
    <w:p>
      <w:pPr>
        <w:pStyle w:val="Heading4"/>
      </w:pPr>
      <w:r>
        <w:t xml:space="preserve">Beta explains almost none of it.</w:t>
      </w:r>
    </w:p>
    <w:p>
      <w:pPr>
        <w:pStyle w:val="FirstParagraph"/>
      </w:pPr>
      <w:r>
        <w:t xml:space="preserve">If a shock simply re-priced systematic risk, firms</w:t>
      </w:r>
      <w:r>
        <w:t xml:space="preserve"> </w:t>
      </w:r>
      <w:r>
        <w:t xml:space="preserve">would sort by market beta and the dispersion would be a beta phenomenon. Table </w:t>
      </w:r>
      <w:hyperlink w:anchor="tab:beta">
        <w:r>
          <w:rPr>
            <w:rStyle w:val="Hyperlink"/>
          </w:rPr>
          <w:t xml:space="preserve">6</w:t>
        </w:r>
      </w:hyperlink>
      <w:r>
        <w:t xml:space="preserve"> </w:t>
      </w:r>
      <w:r>
        <w:t xml:space="preserve">regresses each shock’s firm CARs on market beta. Even for the tariff—where high-beta firms did</w:t>
      </w:r>
      <w:r>
        <w:t xml:space="preserve"> </w:t>
      </w:r>
      <w:r>
        <w:t xml:space="preserve">fall more (slope</w:t>
      </w:r>
      <w:r>
        <w:t xml:space="preserve"> </w:t>
      </w:r>
      <m:oMath>
        <m:r>
          <m:rPr>
            <m:sty m:val="p"/>
          </m:rPr>
          <m:t>+</m:t>
        </m:r>
        <m:r>
          <m:t>4.1</m:t>
        </m:r>
      </m:oMath>
      <w:r>
        <w:t xml:space="preserve">,</w:t>
      </w:r>
      <w:r>
        <w:t xml:space="preserve"> </w:t>
      </w:r>
      <m:oMath>
        <m:r>
          <m:t>t</m:t>
        </m:r>
        <m:r>
          <m:rPr>
            <m:sty m:val="p"/>
          </m:rPr>
          <m:t>=</m:t>
        </m:r>
        <m:r>
          <m:t>17.8</m:t>
        </m:r>
      </m:oMath>
      <w:r>
        <w:t xml:space="preserve">)—beta explains only</w:t>
      </w:r>
      <w:r>
        <w:t xml:space="preserve"> </w:t>
      </w:r>
      <m:oMath>
        <m:r>
          <m:t>14</m:t>
        </m:r>
        <m:r>
          <m:rPr>
            <m:sty m:val="p"/>
          </m:rPr>
          <m:t>%</m:t>
        </m:r>
      </m:oMath>
      <w:r>
        <w:t xml:space="preserve"> </w:t>
      </w:r>
      <w:r>
        <w:t xml:space="preserve">of the cross-sectional variance;</w:t>
      </w:r>
      <w:r>
        <w:t xml:space="preserve"> </w:t>
      </w:r>
      <w:r>
        <w:t xml:space="preserve">for most shocks the</w:t>
      </w:r>
      <w:r>
        <w:t xml:space="preserve"> </w:t>
      </w:r>
      <m:oMath>
        <m:sSup>
          <m:e>
            <m:r>
              <m:t>R</m:t>
            </m:r>
          </m:e>
          <m:sup>
            <m:r>
              <m:t>2</m:t>
            </m:r>
          </m:sup>
        </m:sSup>
      </m:oMath>
      <w:r>
        <w:t xml:space="preserve"> </w:t>
      </w:r>
      <w:r>
        <w:t xml:space="preserve">is below</w:t>
      </w:r>
      <w:r>
        <w:t xml:space="preserve"> </w:t>
      </w:r>
      <m:oMath>
        <m:r>
          <m:t>0.01</m:t>
        </m:r>
      </m:oMath>
      <w:r>
        <w:t xml:space="preserve">, and the idiosyncratic share of dispersion is</w:t>
      </w:r>
      <w:r>
        <w:t xml:space="preserve"> </w:t>
      </w:r>
      <m:oMath>
        <m:r>
          <m:t>92</m:t>
        </m:r>
      </m:oMath>
      <w:r>
        <w:t xml:space="preserve">–</w:t>
      </w:r>
      <m:oMath>
        <m:r>
          <m:t>100</m:t>
        </m:r>
        <m:r>
          <m:rPr>
            <m:sty m:val="p"/>
          </m:rPr>
          <m:t>%</m:t>
        </m:r>
      </m:oMath>
      <w:r>
        <w:t xml:space="preserve">.</w:t>
      </w:r>
      <w:r>
        <w:t xml:space="preserve"> </w:t>
      </w:r>
      <w:r>
        <w:t xml:space="preserve">The differentiation is overwhelmingly firm-specific. This is the central bridge to the reserved</w:t>
      </w:r>
      <w:r>
        <w:t xml:space="preserve"> </w:t>
      </w:r>
      <w:r>
        <w:t xml:space="preserve">test: idiosyncratic dispersion is what a</w:t>
      </w:r>
      <w:r>
        <w:t xml:space="preserve"> </w:t>
      </w:r>
      <w:r>
        <w:rPr>
          <w:i/>
          <w:iCs/>
        </w:rPr>
        <w:t xml:space="preserve">named</w:t>
      </w:r>
      <w:r>
        <w:t xml:space="preserve"> </w:t>
      </w:r>
      <w:r>
        <w:t xml:space="preserve">firm-level exposure is built to explain, and</w:t>
      </w:r>
      <w:r>
        <w:t xml:space="preserve"> </w:t>
      </w:r>
      <w:r>
        <w:t xml:space="preserve">its dominance here is why the exposure crosswalk is the natural completion of the atlas rather than</w:t>
      </w:r>
      <w:r>
        <w:t xml:space="preserve"> </w:t>
      </w:r>
      <w:r>
        <w:t xml:space="preserve">an afterthought.</w:t>
      </w:r>
    </w:p>
    <w:bookmarkEnd w:id="26"/>
    <w:bookmarkStart w:id="27" w:name="observable-traits-explain-about-a-fifth."/>
    <w:p>
      <w:pPr>
        <w:pStyle w:val="Heading4"/>
      </w:pPr>
      <w:r>
        <w:t xml:space="preserve">Observable traits explain about a fifth.</w:t>
      </w:r>
    </w:p>
    <w:p>
      <w:pPr>
        <w:pStyle w:val="FirstParagraph"/>
      </w:pPr>
      <w:r>
        <w:t xml:space="preserve">Table </w:t>
      </w:r>
      <w:hyperlink w:anchor="tab:pooled">
        <w:r>
          <w:rPr>
            <w:rStyle w:val="Hyperlink"/>
          </w:rPr>
          <w:t xml:space="preserve">7</w:t>
        </w:r>
      </w:hyperlink>
      <w:r>
        <w:t xml:space="preserve"> </w:t>
      </w:r>
      <w:r>
        <w:t xml:space="preserve">pools all</w:t>
      </w:r>
      <w:r>
        <w:t xml:space="preserve"> </w:t>
      </w:r>
      <m:oMath>
        <m:r>
          <m:t>19</m:t>
        </m:r>
        <m:r>
          <m:rPr>
            <m:sty m:val="p"/>
          </m:rPr>
          <m:t>,</m:t>
        </m:r>
        <m:r>
          <m:t>256</m:t>
        </m:r>
      </m:oMath>
      <w:r>
        <w:t xml:space="preserve"> </w:t>
      </w:r>
      <w:r>
        <w:t xml:space="preserve">firm</w:t>
      </w:r>
      <m:oMath>
        <m:r>
          <m:rPr>
            <m:sty m:val="p"/>
          </m:rPr>
          <m:t>×</m:t>
        </m:r>
      </m:oMath>
      <w:r>
        <w:t xml:space="preserve">shock reactions and regresses</w:t>
      </w:r>
      <w:r>
        <w:t xml:space="preserve"> </w:t>
      </w:r>
      <m:oMath>
        <m:r>
          <m:rPr>
            <m:sty m:val="p"/>
          </m:rPr>
          <m:t>|</m:t>
        </m:r>
        <m:r>
          <m:rPr>
            <m:nor/>
            <m:sty m:val="p"/>
          </m:rPr>
          <m:t>CAR</m:t>
        </m:r>
        <m:r>
          <m:rPr>
            <m:sty m:val="p"/>
          </m:rPr>
          <m:t>[</m:t>
        </m:r>
        <m:r>
          <m:t>0</m:t>
        </m:r>
        <m:r>
          <m:rPr>
            <m:sty m:val="p"/>
          </m:rPr>
          <m:t>,</m:t>
        </m:r>
        <m:r>
          <m:rPr>
            <m:sty m:val="p"/>
          </m:rPr>
          <m:t>+</m:t>
        </m:r>
        <m:r>
          <m:t>1</m:t>
        </m:r>
        <m:r>
          <m:rPr>
            <m:sty m:val="p"/>
          </m:rPr>
          <m:t>]</m:t>
        </m:r>
        <m:r>
          <m:rPr>
            <m:sty m:val="p"/>
          </m:rPr>
          <m:t>|</m:t>
        </m:r>
      </m:oMath>
      <w:r>
        <w:t xml:space="preserve"> </w:t>
      </w:r>
      <w:r>
        <w:t xml:space="preserve">on log market cap, market beta, and</w:t>
      </w:r>
      <w:r>
        <w:t xml:space="preserve"> </w:t>
      </w:r>
      <w:r>
        <w:t xml:space="preserve">idiosyncratic volatility, with shock and industry fixed effects and firm-clustered standard errors.</w:t>
      </w:r>
      <w:r>
        <w:t xml:space="preserve"> </w:t>
      </w:r>
      <w:r>
        <w:t xml:space="preserve">All three predictors enter positively: larger firms, higher-beta firms, and—most strongly—more</w:t>
      </w:r>
      <w:r>
        <w:t xml:space="preserve"> </w:t>
      </w:r>
      <w:r>
        <w:t xml:space="preserve">volatile firms react more (idiosyncratic volatility</w:t>
      </w:r>
      <w:r>
        <w:t xml:space="preserve"> </w:t>
      </w:r>
      <m:oMath>
        <m:r>
          <m:t>t</m:t>
        </m:r>
        <m:r>
          <m:rPr>
            <m:sty m:val="p"/>
          </m:rPr>
          <m:t>=</m:t>
        </m:r>
        <m:r>
          <m:t>11.3</m:t>
        </m:r>
      </m:oMath>
      <w:r>
        <w:t xml:space="preserve">). The model explains</w:t>
      </w:r>
      <w:r>
        <w:t xml:space="preserve"> </w:t>
      </w:r>
      <m:oMath>
        <m:r>
          <m:t>21</m:t>
        </m:r>
        <m:r>
          <m:rPr>
            <m:sty m:val="p"/>
          </m:rPr>
          <m:t>%</m:t>
        </m:r>
      </m:oMath>
      <w:r>
        <w:t xml:space="preserve"> </w:t>
      </w:r>
      <w:r>
        <w:t xml:space="preserve">of the</w:t>
      </w:r>
      <w:r>
        <w:t xml:space="preserve"> </w:t>
      </w:r>
      <w:r>
        <w:t xml:space="preserve">variation in reaction magnitude. That a fifth is explained by generic observables, with four-fifths</w:t>
      </w:r>
      <w:r>
        <w:t xml:space="preserve"> </w:t>
      </w:r>
      <w:r>
        <w:t xml:space="preserve">left over, is the quantitative statement of how much room remains for the shock-specific exposure</w:t>
      </w:r>
      <w:r>
        <w:t xml:space="preserve"> </w:t>
      </w:r>
      <w:r>
        <w:t xml:space="preserve">measures the cohort will bring.</w:t>
      </w:r>
    </w:p>
    <w:p>
      <w:pPr>
        <w:pStyle w:val="BodyText"/>
      </w:pPr>
      <w:r>
        <w:t xml:space="preserve">The three coefficients are also economically legible. The idiosyncratic-volatility loading</w:t>
      </w:r>
      <w:r>
        <w:t xml:space="preserve"> </w:t>
      </w:r>
      <w:r>
        <w:t xml:space="preserve">(</w:t>
      </w:r>
      <m:oMath>
        <m:r>
          <m:rPr>
            <m:sty m:val="p"/>
          </m:rPr>
          <m:t>+</m:t>
        </m:r>
        <m:r>
          <m:t>1.15</m:t>
        </m:r>
      </m:oMath>
      <w:r>
        <w:t xml:space="preserve"> </w:t>
      </w:r>
      <w:r>
        <w:t xml:space="preserve">percentage points of</w:t>
      </w:r>
      <w:r>
        <w:t xml:space="preserve"> </w:t>
      </w:r>
      <m:oMath>
        <m:r>
          <m:rPr>
            <m:sty m:val="p"/>
          </m:rPr>
          <m:t>|</m:t>
        </m:r>
        <m:r>
          <m:rPr>
            <m:nor/>
            <m:sty m:val="p"/>
          </m:rPr>
          <m:t>CAR</m:t>
        </m:r>
        <m:r>
          <m:rPr>
            <m:sty m:val="p"/>
          </m:rPr>
          <m:t>|</m:t>
        </m:r>
      </m:oMath>
      <w:r>
        <w:t xml:space="preserve"> </w:t>
      </w:r>
      <w:r>
        <w:t xml:space="preserve">per point of firm volatility,</w:t>
      </w:r>
      <w:r>
        <w:t xml:space="preserve"> </w:t>
      </w:r>
      <m:oMath>
        <m:r>
          <m:t>t</m:t>
        </m:r>
        <m:r>
          <m:rPr>
            <m:sty m:val="p"/>
          </m:rPr>
          <m:t>=</m:t>
        </m:r>
        <m:r>
          <m:t>11.3</m:t>
        </m:r>
      </m:oMath>
      <w:r>
        <w:t xml:space="preserve">) says that</w:t>
      </w:r>
      <w:r>
        <w:t xml:space="preserve"> </w:t>
      </w:r>
      <w:r>
        <w:t xml:space="preserve">firms which are ordinarily more idiosyncratic move more on</w:t>
      </w:r>
      <w:r>
        <w:t xml:space="preserve"> </w:t>
      </w:r>
      <w:r>
        <w:rPr>
          <w:i/>
          <w:iCs/>
        </w:rPr>
        <w:t xml:space="preserve">any</w:t>
      </w:r>
      <w:r>
        <w:t xml:space="preserve"> </w:t>
      </w:r>
      <w:r>
        <w:t xml:space="preserve">shock—a mechanical but</w:t>
      </w:r>
      <w:r>
        <w:t xml:space="preserve"> </w:t>
      </w:r>
      <w:r>
        <w:t xml:space="preserve">important control, because it is the part of the reaction that is</w:t>
      </w:r>
      <w:r>
        <w:t xml:space="preserve"> </w:t>
      </w:r>
      <w:r>
        <w:rPr>
          <w:i/>
          <w:iCs/>
        </w:rPr>
        <w:t xml:space="preserve">not</w:t>
      </w:r>
      <w:r>
        <w:t xml:space="preserve"> </w:t>
      </w:r>
      <w:r>
        <w:t xml:space="preserve">about the shock’s</w:t>
      </w:r>
      <w:r>
        <w:t xml:space="preserve"> </w:t>
      </w:r>
      <w:r>
        <w:t xml:space="preserve">content. The beta loading (</w:t>
      </w:r>
      <m:oMath>
        <m:r>
          <m:rPr>
            <m:sty m:val="p"/>
          </m:rPr>
          <m:t>+</m:t>
        </m:r>
        <m:r>
          <m:t>0.18</m:t>
        </m:r>
      </m:oMath>
      <w:r>
        <w:t xml:space="preserve">,</w:t>
      </w:r>
      <w:r>
        <w:t xml:space="preserve"> </w:t>
      </w:r>
      <m:oMath>
        <m:r>
          <m:t>t</m:t>
        </m:r>
        <m:r>
          <m:rPr>
            <m:sty m:val="p"/>
          </m:rPr>
          <m:t>=</m:t>
        </m:r>
        <m:r>
          <m:t>2.5</m:t>
        </m:r>
      </m:oMath>
      <w:r>
        <w:t xml:space="preserve">) captures the systematic component the per-shock</w:t>
      </w:r>
      <w:r>
        <w:t xml:space="preserve"> </w:t>
      </w:r>
      <w:r>
        <w:t xml:space="preserve">regressions in Table </w:t>
      </w:r>
      <w:hyperlink w:anchor="tab:beta">
        <w:r>
          <w:rPr>
            <w:rStyle w:val="Hyperlink"/>
          </w:rPr>
          <w:t xml:space="preserve">6</w:t>
        </w:r>
      </w:hyperlink>
      <w:r>
        <w:t xml:space="preserve"> </w:t>
      </w:r>
      <w:r>
        <w:t xml:space="preserve">isolate. The size loading (</w:t>
      </w:r>
      <m:oMath>
        <m:r>
          <m:rPr>
            <m:sty m:val="p"/>
          </m:rPr>
          <m:t>+</m:t>
        </m:r>
        <m:r>
          <m:t>0.05</m:t>
        </m:r>
      </m:oMath>
      <w:r>
        <w:t xml:space="preserve">,</w:t>
      </w:r>
      <w:r>
        <w:t xml:space="preserve"> </w:t>
      </w:r>
      <m:oMath>
        <m:r>
          <m:t>t</m:t>
        </m:r>
        <m:r>
          <m:rPr>
            <m:sty m:val="p"/>
          </m:rPr>
          <m:t>=</m:t>
        </m:r>
        <m:r>
          <m:t>2.4</m:t>
        </m:r>
      </m:oMath>
      <w:r>
        <w:t xml:space="preserve">) is small but</w:t>
      </w:r>
      <w:r>
        <w:t xml:space="preserve"> </w:t>
      </w:r>
      <w:r>
        <w:t xml:space="preserve">positive: among large caps, the very largest react slightly more, consistent with their heavier</w:t>
      </w:r>
      <w:r>
        <w:t xml:space="preserve"> </w:t>
      </w:r>
      <w:r>
        <w:t xml:space="preserve">index and macro exposure. Critically, once these generic channels and the shock and industry fixed</w:t>
      </w:r>
      <w:r>
        <w:t xml:space="preserve"> </w:t>
      </w:r>
      <w:r>
        <w:t xml:space="preserve">effects are absorbed, the residual is what a</w:t>
      </w:r>
      <w:r>
        <w:t xml:space="preserve"> </w:t>
      </w:r>
      <w:r>
        <w:rPr>
          <w:i/>
          <w:iCs/>
        </w:rPr>
        <w:t xml:space="preserve">named</w:t>
      </w:r>
      <w:r>
        <w:t xml:space="preserve"> </w:t>
      </w:r>
      <w:r>
        <w:t xml:space="preserve">exposure should explain—and whether it</w:t>
      </w:r>
      <w:r>
        <w:t xml:space="preserve"> </w:t>
      </w:r>
      <w:r>
        <w:t xml:space="preserve">does is a test we deliberately leave open, because building the exposure regressor is the cohort’s</w:t>
      </w:r>
      <w:r>
        <w:t xml:space="preserve"> </w:t>
      </w:r>
      <w:r>
        <w:t xml:space="preserve">reserved contribution, not ours to pre-empt with an observable proxy.</w:t>
      </w:r>
    </w:p>
    <w:bookmarkEnd w:id="27"/>
    <w:bookmarkEnd w:id="28"/>
    <w:bookmarkStart w:id="29" w:name="sec:fragile"/>
    <w:p>
      <w:pPr>
        <w:pStyle w:val="Heading1"/>
      </w:pPr>
      <w:r>
        <w:t xml:space="preserve">Does Differentiation Scale with Size? A Fragility Analysis</w:t>
      </w:r>
    </w:p>
    <w:p>
      <w:pPr>
        <w:pStyle w:val="FirstParagraph"/>
      </w:pPr>
      <w:r>
        <w:t xml:space="preserve">The original draft’s headline was that differentiation scales with the aggregate move, a correlation</w:t>
      </w:r>
      <w:r>
        <w:t xml:space="preserve"> </w:t>
      </w:r>
      <w:r>
        <w:t xml:space="preserve">of</w:t>
      </w:r>
      <w:r>
        <w:t xml:space="preserve"> </w:t>
      </w:r>
      <m:oMath>
        <m:r>
          <m:t>0.69</m:t>
        </m:r>
      </m:oMath>
      <w:r>
        <w:t xml:space="preserve"> </w:t>
      </w:r>
      <w:r>
        <w:t xml:space="preserve">between</w:t>
      </w:r>
      <w:r>
        <w:t xml:space="preserve"> </w:t>
      </w:r>
      <m:oMath>
        <m:r>
          <m:rPr>
            <m:sty m:val="p"/>
          </m:rPr>
          <m:t>|</m:t>
        </m:r>
      </m:oMath>
      <w:r>
        <w:t xml:space="preserve">market move</w:t>
      </w:r>
      <m:oMath>
        <m:r>
          <m:rPr>
            <m:sty m:val="p"/>
          </m:rPr>
          <m:t>|</m:t>
        </m:r>
      </m:oMath>
      <w:r>
        <w:t xml:space="preserve"> </w:t>
      </w:r>
      <w:r>
        <w:t xml:space="preserve">and cross-sectional dispersion. Section </w:t>
      </w:r>
      <w:hyperlink w:anchor="sec:diff">
        <w:r>
          <w:rPr>
            <w:rStyle w:val="Hyperlink"/>
          </w:rPr>
          <w:t xml:space="preserve">5</w:t>
        </w:r>
      </w:hyperlink>
      <w:r>
        <w:t xml:space="preserve"> </w:t>
      </w:r>
      <w:r>
        <w:t xml:space="preserve">already</w:t>
      </w:r>
      <w:r>
        <w:t xml:space="preserve"> </w:t>
      </w:r>
      <w:r>
        <w:t xml:space="preserve">hinted at trouble—the Reg-NMS tick differentiates as much as the tariff with a tiny market</w:t>
      </w:r>
      <w:r>
        <w:t xml:space="preserve"> </w:t>
      </w:r>
      <w:r>
        <w:t xml:space="preserve">move—and a formal fragility analysis confirms it. Table </w:t>
      </w:r>
      <w:hyperlink w:anchor="tab:boot">
        <w:r>
          <w:rPr>
            <w:rStyle w:val="Hyperlink"/>
          </w:rPr>
          <w:t xml:space="preserve">12</w:t>
        </w:r>
      </w:hyperlink>
      <w:r>
        <w:t xml:space="preserve"> </w:t>
      </w:r>
      <w:r>
        <w:t xml:space="preserve">bootstraps the correlation</w:t>
      </w:r>
      <w:r>
        <w:t xml:space="preserve"> </w:t>
      </w:r>
      <w:r>
        <w:t xml:space="preserve">over the ten shocks: the point estimate is</w:t>
      </w:r>
      <w:r>
        <w:t xml:space="preserve"> </w:t>
      </w:r>
      <m:oMath>
        <m:r>
          <m:t>0.686</m:t>
        </m:r>
      </m:oMath>
      <w:r>
        <w:t xml:space="preserve">, but the</w:t>
      </w:r>
      <w:r>
        <w:t xml:space="preserve"> </w:t>
      </w:r>
      <m:oMath>
        <m:r>
          <m:t>95</m:t>
        </m:r>
        <m:r>
          <m:rPr>
            <m:sty m:val="p"/>
          </m:rPr>
          <m:t>%</m:t>
        </m:r>
      </m:oMath>
      <w:r>
        <w:t xml:space="preserve"> </w:t>
      </w:r>
      <w:r>
        <w:t xml:space="preserve">bootstrap interval is</w:t>
      </w:r>
      <w:r>
        <w:t xml:space="preserve"> </w:t>
      </w:r>
      <m:oMath>
        <m:r>
          <m:rPr>
            <m:sty m:val="p"/>
          </m:rPr>
          <m:t>[</m:t>
        </m:r>
        <m:r>
          <m:rPr>
            <m:sty m:val="p"/>
          </m:rPr>
          <m:t>−</m:t>
        </m:r>
        <m:r>
          <m:t>0.04</m:t>
        </m:r>
        <m:r>
          <m:rPr>
            <m:sty m:val="p"/>
          </m:rPr>
          <m:t>,</m:t>
        </m:r>
        <m:r>
          <m:t>0.97</m:t>
        </m:r>
        <m:r>
          <m:rPr>
            <m:sty m:val="p"/>
          </m:rPr>
          <m:t>]</m:t>
        </m:r>
      </m:oMath>
      <w:r>
        <w:t xml:space="preserve">, comfortably including zero (Figure </w:t>
      </w:r>
      <w:hyperlink w:anchor="fig:bootstrap">
        <w:r>
          <w:rPr>
            <w:rStyle w:val="Hyperlink"/>
          </w:rPr>
          <w:t xml:space="preserve">4</w:t>
        </w:r>
      </w:hyperlink>
      <w:r>
        <w:t xml:space="preserve">). Leave-one-shock-out is</w:t>
      </w:r>
      <w:r>
        <w:t xml:space="preserve"> </w:t>
      </w:r>
      <w:r>
        <w:t xml:space="preserve">equally telling: dropping the tariff shock alone collapses the correlation to</w:t>
      </w:r>
      <w:r>
        <w:t xml:space="preserve"> </w:t>
      </w:r>
      <m:oMath>
        <m:r>
          <m:t>0.26</m:t>
        </m:r>
      </m:oMath>
      <w:r>
        <w:t xml:space="preserve">. The claim is</w:t>
      </w:r>
      <w:r>
        <w:t xml:space="preserve"> </w:t>
      </w:r>
      <w:r>
        <w:t xml:space="preserve">essentially one influential observation. Table </w:t>
      </w:r>
      <w:hyperlink w:anchor="tab:power">
        <w:r>
          <w:rPr>
            <w:rStyle w:val="Hyperlink"/>
          </w:rPr>
          <w:t xml:space="preserve">13</w:t>
        </w:r>
      </w:hyperlink>
      <w:r>
        <w:t xml:space="preserve"> </w:t>
      </w:r>
      <w:r>
        <w:t xml:space="preserve">makes the reason precise: with</w:t>
      </w:r>
      <w:r>
        <w:t xml:space="preserve"> </w:t>
      </w:r>
      <m:oMath>
        <m:r>
          <m:t>n</m:t>
        </m:r>
        <m:r>
          <m:rPr>
            <m:sty m:val="p"/>
          </m:rPr>
          <m:t>=</m:t>
        </m:r>
        <m:r>
          <m:t>10</m:t>
        </m:r>
      </m:oMath>
      <w:r>
        <w:t xml:space="preserve"> </w:t>
      </w:r>
      <w:r>
        <w:t xml:space="preserve">shocks, a design has</w:t>
      </w:r>
      <w:r>
        <w:t xml:space="preserve"> </w:t>
      </w:r>
      <m:oMath>
        <m:r>
          <m:t>80</m:t>
        </m:r>
        <m:r>
          <m:rPr>
            <m:sty m:val="p"/>
          </m:rPr>
          <m:t>%</m:t>
        </m:r>
      </m:oMath>
      <w:r>
        <w:t xml:space="preserve"> </w:t>
      </w:r>
      <w:r>
        <w:t xml:space="preserve">power only for correlations above</w:t>
      </w:r>
      <w:r>
        <w:t xml:space="preserve"> </w:t>
      </w:r>
      <m:oMath>
        <m:r>
          <m:t>0.78</m:t>
        </m:r>
      </m:oMath>
      <w:r>
        <w:t xml:space="preserve">; a true correlation of</w:t>
      </w:r>
      <w:r>
        <w:t xml:space="preserve"> </w:t>
      </w:r>
      <m:oMath>
        <m:r>
          <m:t>0.69</m:t>
        </m:r>
      </m:oMath>
      <w:r>
        <w:t xml:space="preserve"> </w:t>
      </w:r>
      <w:r>
        <w:t xml:space="preserve">would fail to reach significance more often than not. We therefore</w:t>
      </w:r>
      <w:r>
        <w:t xml:space="preserve"> </w:t>
      </w:r>
      <w:r>
        <w:rPr>
          <w:i/>
          <w:iCs/>
        </w:rPr>
        <w:t xml:space="preserve">retract the strong scaling</w:t>
      </w:r>
      <w:r>
        <w:rPr>
          <w:i/>
          <w:iCs/>
        </w:rPr>
        <w:t xml:space="preserve"> </w:t>
      </w:r>
      <w:r>
        <w:rPr>
          <w:i/>
          <w:iCs/>
        </w:rPr>
        <w:t xml:space="preserve">claim</w:t>
      </w:r>
      <w:r>
        <w:t xml:space="preserve"> </w:t>
      </w:r>
      <w:r>
        <w:t xml:space="preserve">and restate it as a suggestive pattern awaiting more shocks.</w:t>
      </w:r>
    </w:p>
    <w:p>
      <w:pPr>
        <w:pStyle w:val="BodyText"/>
      </w:pPr>
      <w:r>
        <w:t xml:space="preserve">Grouping shocks into coarse families (Table </w:t>
      </w:r>
      <w:hyperlink w:anchor="tab:typebucket">
        <w:r>
          <w:rPr>
            <w:rStyle w:val="Hyperlink"/>
          </w:rPr>
          <w:t xml:space="preserve">11</w:t>
        </w:r>
      </w:hyperlink>
      <w:r>
        <w:t xml:space="preserve">) is descriptive only—each family</w:t>
      </w:r>
      <w:r>
        <w:t xml:space="preserve"> </w:t>
      </w:r>
      <w:r>
        <w:t xml:space="preserve">has just two members—but it tells the same story without over-reaching: the trade family</w:t>
      </w:r>
      <w:r>
        <w:t xml:space="preserve"> </w:t>
      </w:r>
      <w:r>
        <w:t xml:space="preserve">(dispersion</w:t>
      </w:r>
      <w:r>
        <w:t xml:space="preserve"> </w:t>
      </w:r>
      <m:oMath>
        <m:r>
          <m:t>4.7</m:t>
        </m:r>
        <m:r>
          <m:rPr>
            <m:sty m:val="p"/>
          </m:rPr>
          <m:t>%</m:t>
        </m:r>
      </m:oMath>
      <w:r>
        <w:t xml:space="preserve">) and the micro/disclosure family (driven by the tick,</w:t>
      </w:r>
      <w:r>
        <w:t xml:space="preserve"> </w:t>
      </w:r>
      <m:oMath>
        <m:r>
          <m:t>4.0</m:t>
        </m:r>
        <m:r>
          <m:rPr>
            <m:sty m:val="p"/>
          </m:rPr>
          <m:t>%</m:t>
        </m:r>
      </m:oMath>
      <w:r>
        <w:t xml:space="preserve">) differentiate</w:t>
      </w:r>
      <w:r>
        <w:t xml:space="preserve"> </w:t>
      </w:r>
      <w:r>
        <w:t xml:space="preserve">most, while the industrial/tax family (procedural) differentiates least (</w:t>
      </w:r>
      <m:oMath>
        <m:r>
          <m:t>2.7</m:t>
        </m:r>
        <m:r>
          <m:rPr>
            <m:sty m:val="p"/>
          </m:rPr>
          <m:t>%</m:t>
        </m:r>
      </m:oMath>
      <w:r>
        <w:t xml:space="preserve">). Aggregate size is</w:t>
      </w:r>
      <w:r>
        <w:t xml:space="preserve"> </w:t>
      </w:r>
      <w:r>
        <w:t xml:space="preserve">one correlate of differentiation, but not the only one, and the ten-shock cross-section cannot</w:t>
      </w:r>
      <w:r>
        <w:t xml:space="preserve"> </w:t>
      </w:r>
      <w:r>
        <w:t xml:space="preserve">adjudicate which dominates.</w:t>
      </w:r>
    </w:p>
    <w:bookmarkEnd w:id="29"/>
    <w:bookmarkStart w:id="34" w:name="sec:prop"/>
    <w:p>
      <w:pPr>
        <w:pStyle w:val="Heading1"/>
      </w:pPr>
      <w:r>
        <w:t xml:space="preserve">Propagation: Drift, Reversal, and Contagion</w:t>
      </w:r>
    </w:p>
    <w:bookmarkStart w:id="30" w:name="Xd5477009814ee39f6ea746c1ca861abec385c75"/>
    <w:p>
      <w:pPr>
        <w:pStyle w:val="Heading4"/>
      </w:pPr>
      <w:r>
        <w:t xml:space="preserve">Drift is heterogeneous, not zero-on-average-because-efficient.</w:t>
      </w:r>
    </w:p>
    <w:p>
      <w:pPr>
        <w:pStyle w:val="FirstParagraph"/>
      </w:pPr>
      <w:r>
        <w:t xml:space="preserve">Table </w:t>
      </w:r>
      <w:hyperlink w:anchor="tab:metare">
        <w:r>
          <w:rPr>
            <w:rStyle w:val="Hyperlink"/>
          </w:rPr>
          <w:t xml:space="preserve">8</w:t>
        </w:r>
      </w:hyperlink>
      <w:r>
        <w:t xml:space="preserve"> </w:t>
      </w:r>
      <w:r>
        <w:t xml:space="preserve">and Figure </w:t>
      </w:r>
      <w:hyperlink w:anchor="fig:forest">
        <w:r>
          <w:rPr>
            <w:rStyle w:val="Hyperlink"/>
          </w:rPr>
          <w:t xml:space="preserve">3</w:t>
        </w:r>
      </w:hyperlink>
      <w:r>
        <w:t xml:space="preserve"> </w:t>
      </w:r>
      <w:r>
        <w:t xml:space="preserve">report a random-effects meta-analysis of the mean</w:t>
      </w:r>
      <w:r>
        <w:t xml:space="preserve"> </w:t>
      </w:r>
      <m:oMath>
        <m:r>
          <m:rPr>
            <m:sty m:val="p"/>
          </m:rPr>
          <m:t>[</m:t>
        </m:r>
        <m:r>
          <m:rPr>
            <m:sty m:val="p"/>
          </m:rPr>
          <m:t>+</m:t>
        </m:r>
        <m:r>
          <m:t>2</m:t>
        </m:r>
        <m:r>
          <m:rPr>
            <m:sty m:val="p"/>
          </m:rPr>
          <m:t>,</m:t>
        </m:r>
        <m:r>
          <m:rPr>
            <m:sty m:val="p"/>
          </m:rPr>
          <m:t>+</m:t>
        </m:r>
        <m:r>
          <m:t>10</m:t>
        </m:r>
        <m:r>
          <m:rPr>
            <m:sty m:val="p"/>
          </m:rPr>
          <m:t>]</m:t>
        </m:r>
      </m:oMath>
      <w:r>
        <w:t xml:space="preserve"> </w:t>
      </w:r>
      <w:r>
        <w:t xml:space="preserve">drift</w:t>
      </w:r>
      <w:r>
        <w:t xml:space="preserve"> </w:t>
      </w:r>
      <w:r>
        <w:t xml:space="preserve">across shocks. The pooled estimate is</w:t>
      </w:r>
      <w:r>
        <w:t xml:space="preserve"> </w:t>
      </w:r>
      <m:oMath>
        <m:r>
          <m:rPr>
            <m:sty m:val="p"/>
          </m:rPr>
          <m:t>−</m:t>
        </m:r>
        <m:r>
          <m:t>0.01</m:t>
        </m:r>
        <m:r>
          <m:rPr>
            <m:sty m:val="p"/>
          </m:rPr>
          <m:t>%</m:t>
        </m:r>
      </m:oMath>
      <w:r>
        <w:t xml:space="preserve"> </w:t>
      </w:r>
      <w:r>
        <w:t xml:space="preserve">with a</w:t>
      </w:r>
      <w:r>
        <w:t xml:space="preserve"> </w:t>
      </w:r>
      <m:oMath>
        <m:r>
          <m:t>95</m:t>
        </m:r>
        <m:r>
          <m:rPr>
            <m:sty m:val="p"/>
          </m:rPr>
          <m:t>%</m:t>
        </m:r>
      </m:oMath>
      <w:r>
        <w:t xml:space="preserve"> </w:t>
      </w:r>
      <w:r>
        <w:t xml:space="preserve">interval spanning</w:t>
      </w:r>
      <w:r>
        <w:t xml:space="preserve"> </w:t>
      </w:r>
      <m:oMath>
        <m:r>
          <m:rPr>
            <m:sty m:val="p"/>
          </m:rPr>
          <m:t>[</m:t>
        </m:r>
        <m:r>
          <m:rPr>
            <m:sty m:val="p"/>
          </m:rPr>
          <m:t>−</m:t>
        </m:r>
        <m:r>
          <m:t>0.93</m:t>
        </m:r>
        <m:r>
          <m:rPr>
            <m:sty m:val="p"/>
          </m:rPr>
          <m:t>,</m:t>
        </m:r>
        <m:r>
          <m:rPr>
            <m:sty m:val="p"/>
          </m:rPr>
          <m:t>+</m:t>
        </m:r>
        <m:r>
          <m:t>0.90</m:t>
        </m:r>
        <m:r>
          <m:rPr>
            <m:sty m:val="p"/>
          </m:rPr>
          <m:t>]</m:t>
        </m:r>
      </m:oMath>
      <w:r>
        <w:t xml:space="preserve">—but this near-zero average masks extreme heterogeneity (</w:t>
      </w:r>
      <m:oMath>
        <m:r>
          <m:t>Q</m:t>
        </m:r>
        <m:r>
          <m:rPr>
            <m:sty m:val="p"/>
          </m:rPr>
          <m:t>=</m:t>
        </m:r>
        <m:r>
          <m:t>947</m:t>
        </m:r>
      </m:oMath>
      <w:r>
        <w:t xml:space="preserve"> </w:t>
      </w:r>
      <w:r>
        <w:t xml:space="preserve">on 9 df,</w:t>
      </w:r>
      <w:r>
        <w:t xml:space="preserve"> </w:t>
      </w:r>
      <m:oMath>
        <m:sSup>
          <m:e>
            <m:r>
              <m:t>I</m:t>
            </m:r>
          </m:e>
          <m:sup>
            <m:r>
              <m:t>2</m:t>
            </m:r>
          </m:sup>
        </m:sSup>
        <m:r>
          <m:rPr>
            <m:sty m:val="p"/>
          </m:rPr>
          <m:t>=</m:t>
        </m:r>
        <m:r>
          <m:t>99</m:t>
        </m:r>
        <m:r>
          <m:rPr>
            <m:sty m:val="p"/>
          </m:rPr>
          <m:t>%</m:t>
        </m:r>
      </m:oMath>
      <w:r>
        <w:t xml:space="preserve">).</w:t>
      </w:r>
      <w:r>
        <w:t xml:space="preserve"> </w:t>
      </w:r>
      <w:r>
        <w:t xml:space="preserve">The shocks are not drawing from a common drift; they are genuinely different events, and averaging</w:t>
      </w:r>
      <w:r>
        <w:t xml:space="preserve"> </w:t>
      </w:r>
      <w:r>
        <w:t xml:space="preserve">them is meaningless except to</w:t>
      </w:r>
      <w:r>
        <w:t xml:space="preserve"> </w:t>
      </w:r>
      <w:r>
        <w:rPr>
          <w:i/>
          <w:iCs/>
        </w:rPr>
        <w:t xml:space="preserve">quantify</w:t>
      </w:r>
      <w:r>
        <w:t xml:space="preserve"> </w:t>
      </w:r>
      <w:r>
        <w:t xml:space="preserve">that heterogeneity, which is the honest use of the</w:t>
      </w:r>
      <w:r>
        <w:t xml:space="preserve"> </w:t>
      </w:r>
      <m:oMath>
        <m:sSup>
          <m:e>
            <m:r>
              <m:t>I</m:t>
            </m:r>
          </m:e>
          <m:sup>
            <m:r>
              <m:t>2</m:t>
            </m:r>
          </m:sup>
        </m:sSup>
      </m:oMath>
      <w:r>
        <w:t xml:space="preserve"> </w:t>
      </w:r>
      <w:r>
        <w:t xml:space="preserve">statistic. The forest plot shows SVB as the clear negative-drift outlier (</w:t>
      </w:r>
      <m:oMath>
        <m:r>
          <m:rPr>
            <m:sty m:val="p"/>
          </m:rPr>
          <m:t>−</m:t>
        </m:r>
        <m:r>
          <m:t>3.5</m:t>
        </m:r>
        <m:r>
          <m:rPr>
            <m:sty m:val="p"/>
          </m:rPr>
          <m:t>%</m:t>
        </m:r>
      </m:oMath>
      <w:r>
        <w:t xml:space="preserve">), with the</w:t>
      </w:r>
      <w:r>
        <w:t xml:space="preserve"> </w:t>
      </w:r>
      <w:r>
        <w:t xml:space="preserve">tariff pause on the positive side. The pre-window mean is slightly negative on average</w:t>
      </w:r>
      <w:r>
        <w:t xml:space="preserve"> </w:t>
      </w:r>
      <w:r>
        <w:t xml:space="preserve">(</w:t>
      </w:r>
      <m:oMath>
        <m:r>
          <m:rPr>
            <m:sty m:val="p"/>
          </m:rPr>
          <m:t>−</m:t>
        </m:r>
        <m:r>
          <m:t>0.89</m:t>
        </m:r>
        <m:r>
          <m:rPr>
            <m:sty m:val="p"/>
          </m:rPr>
          <m:t>%</m:t>
        </m:r>
      </m:oMath>
      <w:r>
        <w:t xml:space="preserve">,</w:t>
      </w:r>
      <w:r>
        <w:t xml:space="preserve"> </w:t>
      </w:r>
      <m:oMath>
        <m:r>
          <m:rPr>
            <m:sty m:val="p"/>
          </m:rPr>
          <m:t>[</m:t>
        </m:r>
        <m:r>
          <m:rPr>
            <m:sty m:val="p"/>
          </m:rPr>
          <m:t>−</m:t>
        </m:r>
        <m:r>
          <m:t>1.47</m:t>
        </m:r>
        <m:r>
          <m:rPr>
            <m:sty m:val="p"/>
          </m:rPr>
          <m:t>,</m:t>
        </m:r>
        <m:r>
          <m:rPr>
            <m:sty m:val="p"/>
          </m:rPr>
          <m:t>−</m:t>
        </m:r>
        <m:r>
          <m:t>0.30</m:t>
        </m:r>
        <m:r>
          <m:rPr>
            <m:sty m:val="p"/>
          </m:rPr>
          <m:t>]</m:t>
        </m:r>
      </m:oMath>
      <w:r>
        <w:t xml:space="preserve">), but again with</w:t>
      </w:r>
      <w:r>
        <w:t xml:space="preserve"> </w:t>
      </w:r>
      <m:oMath>
        <m:sSup>
          <m:e>
            <m:r>
              <m:t>I</m:t>
            </m:r>
          </m:e>
          <m:sup>
            <m:r>
              <m:t>2</m:t>
            </m:r>
          </m:sup>
        </m:sSup>
        <m:r>
          <m:rPr>
            <m:sty m:val="p"/>
          </m:rPr>
          <m:t>=</m:t>
        </m:r>
        <m:r>
          <m:t>99</m:t>
        </m:r>
        <m:r>
          <m:rPr>
            <m:sty m:val="p"/>
          </m:rPr>
          <m:t>%</m:t>
        </m:r>
      </m:oMath>
      <w:r>
        <w:t xml:space="preserve">: we do not read it as clean anticipation,</w:t>
      </w:r>
      <w:r>
        <w:t xml:space="preserve"> </w:t>
      </w:r>
      <w:r>
        <w:t xml:space="preserve">because isolating leakage requires the reserved exposure measure.</w:t>
      </w:r>
    </w:p>
    <w:bookmarkEnd w:id="30"/>
    <w:bookmarkStart w:id="31" w:name="X880f2942138995aa338c3d7b08b990593aae6c3"/>
    <w:p>
      <w:pPr>
        <w:pStyle w:val="Heading4"/>
      </w:pPr>
      <w:r>
        <w:t xml:space="preserve">The pooled test detects modest continuation.</w:t>
      </w:r>
    </w:p>
    <w:p>
      <w:pPr>
        <w:pStyle w:val="FirstParagraph"/>
      </w:pPr>
      <w:r>
        <w:t xml:space="preserve">The per-shock reversal correlations in</w:t>
      </w:r>
      <w:r>
        <w:t xml:space="preserve"> </w:t>
      </w:r>
      <w:r>
        <w:t xml:space="preserve">Table </w:t>
      </w:r>
      <w:hyperlink w:anchor="tab:atlas">
        <w:r>
          <w:rPr>
            <w:rStyle w:val="Hyperlink"/>
          </w:rPr>
          <w:t xml:space="preserve">1</w:t>
        </w:r>
      </w:hyperlink>
      <w:r>
        <w:t xml:space="preserve"> </w:t>
      </w:r>
      <w:r>
        <w:t xml:space="preserve">are small and mixed (mean</w:t>
      </w:r>
      <w:r>
        <w:t xml:space="preserve"> </w:t>
      </w:r>
      <m:oMath>
        <m:r>
          <m:t>0.02</m:t>
        </m:r>
      </m:oMath>
      <w:r>
        <w:t xml:space="preserve">), which in isolation reads as roughly</w:t>
      </w:r>
      <w:r>
        <w:t xml:space="preserve"> </w:t>
      </w:r>
      <w:r>
        <w:t xml:space="preserve">efficient pricing. But the per-shock test is underpowered; pooling firms across shocks is not.</w:t>
      </w:r>
      <w:r>
        <w:t xml:space="preserve"> </w:t>
      </w:r>
      <w:r>
        <w:t xml:space="preserve">Table </w:t>
      </w:r>
      <w:hyperlink w:anchor="tab:overreact">
        <w:r>
          <w:rPr>
            <w:rStyle w:val="Hyperlink"/>
          </w:rPr>
          <w:t xml:space="preserve">9</w:t>
        </w:r>
      </w:hyperlink>
      <w:r>
        <w:t xml:space="preserve"> </w:t>
      </w:r>
      <w:r>
        <w:t xml:space="preserve">sorts all firm</w:t>
      </w:r>
      <m:oMath>
        <m:r>
          <m:rPr>
            <m:sty m:val="p"/>
          </m:rPr>
          <m:t>×</m:t>
        </m:r>
      </m:oMath>
      <w:r>
        <w:t xml:space="preserve">shock observations into announcement-CAR quintiles</w:t>
      </w:r>
      <w:r>
        <w:t xml:space="preserve"> </w:t>
      </w:r>
      <w:r>
        <w:t xml:space="preserve">and measures the subsequent</w:t>
      </w:r>
      <w:r>
        <w:t xml:space="preserve"> </w:t>
      </w:r>
      <m:oMath>
        <m:r>
          <m:rPr>
            <m:sty m:val="p"/>
          </m:rPr>
          <m:t>[</m:t>
        </m:r>
        <m:r>
          <m:rPr>
            <m:sty m:val="p"/>
          </m:rPr>
          <m:t>+</m:t>
        </m:r>
        <m:r>
          <m:t>2</m:t>
        </m:r>
        <m:r>
          <m:rPr>
            <m:sty m:val="p"/>
          </m:rPr>
          <m:t>,</m:t>
        </m:r>
        <m:r>
          <m:rPr>
            <m:sty m:val="p"/>
          </m:rPr>
          <m:t>+</m:t>
        </m:r>
        <m:r>
          <m:t>10</m:t>
        </m:r>
        <m:r>
          <m:rPr>
            <m:sty m:val="p"/>
          </m:rPr>
          <m:t>]</m:t>
        </m:r>
      </m:oMath>
      <w:r>
        <w:t xml:space="preserve"> </w:t>
      </w:r>
      <w:r>
        <w:t xml:space="preserve">drift. The pattern is monotone: the bottom quintile (biggest</w:t>
      </w:r>
      <w:r>
        <w:t xml:space="preserve"> </w:t>
      </w:r>
      <w:r>
        <w:t xml:space="preserve">losers on impact, mean CAR</w:t>
      </w:r>
      <w:r>
        <w:t xml:space="preserve"> </w:t>
      </w:r>
      <m:oMath>
        <m:r>
          <m:rPr>
            <m:sty m:val="p"/>
          </m:rPr>
          <m:t>−</m:t>
        </m:r>
        <m:r>
          <m:t>4.8</m:t>
        </m:r>
        <m:r>
          <m:rPr>
            <m:sty m:val="p"/>
          </m:rPr>
          <m:t>%</m:t>
        </m:r>
      </m:oMath>
      <w:r>
        <w:t xml:space="preserve">) drifts a further</w:t>
      </w:r>
      <w:r>
        <w:t xml:space="preserve"> </w:t>
      </w:r>
      <m:oMath>
        <m:r>
          <m:rPr>
            <m:sty m:val="p"/>
          </m:rPr>
          <m:t>−</m:t>
        </m:r>
        <m:r>
          <m:t>0.32</m:t>
        </m:r>
        <m:r>
          <m:rPr>
            <m:sty m:val="p"/>
          </m:rPr>
          <m:t>%</m:t>
        </m:r>
      </m:oMath>
      <w:r>
        <w:t xml:space="preserve"> </w:t>
      </w:r>
      <w:r>
        <w:t xml:space="preserve">(</w:t>
      </w:r>
      <m:oMath>
        <m:r>
          <m:t>t</m:t>
        </m:r>
        <m:r>
          <m:rPr>
            <m:sty m:val="p"/>
          </m:rPr>
          <m:t>=</m:t>
        </m:r>
        <m:r>
          <m:rPr>
            <m:sty m:val="p"/>
          </m:rPr>
          <m:t>−</m:t>
        </m:r>
        <m:r>
          <m:t>2.1</m:t>
        </m:r>
      </m:oMath>
      <w:r>
        <w:t xml:space="preserve">), the top quintile</w:t>
      </w:r>
      <w:r>
        <w:t xml:space="preserve"> </w:t>
      </w:r>
      <w:r>
        <w:t xml:space="preserve">(biggest winners,</w:t>
      </w:r>
      <w:r>
        <w:t xml:space="preserve"> </w:t>
      </w:r>
      <m:oMath>
        <m:r>
          <m:rPr>
            <m:sty m:val="p"/>
          </m:rPr>
          <m:t>+</m:t>
        </m:r>
        <m:r>
          <m:t>3.5</m:t>
        </m:r>
        <m:r>
          <m:rPr>
            <m:sty m:val="p"/>
          </m:rPr>
          <m:t>%</m:t>
        </m:r>
      </m:oMath>
      <w:r>
        <w:t xml:space="preserve">) drifts a further</w:t>
      </w:r>
      <w:r>
        <w:t xml:space="preserve"> </w:t>
      </w:r>
      <m:oMath>
        <m:r>
          <m:rPr>
            <m:sty m:val="p"/>
          </m:rPr>
          <m:t>+</m:t>
        </m:r>
        <m:r>
          <m:t>0.42</m:t>
        </m:r>
        <m:r>
          <m:rPr>
            <m:sty m:val="p"/>
          </m:rPr>
          <m:t>%</m:t>
        </m:r>
      </m:oMath>
      <w:r>
        <w:t xml:space="preserve">. Estimating the drift on quintile dummies</w:t>
      </w:r>
      <w:r>
        <w:t xml:space="preserve"> </w:t>
      </w:r>
      <w:r>
        <w:rPr>
          <w:i/>
          <w:iCs/>
        </w:rPr>
        <w:t xml:space="preserve">within</w:t>
      </w:r>
      <w:r>
        <w:t xml:space="preserve"> </w:t>
      </w:r>
      <w:r>
        <w:t xml:space="preserve">shock (shock fixed effects) with standard errors clustered by firm, the top-minus-bottom</w:t>
      </w:r>
      <w:r>
        <w:t xml:space="preserve"> </w:t>
      </w:r>
      <w:r>
        <w:t xml:space="preserve">spread is</w:t>
      </w:r>
      <w:r>
        <w:t xml:space="preserve"> </w:t>
      </w:r>
      <m:oMath>
        <m:r>
          <m:rPr>
            <m:sty m:val="p"/>
          </m:rPr>
          <m:t>+</m:t>
        </m:r>
        <m:r>
          <m:t>0.73</m:t>
        </m:r>
        <m:r>
          <m:rPr>
            <m:sty m:val="p"/>
          </m:rPr>
          <m:t>%</m:t>
        </m:r>
      </m:oMath>
      <w:r>
        <w:t xml:space="preserve"> </w:t>
      </w:r>
      <w:r>
        <w:t xml:space="preserve">(</w:t>
      </w:r>
      <m:oMath>
        <m:r>
          <m:t>t</m:t>
        </m:r>
        <m:r>
          <m:rPr>
            <m:sty m:val="p"/>
          </m:rPr>
          <m:t>=</m:t>
        </m:r>
        <m:r>
          <m:t>4.0</m:t>
        </m:r>
      </m:oMath>
      <w:r>
        <w:t xml:space="preserve">) and the per-step slope is</w:t>
      </w:r>
      <w:r>
        <w:t xml:space="preserve"> </w:t>
      </w:r>
      <m:oMath>
        <m:r>
          <m:rPr>
            <m:sty m:val="p"/>
          </m:rPr>
          <m:t>+</m:t>
        </m:r>
        <m:r>
          <m:t>0.19</m:t>
        </m:r>
        <m:r>
          <m:rPr>
            <m:sty m:val="p"/>
          </m:rPr>
          <m:t>%</m:t>
        </m:r>
      </m:oMath>
      <w:r>
        <w:t xml:space="preserve"> </w:t>
      </w:r>
      <w:r>
        <w:t xml:space="preserve">per quintile (</w:t>
      </w:r>
      <m:oMath>
        <m:r>
          <m:t>t</m:t>
        </m:r>
        <m:r>
          <m:rPr>
            <m:sty m:val="p"/>
          </m:rPr>
          <m:t>=</m:t>
        </m:r>
        <m:r>
          <m:t>5.0</m:t>
        </m:r>
      </m:oMath>
      <w:r>
        <w:t xml:space="preserve">); the</w:t>
      </w:r>
      <w:r>
        <w:t xml:space="preserve"> </w:t>
      </w:r>
      <w:r>
        <w:t xml:space="preserve">per-quintile</w:t>
      </w:r>
      <w:r>
        <w:t xml:space="preserve"> </w:t>
      </w:r>
      <m:oMath>
        <m:r>
          <m:t>t</m:t>
        </m:r>
      </m:oMath>
      <w:r>
        <w:t xml:space="preserve">-statistics reported in the table are the simpler</w:t>
      </w:r>
      <w:r>
        <w:t xml:space="preserve"> </w:t>
      </w:r>
      <w:r>
        <w:t xml:space="preserve">“mean drift</w:t>
      </w:r>
      <w:r>
        <w:t xml:space="preserve"> </w:t>
      </w:r>
      <m:oMath>
        <m:r>
          <m:rPr>
            <m:sty m:val="p"/>
          </m:rPr>
          <m:t>≠</m:t>
        </m:r>
        <m:r>
          <m:t>0</m:t>
        </m:r>
      </m:oMath>
      <w:r>
        <w:t xml:space="preserve">”</w:t>
      </w:r>
      <w:r>
        <w:t xml:space="preserve"> </w:t>
      </w:r>
      <w:r>
        <w:t xml:space="preserve">tests.</w:t>
      </w:r>
      <w:r>
        <w:t xml:space="preserve"> </w:t>
      </w:r>
      <w:r>
        <w:t xml:space="preserve">Firms that moved most on impact kept moving the same way—modest</w:t>
      </w:r>
      <w:r>
        <w:t xml:space="preserve"> </w:t>
      </w:r>
      <w:r>
        <w:rPr>
          <w:i/>
          <w:iCs/>
        </w:rPr>
        <w:t xml:space="preserve">under-reaction</w:t>
      </w:r>
      <w:r>
        <w:t xml:space="preserve">, not the over-reaction and reversal a contrarian model predicts. It is small</w:t>
      </w:r>
      <w:r>
        <w:t xml:space="preserve"> </w:t>
      </w:r>
      <w:r>
        <w:t xml:space="preserve">in magnitude (well under one percent over eight days) but statistically clear, and it is the pooled,</w:t>
      </w:r>
      <w:r>
        <w:t xml:space="preserve"> </w:t>
      </w:r>
      <w:r>
        <w:t xml:space="preserve">high-power counterpart to the SVB contagion signature: information from these shocks diffused over</w:t>
      </w:r>
      <w:r>
        <w:t xml:space="preserve"> </w:t>
      </w:r>
      <w:r>
        <w:t xml:space="preserve">several days rather than being fully impounded at the announcement. This nuances H3: pricing is</w:t>
      </w:r>
      <w:r>
        <w:t xml:space="preserve"> </w:t>
      </w:r>
      <w:r>
        <w:t xml:space="preserve">approximately efficient, but with a systematic drift in the direction of the news.</w:t>
      </w:r>
    </w:p>
    <w:bookmarkEnd w:id="31"/>
    <w:bookmarkStart w:id="32" w:name="Xfc3190e14772fe523dc19c78ec7ee5fb501bd13"/>
    <w:p>
      <w:pPr>
        <w:pStyle w:val="Heading4"/>
      </w:pPr>
      <w:r>
        <w:t xml:space="preserve">The SVB outlier and the mechanism behind pooled continuation.</w:t>
      </w:r>
    </w:p>
    <w:p>
      <w:pPr>
        <w:pStyle w:val="FirstParagraph"/>
      </w:pPr>
      <w:r>
        <w:t xml:space="preserve">The two propagation results</w:t>
      </w:r>
      <w:r>
        <w:t xml:space="preserve"> </w:t>
      </w:r>
      <w:r>
        <w:t xml:space="preserve">are complementary, not contradictory. The random-effects analysis says the</w:t>
      </w:r>
      <w:r>
        <w:t xml:space="preserve"> </w:t>
      </w:r>
      <w:r>
        <w:rPr>
          <w:i/>
          <w:iCs/>
        </w:rPr>
        <w:t xml:space="preserve">average</w:t>
      </w:r>
      <w:r>
        <w:t xml:space="preserve"> </w:t>
      </w:r>
      <w:r>
        <w:t xml:space="preserve">shock has</w:t>
      </w:r>
      <w:r>
        <w:t xml:space="preserve"> </w:t>
      </w:r>
      <w:r>
        <w:t xml:space="preserve">no reliable drift while the shocks differ enormously (</w:t>
      </w:r>
      <m:oMath>
        <m:sSup>
          <m:e>
            <m:r>
              <m:t>I</m:t>
            </m:r>
          </m:e>
          <m:sup>
            <m:r>
              <m:t>2</m:t>
            </m:r>
          </m:sup>
        </m:sSup>
        <m:r>
          <m:rPr>
            <m:sty m:val="p"/>
          </m:rPr>
          <m:t>=</m:t>
        </m:r>
        <m:r>
          <m:t>99</m:t>
        </m:r>
        <m:r>
          <m:rPr>
            <m:sty m:val="p"/>
          </m:rPr>
          <m:t>%</m:t>
        </m:r>
      </m:oMath>
      <w:r>
        <w:t xml:space="preserve">); the pooled quintile test says that</w:t>
      </w:r>
      <w:r>
        <w:t xml:space="preserve"> </w:t>
      </w:r>
      <w:r>
        <w:rPr>
          <w:i/>
          <w:iCs/>
        </w:rPr>
        <w:t xml:space="preserve">within</w:t>
      </w:r>
      <w:r>
        <w:t xml:space="preserve"> </w:t>
      </w:r>
      <w:r>
        <w:t xml:space="preserve">shocks, the firms that moved most on impact tended to keep moving. The reconciliation is</w:t>
      </w:r>
      <w:r>
        <w:t xml:space="preserve"> </w:t>
      </w:r>
      <w:r>
        <w:t xml:space="preserve">that the continuation is concentrated in the shocks with real informational content that diffuses</w:t>
      </w:r>
      <w:r>
        <w:t xml:space="preserve"> </w:t>
      </w:r>
      <w:r>
        <w:t xml:space="preserve">slowly—most visibly SVB, where the impact and the drift reinforced each other (</w:t>
      </w:r>
      <m:oMath>
        <m:r>
          <m:rPr>
            <m:sty m:val="p"/>
          </m:rPr>
          <m:t>+</m:t>
        </m:r>
        <m:r>
          <m:t>0.42</m:t>
        </m:r>
      </m:oMath>
      <w:r>
        <w:t xml:space="preserve"> </w:t>
      </w:r>
      <w:r>
        <w:t xml:space="preserve">reversal</w:t>
      </w:r>
      <w:r>
        <w:t xml:space="preserve"> </w:t>
      </w:r>
      <w:r>
        <w:t xml:space="preserve">correlation) as the regional-bank run propagated firm by firm over the following days (a single-shock pattern we</w:t>
      </w:r>
      <w:r>
        <w:t xml:space="preserve"> </w:t>
      </w:r>
      <w:r>
        <w:t xml:space="preserve">read descriptively, not as a formally tested cross-shock effect). This is the</w:t>
      </w:r>
      <w:r>
        <w:t xml:space="preserve"> </w:t>
      </w:r>
      <w:r>
        <w:t xml:space="preserve">contagion reading: a banking shock is not impounded in a single announcement return because the</w:t>
      </w:r>
      <w:r>
        <w:t xml:space="preserve"> </w:t>
      </w:r>
      <w:r>
        <w:t xml:space="preserve">identity of the next vulnerable institution is revealed gradually. Technology and trade shocks, whose</w:t>
      </w:r>
      <w:r>
        <w:t xml:space="preserve"> </w:t>
      </w:r>
      <w:r>
        <w:t xml:space="preserve">content is closer to a one-shot repricing, contribute far less to the pooled continuation. The pooled</w:t>
      </w:r>
      <w:r>
        <w:t xml:space="preserve"> </w:t>
      </w:r>
      <w:r>
        <w:t xml:space="preserve">test thus aggregates a genuine but shock-specific under-reaction rather than manufacturing one from</w:t>
      </w:r>
      <w:r>
        <w:t xml:space="preserve"> </w:t>
      </w:r>
      <w:r>
        <w:t xml:space="preserve">noise; and because it is estimated on</w:t>
      </w:r>
      <w:r>
        <w:t xml:space="preserve"> </w:t>
      </w:r>
      <m:oMath>
        <m:r>
          <m:rPr>
            <m:sty m:val="p"/>
          </m:rPr>
          <m:t>∼</m:t>
        </m:r>
      </m:oMath>
      <w:r>
        <w:t xml:space="preserve">19</w:t>
      </w:r>
      <w:r>
        <w:t xml:space="preserve">,</w:t>
      </w:r>
      <w:r>
        <w:t xml:space="preserve">000 observations with firm-clustered errors, it has</w:t>
      </w:r>
      <w:r>
        <w:t xml:space="preserve"> </w:t>
      </w:r>
      <w:r>
        <w:t xml:space="preserve">the power the per-shock reversal correlations lack.</w:t>
      </w:r>
    </w:p>
    <w:bookmarkEnd w:id="32"/>
    <w:bookmarkStart w:id="33" w:name="size-subsamples."/>
    <w:p>
      <w:pPr>
        <w:pStyle w:val="Heading4"/>
      </w:pPr>
      <w:r>
        <w:t xml:space="preserve">Size subsamples.</w:t>
      </w:r>
    </w:p>
    <w:p>
      <w:pPr>
        <w:pStyle w:val="FirstParagraph"/>
      </w:pPr>
      <w:r>
        <w:t xml:space="preserve">Table </w:t>
      </w:r>
      <w:hyperlink w:anchor="tab:sizesplit">
        <w:r>
          <w:rPr>
            <w:rStyle w:val="Hyperlink"/>
          </w:rPr>
          <w:t xml:space="preserve">10</w:t>
        </w:r>
      </w:hyperlink>
      <w:r>
        <w:t xml:space="preserve"> </w:t>
      </w:r>
      <w:r>
        <w:t xml:space="preserve">splits firms into within-shock size</w:t>
      </w:r>
      <w:r>
        <w:t xml:space="preserve"> </w:t>
      </w:r>
      <w:r>
        <w:t xml:space="preserve">terciles. Dispersion is largest for mid-cap firms (</w:t>
      </w:r>
      <m:oMath>
        <m:r>
          <m:t>4.3</m:t>
        </m:r>
        <m:r>
          <m:rPr>
            <m:sty m:val="p"/>
          </m:rPr>
          <m:t>%</m:t>
        </m:r>
      </m:oMath>
      <w:r>
        <w:t xml:space="preserve">) and smallest for large caps (</w:t>
      </w:r>
      <m:oMath>
        <m:r>
          <m:t>2.9</m:t>
        </m:r>
        <m:r>
          <m:rPr>
            <m:sty m:val="p"/>
          </m:rPr>
          <m:t>%</m:t>
        </m:r>
      </m:oMath>
      <w:r>
        <w:t xml:space="preserve">),</w:t>
      </w:r>
      <w:r>
        <w:t xml:space="preserve"> </w:t>
      </w:r>
      <w:r>
        <w:t xml:space="preserve">and the continuation drift is slightly stronger in the tails than the middle; the reversal</w:t>
      </w:r>
      <w:r>
        <w:t xml:space="preserve"> </w:t>
      </w:r>
      <w:r>
        <w:t xml:space="preserve">correlations are small in every tercile. The differentiation and continuation patterns are not</w:t>
      </w:r>
      <w:r>
        <w:t xml:space="preserve"> </w:t>
      </w:r>
      <w:r>
        <w:t xml:space="preserve">confined to the smallest or largest firms.</w:t>
      </w:r>
    </w:p>
    <w:bookmarkEnd w:id="33"/>
    <w:bookmarkEnd w:id="34"/>
    <w:bookmarkStart w:id="35" w:name="sec:power"/>
    <w:p>
      <w:pPr>
        <w:pStyle w:val="Heading1"/>
      </w:pPr>
      <w:r>
        <w:t xml:space="preserve">Power: What the Atlas Can and Cannot Say</w:t>
      </w:r>
    </w:p>
    <w:p>
      <w:pPr>
        <w:pStyle w:val="FirstParagraph"/>
      </w:pPr>
      <w:r>
        <w:t xml:space="preserve">A comparative atlas is only as credible as its account of its own limits. Two limits matter.</w:t>
      </w:r>
      <w:r>
        <w:t xml:space="preserve"> </w:t>
      </w:r>
      <w:r>
        <w:t xml:space="preserve">First, at the</w:t>
      </w:r>
      <w:r>
        <w:t xml:space="preserve"> </w:t>
      </w:r>
      <w:r>
        <w:rPr>
          <w:i/>
          <w:iCs/>
        </w:rPr>
        <w:t xml:space="preserve">firm</w:t>
      </w:r>
      <w:r>
        <w:t xml:space="preserve"> </w:t>
      </w:r>
      <w:r>
        <w:t xml:space="preserve">level the design is very well powered: with</w:t>
      </w:r>
      <w:r>
        <w:t xml:space="preserve"> </w:t>
      </w:r>
      <m:oMath>
        <m:r>
          <m:rPr>
            <m:sty m:val="p"/>
          </m:rPr>
          <m:t>∼</m:t>
        </m:r>
      </m:oMath>
      <w:r>
        <w:t xml:space="preserve">1</w:t>
      </w:r>
      <w:r>
        <w:t xml:space="preserve">,</w:t>
      </w:r>
      <w:r>
        <w:t xml:space="preserve">900 firms per shock,</w:t>
      </w:r>
      <w:r>
        <w:t xml:space="preserve"> </w:t>
      </w:r>
      <w:r>
        <w:t xml:space="preserve">the minimum detectable mean CAR at</w:t>
      </w:r>
      <w:r>
        <w:t xml:space="preserve"> </w:t>
      </w:r>
      <m:oMath>
        <m:r>
          <m:t>80</m:t>
        </m:r>
        <m:r>
          <m:rPr>
            <m:sty m:val="p"/>
          </m:rPr>
          <m:t>%</m:t>
        </m:r>
      </m:oMath>
      <w:r>
        <w:t xml:space="preserve"> </w:t>
      </w:r>
      <w:r>
        <w:t xml:space="preserve">power is</w:t>
      </w:r>
      <w:r>
        <w:t xml:space="preserve"> </w:t>
      </w:r>
      <m:oMath>
        <m:r>
          <m:t>0.16</m:t>
        </m:r>
      </m:oMath>
      <w:r>
        <w:t xml:space="preserve">–</w:t>
      </w:r>
      <m:oMath>
        <m:r>
          <m:t>0.37</m:t>
        </m:r>
      </m:oMath>
      <w:r>
        <w:t xml:space="preserve"> </w:t>
      </w:r>
      <w:r>
        <w:t xml:space="preserve">percentage points</w:t>
      </w:r>
      <w:r>
        <w:t xml:space="preserve"> </w:t>
      </w:r>
      <w:r>
        <w:t xml:space="preserve">(Table </w:t>
      </w:r>
      <w:hyperlink w:anchor="tab:power">
        <w:r>
          <w:rPr>
            <w:rStyle w:val="Hyperlink"/>
          </w:rPr>
          <w:t xml:space="preserve">13</w:t>
        </w:r>
      </w:hyperlink>
      <w:r>
        <w:t xml:space="preserve">), so the near-zero mean announcement CARs are genuine, not underpowered. This</w:t>
      </w:r>
      <w:r>
        <w:t xml:space="preserve"> </w:t>
      </w:r>
      <w:r>
        <w:t xml:space="preserve">is why we build the paper on dispersion and pooled tests rather than on mean CARs. Second, at the</w:t>
      </w:r>
      <w:r>
        <w:t xml:space="preserve"> </w:t>
      </w:r>
      <w:r>
        <w:rPr>
          <w:i/>
          <w:iCs/>
        </w:rPr>
        <w:t xml:space="preserve">cross-shock</w:t>
      </w:r>
      <w:r>
        <w:t xml:space="preserve"> </w:t>
      </w:r>
      <w:r>
        <w:t xml:space="preserve">level the design is weak:</w:t>
      </w:r>
      <w:r>
        <w:t xml:space="preserve"> </w:t>
      </w:r>
      <m:oMath>
        <m:r>
          <m:t>n</m:t>
        </m:r>
        <m:r>
          <m:rPr>
            <m:sty m:val="p"/>
          </m:rPr>
          <m:t>=</m:t>
        </m:r>
        <m:r>
          <m:t>10</m:t>
        </m:r>
      </m:oMath>
      <w:r>
        <w:t xml:space="preserve"> </w:t>
      </w:r>
      <w:r>
        <w:t xml:space="preserve">gives</w:t>
      </w:r>
      <w:r>
        <w:t xml:space="preserve"> </w:t>
      </w:r>
      <m:oMath>
        <m:r>
          <m:t>80</m:t>
        </m:r>
        <m:r>
          <m:rPr>
            <m:sty m:val="p"/>
          </m:rPr>
          <m:t>%</m:t>
        </m:r>
      </m:oMath>
      <w:r>
        <w:t xml:space="preserve"> </w:t>
      </w:r>
      <w:r>
        <w:t xml:space="preserve">power only for correlations above</w:t>
      </w:r>
      <w:r>
        <w:t xml:space="preserve"> </w:t>
      </w:r>
      <m:oMath>
        <m:r>
          <m:t>0.78</m:t>
        </m:r>
      </m:oMath>
      <w:r>
        <w:t xml:space="preserve">, which is why the</w:t>
      </w:r>
      <w:r>
        <w:t xml:space="preserve"> </w:t>
      </w:r>
      <m:oMath>
        <m:r>
          <m:t>0.69</m:t>
        </m:r>
      </m:oMath>
      <w:r>
        <w:t xml:space="preserve"> </w:t>
      </w:r>
      <w:r>
        <w:t xml:space="preserve">scaling correlation is reported as suggestive and why the family</w:t>
      </w:r>
      <w:r>
        <w:t xml:space="preserve"> </w:t>
      </w:r>
      <w:r>
        <w:t xml:space="preserve">comparison (Table </w:t>
      </w:r>
      <w:hyperlink w:anchor="tab:typebucket">
        <w:r>
          <w:rPr>
            <w:rStyle w:val="Hyperlink"/>
          </w:rPr>
          <w:t xml:space="preserve">11</w:t>
        </w:r>
      </w:hyperlink>
      <w:r>
        <w:t xml:space="preserve">) is descriptive. The atlas can make sharp firm-level and</w:t>
      </w:r>
      <w:r>
        <w:t xml:space="preserve"> </w:t>
      </w:r>
      <w:r>
        <w:t xml:space="preserve">pooled statements; it cannot, with ten shocks, make sharp statements about how shock-level</w:t>
      </w:r>
      <w:r>
        <w:t xml:space="preserve"> </w:t>
      </w:r>
      <w:r>
        <w:t xml:space="preserve">attributes trade off. Adding shocks—the atlas is built to accept them one column at a time—is the</w:t>
      </w:r>
      <w:r>
        <w:t xml:space="preserve"> </w:t>
      </w:r>
      <w:r>
        <w:t xml:space="preserve">direct remedy.</w:t>
      </w:r>
    </w:p>
    <w:bookmarkEnd w:id="35"/>
    <w:bookmarkStart w:id="41" w:name="sec:threats"/>
    <w:p>
      <w:pPr>
        <w:pStyle w:val="Heading1"/>
      </w:pPr>
      <w:r>
        <w:t xml:space="preserve">Discussion and Threats to Validity</w:t>
      </w:r>
    </w:p>
    <w:bookmarkStart w:id="36" w:name="X40c231187a67da19888f7fefd9a5f282d462d8f"/>
    <w:p>
      <w:pPr>
        <w:pStyle w:val="Heading4"/>
      </w:pPr>
      <w:r>
        <w:t xml:space="preserve">Why the mean CAR is uninformative and the dispersion is not.</w:t>
      </w:r>
    </w:p>
    <w:p>
      <w:pPr>
        <w:pStyle w:val="FirstParagraph"/>
      </w:pPr>
      <w:r>
        <w:t xml:space="preserve">A recurring temptation in</w:t>
      </w:r>
      <w:r>
        <w:t xml:space="preserve"> </w:t>
      </w:r>
      <w:r>
        <w:t xml:space="preserve">event studies of macro shocks is to report the mean abnormal return and its</w:t>
      </w:r>
      <w:r>
        <w:t xml:space="preserve"> </w:t>
      </w:r>
      <m:oMath>
        <m:r>
          <m:t>t</m:t>
        </m:r>
      </m:oMath>
      <w:r>
        <w:t xml:space="preserve">-statistic. Here that</w:t>
      </w:r>
      <w:r>
        <w:t xml:space="preserve"> </w:t>
      </w:r>
      <w:r>
        <w:t xml:space="preserve">statistic is close to zero</w:t>
      </w:r>
      <w:r>
        <w:t xml:space="preserve"> </w:t>
      </w:r>
      <w:r>
        <w:rPr>
          <w:i/>
          <w:iCs/>
        </w:rPr>
        <w:t xml:space="preserve">by construction</w:t>
      </w:r>
      <w:r>
        <w:t xml:space="preserve">: the market model subtracts the benchmark, and a</w:t>
      </w:r>
      <w:r>
        <w:t xml:space="preserve"> </w:t>
      </w:r>
      <w:r>
        <w:t xml:space="preserve">market-wide shock is largely the benchmark. What survives the benchmark is the cross-sectional</w:t>
      </w:r>
      <w:r>
        <w:t xml:space="preserve"> </w:t>
      </w:r>
      <w:r>
        <w:rPr>
          <w:i/>
          <w:iCs/>
        </w:rPr>
        <w:t xml:space="preserve">spread</w:t>
      </w:r>
      <w:r>
        <w:t xml:space="preserve">—how differently firms loaded on the same news—and that is exactly the object the</w:t>
      </w:r>
      <w:r>
        <w:t xml:space="preserve"> </w:t>
      </w:r>
      <w:r>
        <w:t xml:space="preserve">differentiation axis measures. The placebo test in Table </w:t>
      </w:r>
      <w:hyperlink w:anchor="tab:diff">
        <w:r>
          <w:rPr>
            <w:rStyle w:val="Hyperlink"/>
          </w:rPr>
          <w:t xml:space="preserve">4</w:t>
        </w:r>
      </w:hyperlink>
      <w:r>
        <w:t xml:space="preserve"> </w:t>
      </w:r>
      <w:r>
        <w:t xml:space="preserve">disciplines this reading:</w:t>
      </w:r>
      <w:r>
        <w:t xml:space="preserve"> </w:t>
      </w:r>
      <w:r>
        <w:t xml:space="preserve">elevated spread could in principle be ordinary volatility, so we benchmark each event’s spread</w:t>
      </w:r>
      <w:r>
        <w:t xml:space="preserve"> </w:t>
      </w:r>
      <w:r>
        <w:t xml:space="preserve">against the spread the same firms exhibit on hundreds of ordinary days. That a microstructure rule</w:t>
      </w:r>
      <w:r>
        <w:t xml:space="preserve"> </w:t>
      </w:r>
      <w:r>
        <w:t xml:space="preserve">(the tick) and a trade shock (the tariff) both clear the placebo bar, while procedural rules do not,</w:t>
      </w:r>
      <w:r>
        <w:t xml:space="preserve"> </w:t>
      </w:r>
      <w:r>
        <w:t xml:space="preserve">tells us the atlas is picking up genuine reallocation, not calendar noise.</w:t>
      </w:r>
    </w:p>
    <w:bookmarkEnd w:id="36"/>
    <w:bookmarkStart w:id="37" w:name="X5e6f185c37ced5a90f22c3fd01694cceaa44f1e"/>
    <w:p>
      <w:pPr>
        <w:pStyle w:val="Heading4"/>
      </w:pPr>
      <w:r>
        <w:t xml:space="preserve">Event-induced variance and cross-sectional correlation.</w:t>
      </w:r>
    </w:p>
    <w:p>
      <w:pPr>
        <w:pStyle w:val="FirstParagraph"/>
      </w:pPr>
      <w:r>
        <w:t xml:space="preserve">The two classic threats to</w:t>
      </w:r>
      <w:r>
        <w:t xml:space="preserve"> </w:t>
      </w:r>
      <w:r>
        <w:t xml:space="preserve">short-horizon event studies</w:t>
      </w:r>
      <w:r>
        <w:t xml:space="preserve"> </w:t>
      </w:r>
      <w:r>
        <w:t xml:space="preserve"> </w:t>
      </w:r>
      <w:r>
        <w:t xml:space="preserve">are present here in acute form: a policy</w:t>
      </w:r>
      <w:r>
        <w:t xml:space="preserve"> </w:t>
      </w:r>
      <w:r>
        <w:t xml:space="preserve">shock mechanically raises return variance and induces strong cross-sectional correlation in abnormal</w:t>
      </w:r>
      <w:r>
        <w:t xml:space="preserve"> </w:t>
      </w:r>
      <w:r>
        <w:t xml:space="preserve">returns. We do not fight these with parametric corrections but design around them. The event-induced</w:t>
      </w:r>
      <w:r>
        <w:t xml:space="preserve"> </w:t>
      </w:r>
      <w:r>
        <w:t xml:space="preserve">variance is not a nuisance but our</w:t>
      </w:r>
      <w:r>
        <w:t xml:space="preserve"> </w:t>
      </w:r>
      <w:r>
        <w:rPr>
          <w:i/>
          <w:iCs/>
        </w:rPr>
        <w:t xml:space="preserve">signal</w:t>
      </w:r>
      <w:r>
        <w:t xml:space="preserve">—it is precisely the differentiation we measure,</w:t>
      </w:r>
      <w:r>
        <w:t xml:space="preserve"> </w:t>
      </w:r>
      <w:r>
        <w:t xml:space="preserve">and the placebo distribution provides its correct null. The cross-sectional correlation means the</w:t>
      </w:r>
      <w:r>
        <w:t xml:space="preserve"> </w:t>
      </w:r>
      <w:r>
        <w:t xml:space="preserve">per-shock cross-section is effectively far smaller than its</w:t>
      </w:r>
      <w:r>
        <w:t xml:space="preserve"> </w:t>
      </w:r>
      <m:oMath>
        <m:r>
          <m:rPr>
            <m:sty m:val="p"/>
          </m:rPr>
          <m:t>∼</m:t>
        </m:r>
      </m:oMath>
      <w:r>
        <w:t xml:space="preserve">1</w:t>
      </w:r>
      <w:r>
        <w:t xml:space="preserve">,</w:t>
      </w:r>
      <w:r>
        <w:t xml:space="preserve">900 firms suggest, which is why</w:t>
      </w:r>
      <w:r>
        <w:t xml:space="preserve"> </w:t>
      </w:r>
      <w:r>
        <w:t xml:space="preserve">we never rest a conclusion on a single shock’s cross-sectional</w:t>
      </w:r>
      <w:r>
        <w:t xml:space="preserve"> </w:t>
      </w:r>
      <m:oMath>
        <m:r>
          <m:t>t</m:t>
        </m:r>
      </m:oMath>
      <w:r>
        <w:t xml:space="preserve">-statistic and instead lean on the</w:t>
      </w:r>
      <w:r>
        <w:t xml:space="preserve"> </w:t>
      </w:r>
      <w:r>
        <w:t xml:space="preserve">pooled firm</w:t>
      </w:r>
      <m:oMath>
        <m:r>
          <m:rPr>
            <m:sty m:val="p"/>
          </m:rPr>
          <m:t>×</m:t>
        </m:r>
      </m:oMath>
      <w:r>
        <w:t xml:space="preserve">shock tests with firm-clustered errors and on design-based resampling.</w:t>
      </w:r>
    </w:p>
    <w:bookmarkEnd w:id="37"/>
    <w:bookmarkStart w:id="38" w:name="X191e2bbc9d6fe1b50172342b213ddfffe78d13a"/>
    <w:p>
      <w:pPr>
        <w:pStyle w:val="Heading4"/>
      </w:pPr>
      <w:r>
        <w:t xml:space="preserve">What the single event date does and does not cost us.</w:t>
      </w:r>
    </w:p>
    <w:p>
      <w:pPr>
        <w:pStyle w:val="FirstParagraph"/>
      </w:pPr>
      <w:r>
        <w:t xml:space="preserve">We use one calendar date per shock.</w:t>
      </w:r>
      <w:r>
        <w:t xml:space="preserve"> </w:t>
      </w:r>
      <w:r>
        <w:t xml:space="preserve">For the differentiation and propagation axes this is defensible: a one-day timing error attenuates</w:t>
      </w:r>
      <w:r>
        <w:t xml:space="preserve"> </w:t>
      </w:r>
      <w:r>
        <w:t xml:space="preserve">measured dispersion and drift toward zero, so our rejections (dispersion above placebo; monotone</w:t>
      </w:r>
      <w:r>
        <w:t xml:space="preserve"> </w:t>
      </w:r>
      <w:r>
        <w:t xml:space="preserve">drift) are conservative to date misspecification. Where timing matters most is</w:t>
      </w:r>
      <w:r>
        <w:t xml:space="preserve"> </w:t>
      </w:r>
      <w:r>
        <w:rPr>
          <w:i/>
          <w:iCs/>
        </w:rPr>
        <w:t xml:space="preserve">anticipation</w:t>
      </w:r>
      <w:r>
        <w:t xml:space="preserve">:</w:t>
      </w:r>
      <w:r>
        <w:t xml:space="preserve"> </w:t>
      </w:r>
      <w:r>
        <w:t xml:space="preserve">distinguishing pre-announcement leakage from noise requires knowing whether the event was pre- or</w:t>
      </w:r>
      <w:r>
        <w:t xml:space="preserve"> </w:t>
      </w:r>
      <w:r>
        <w:t xml:space="preserve">post-close and announcement versus effective. This is exactly the judgment the cohort reserves, and</w:t>
      </w:r>
      <w:r>
        <w:t xml:space="preserve"> </w:t>
      </w:r>
      <w:r>
        <w:t xml:space="preserve">it is why we decline to interpret the slightly negative average pre-window CAR</w:t>
      </w:r>
      <w:r>
        <w:t xml:space="preserve"> </w:t>
      </w:r>
      <w:r>
        <w:t xml:space="preserve">(Table </w:t>
      </w:r>
      <w:hyperlink w:anchor="tab:metare">
        <w:r>
          <w:rPr>
            <w:rStyle w:val="Hyperlink"/>
          </w:rPr>
          <w:t xml:space="preserve">8</w:t>
        </w:r>
      </w:hyperlink>
      <w:r>
        <w:t xml:space="preserve">) as leakage.</w:t>
      </w:r>
    </w:p>
    <w:bookmarkEnd w:id="38"/>
    <w:bookmarkStart w:id="39" w:name="raw-cars."/>
    <w:p>
      <w:pPr>
        <w:pStyle w:val="Heading4"/>
      </w:pPr>
      <w:r>
        <w:t xml:space="preserve">Raw CARs.</w:t>
      </w:r>
    </w:p>
    <w:p>
      <w:pPr>
        <w:pStyle w:val="FirstParagraph"/>
      </w:pPr>
      <w:r>
        <w:t xml:space="preserve">We report CARs without winsorizing; a handful of firm-days carry extreme</w:t>
      </w:r>
      <w:r>
        <w:t xml:space="preserve"> </w:t>
      </w:r>
      <w:r>
        <w:t xml:space="preserve">two-day returns. Because our inferences rest on cross-sectional</w:t>
      </w:r>
      <w:r>
        <w:t xml:space="preserve"> </w:t>
      </w:r>
      <w:r>
        <w:rPr>
          <w:i/>
          <w:iCs/>
        </w:rPr>
        <w:t xml:space="preserve">dispersion</w:t>
      </w:r>
      <w:r>
        <w:t xml:space="preserve"> </w:t>
      </w:r>
      <w:r>
        <w:t xml:space="preserve">benchmarked to a</w:t>
      </w:r>
      <w:r>
        <w:t xml:space="preserve"> </w:t>
      </w:r>
      <w:r>
        <w:t xml:space="preserve">placebo, on rank statistics, and on pooled regressions with firm-clustered errors—none of which a</w:t>
      </w:r>
      <w:r>
        <w:t xml:space="preserve"> </w:t>
      </w:r>
      <w:r>
        <w:t xml:space="preserve">few tails can drive—trimming would not change the conclusions, but readers should note the raw</w:t>
      </w:r>
      <w:r>
        <w:t xml:space="preserve"> </w:t>
      </w:r>
      <w:r>
        <w:t xml:space="preserve">scale.</w:t>
      </w:r>
    </w:p>
    <w:bookmarkEnd w:id="39"/>
    <w:bookmarkStart w:id="40" w:name="sample-and-generalizability."/>
    <w:p>
      <w:pPr>
        <w:pStyle w:val="Heading4"/>
      </w:pPr>
      <w:r>
        <w:t xml:space="preserve">Sample and generalizability.</w:t>
      </w:r>
    </w:p>
    <w:p>
      <w:pPr>
        <w:pStyle w:val="FirstParagraph"/>
      </w:pPr>
      <w:r>
        <w:t xml:space="preserve">The atlas covers the</w:t>
      </w:r>
      <w:r>
        <w:t xml:space="preserve"> </w:t>
      </w:r>
      <m:oMath>
        <m:r>
          <m:rPr>
            <m:sty m:val="p"/>
          </m:rPr>
          <m:t>∼</m:t>
        </m:r>
      </m:oMath>
      <w:r>
        <w:t xml:space="preserve">2</w:t>
      </w:r>
      <w:r>
        <w:t xml:space="preserve">,</w:t>
      </w:r>
      <w:r>
        <w:t xml:space="preserve">000 largest U.S. firms, so it</w:t>
      </w:r>
      <w:r>
        <w:t xml:space="preserve"> </w:t>
      </w:r>
      <w:r>
        <w:t xml:space="preserve">speaks to how large-cap value was reallocated, not to micro-caps or private markets. The ten shocks</w:t>
      </w:r>
      <w:r>
        <w:t xml:space="preserve"> </w:t>
      </w:r>
      <w:r>
        <w:t xml:space="preserve">are a convenience sample of salient 2022–2025 events, not a random draw, so cross-shock statistics</w:t>
      </w:r>
      <w:r>
        <w:t xml:space="preserve"> </w:t>
      </w:r>
      <w:r>
        <w:t xml:space="preserve">describe this wave rather than policy shocks in general. Both limitations point the same way: the</w:t>
      </w:r>
      <w:r>
        <w:t xml:space="preserve"> </w:t>
      </w:r>
      <w:r>
        <w:t xml:space="preserve">atlas is a scaffold whose scientific value grows as the cohort adds shocks and firm-level exposure,</w:t>
      </w:r>
      <w:r>
        <w:t xml:space="preserve"> </w:t>
      </w:r>
      <w:r>
        <w:t xml:space="preserve">and whose present contribution is the disciplined, honest measurement of the wave we have.</w:t>
      </w:r>
    </w:p>
    <w:bookmarkEnd w:id="40"/>
    <w:bookmarkEnd w:id="41"/>
    <w:bookmarkStart w:id="71" w:name="sec:concl"/>
    <w:p>
      <w:pPr>
        <w:pStyle w:val="Heading1"/>
      </w:pPr>
      <w:r>
        <w:t xml:space="preserve">Conclusion</w:t>
      </w:r>
    </w:p>
    <w:p>
      <w:pPr>
        <w:pStyle w:val="FirstParagraph"/>
      </w:pPr>
      <w:r>
        <w:t xml:space="preserve">Measured on strictly common footing, the 2022–2025 shocks differentiate firms to sharply different</w:t>
      </w:r>
      <w:r>
        <w:t xml:space="preserve"> </w:t>
      </w:r>
      <w:r>
        <w:t xml:space="preserve">degrees, and where they differentiate—the tariff, the Reg-NMS tick, the SVB collapse—they do so</w:t>
      </w:r>
      <w:r>
        <w:t xml:space="preserve"> </w:t>
      </w:r>
      <w:r>
        <w:t xml:space="preserve">through firm-specific, idiosyncratic repricing rather than a re-pricing of systematic risk. The</w:t>
      </w:r>
      <w:r>
        <w:t xml:space="preserve"> </w:t>
      </w:r>
      <w:r>
        <w:t xml:space="preserve">market’s reaction is approximately efficient but carries a systematic sliver of under-reaction,</w:t>
      </w:r>
      <w:r>
        <w:t xml:space="preserve"> </w:t>
      </w:r>
      <w:r>
        <w:t xml:space="preserve">strongest around the banking-contagion shock. We are explicit that the ten-shock cross-section</w:t>
      </w:r>
      <w:r>
        <w:t xml:space="preserve"> </w:t>
      </w:r>
      <w:r>
        <w:t xml:space="preserve">cannot support the strong</w:t>
      </w:r>
      <w:r>
        <w:t xml:space="preserve"> </w:t>
      </w:r>
      <w:r>
        <w:t xml:space="preserve">“differentiation scales with size”</w:t>
      </w:r>
      <w:r>
        <w:t xml:space="preserve"> </w:t>
      </w:r>
      <w:r>
        <w:t xml:space="preserve">claim of the original draft: its</w:t>
      </w:r>
      <w:r>
        <w:t xml:space="preserve"> </w:t>
      </w:r>
      <m:oMath>
        <m:r>
          <m:t>0.69</m:t>
        </m:r>
      </m:oMath>
      <w:r>
        <w:t xml:space="preserve"> </w:t>
      </w:r>
      <w:r>
        <w:t xml:space="preserve">correlation is one influential shock away from</w:t>
      </w:r>
      <w:r>
        <w:t xml:space="preserve"> </w:t>
      </w:r>
      <m:oMath>
        <m:r>
          <m:t>0.26</m:t>
        </m:r>
      </m:oMath>
      <w:r>
        <w:t xml:space="preserve">, its bootstrap interval includes zero,</w:t>
      </w:r>
      <w:r>
        <w:t xml:space="preserve"> </w:t>
      </w:r>
      <w:r>
        <w:t xml:space="preserve">and the design is underpowered for cross-shock correlations below</w:t>
      </w:r>
      <w:r>
        <w:t xml:space="preserve"> </w:t>
      </w:r>
      <m:oMath>
        <m:r>
          <m:t>0.78</m:t>
        </m:r>
      </m:oMath>
      <w:r>
        <w:t xml:space="preserve">. What survives is more</w:t>
      </w:r>
      <w:r>
        <w:t xml:space="preserve"> </w:t>
      </w:r>
      <w:r>
        <w:t xml:space="preserve">useful because it is testable: differentiation is real and idiosyncratic, and generic observable</w:t>
      </w:r>
      <w:r>
        <w:t xml:space="preserve"> </w:t>
      </w:r>
      <w:r>
        <w:t xml:space="preserve">traits explain only about a fifth of it.</w:t>
      </w:r>
    </w:p>
    <w:p>
      <w:pPr>
        <w:pStyle w:val="BodyText"/>
      </w:pPr>
      <w:r>
        <w:t xml:space="preserve">The remaining four-fifths is where the cohort’s reserved contribution lives. Each of the ten shocks</w:t>
      </w:r>
      <w:r>
        <w:t xml:space="preserve"> </w:t>
      </w:r>
      <w:r>
        <w:t xml:space="preserve">is owned by the student whose individual paper studies it, and each of those papers produces a</w:t>
      </w:r>
      <w:r>
        <w:t xml:space="preserve"> </w:t>
      </w:r>
      <w:r>
        <w:rPr>
          <w:i/>
          <w:iCs/>
        </w:rPr>
        <w:t xml:space="preserve">named</w:t>
      </w:r>
      <w:r>
        <w:t xml:space="preserve"> </w:t>
      </w:r>
      <w:r>
        <w:t xml:space="preserve">firm-level exposure measure—import-input intensity for the tariffs, uninsured-deposit</w:t>
      </w:r>
      <w:r>
        <w:t xml:space="preserve"> </w:t>
      </w:r>
      <w:r>
        <w:t xml:space="preserve">and held-to-maturity exposure for SVB, AI-exposure for the language-model shocks, tick-constraint</w:t>
      </w:r>
      <w:r>
        <w:t xml:space="preserve"> </w:t>
      </w:r>
      <w:r>
        <w:t xml:space="preserve">eligibility for the Reg-NMS tick, and so on—together with the exact intraday event time. Assembling</w:t>
      </w:r>
      <w:r>
        <w:t xml:space="preserve"> </w:t>
      </w:r>
      <w:r>
        <w:t xml:space="preserve">these into a permno</w:t>
      </w:r>
      <m:oMath>
        <m:r>
          <m:rPr>
            <m:sty m:val="p"/>
          </m:rPr>
          <m:t>×</m:t>
        </m:r>
      </m:oMath>
      <w:r>
        <w:t xml:space="preserve">shock crosswalk turns the atlas’s two central open questions into direct</w:t>
      </w:r>
      <w:r>
        <w:t xml:space="preserve"> </w:t>
      </w:r>
      <w:r>
        <w:t xml:space="preserve">tests: does named exposure explain the idiosyncratic dispersion that beta and size cannot, and was</w:t>
      </w:r>
      <w:r>
        <w:t xml:space="preserve"> </w:t>
      </w:r>
      <w:r>
        <w:t xml:space="preserve">that exposure priced</w:t>
      </w:r>
      <w:r>
        <w:t xml:space="preserve"> </w:t>
      </w:r>
      <w:r>
        <w:rPr>
          <w:i/>
          <w:iCs/>
        </w:rPr>
        <w:t xml:space="preserve">before</w:t>
      </w:r>
      <w:r>
        <w:t xml:space="preserve"> </w:t>
      </w:r>
      <w:r>
        <w:t xml:space="preserve">the announcement? Those tests—not another robustness check on</w:t>
      </w:r>
      <w:r>
        <w:t xml:space="preserve"> </w:t>
      </w:r>
      <w:r>
        <w:t xml:space="preserve">the size proxy—are the natural next step, and the atlas has been built to receive them.</w:t>
      </w:r>
    </w:p>
    <w:p>
      <w:pPr>
        <w:pStyle w:val="BodyText"/>
      </w:pPr>
      <w:r>
        <w:t xml:space="preserve">99</w:t>
      </w:r>
      <w:r>
        <w:t xml:space="preserve"> </w:t>
      </w:r>
      <w:r>
        <w:t xml:space="preserve">Abadie, A., 2020. Statistical nonsignificance in empirical</w:t>
      </w:r>
      <w:r>
        <w:t xml:space="preserve"> </w:t>
      </w:r>
      <w:r>
        <w:t xml:space="preserve">economics. American Economic Review: Insights 2, 193–208.</w:t>
      </w:r>
      <w:r>
        <w:t xml:space="preserve"> </w:t>
      </w:r>
      <w:r>
        <w:t xml:space="preserve">Baker, S.R., Bloom, N., Davis, S.J., 2016. Measuring</w:t>
      </w:r>
      <w:r>
        <w:t xml:space="preserve"> </w:t>
      </w:r>
      <w:r>
        <w:t xml:space="preserve">economic policy uncertainty. Quarterly Journal of Economics 131, 1593–1636.</w:t>
      </w:r>
      <w:r>
        <w:t xml:space="preserve"> </w:t>
      </w:r>
      <w:r>
        <w:t xml:space="preserve">Bernard, V.L., Thomas, J.K., 1989.</w:t>
      </w:r>
      <w:r>
        <w:t xml:space="preserve"> </w:t>
      </w:r>
      <w:r>
        <w:t xml:space="preserve">Post-earnings-announcement drift: delayed price response or risk premium? Journal of Accounting</w:t>
      </w:r>
      <w:r>
        <w:t xml:space="preserve"> </w:t>
      </w:r>
      <w:r>
        <w:t xml:space="preserve">Research 27, 1–36.</w:t>
      </w:r>
      <w:r>
        <w:t xml:space="preserve"> </w:t>
      </w:r>
      <w:r>
        <w:t xml:space="preserve">Boehmer, E., Musumeci, J., Poulsen, A.B., 1991.</w:t>
      </w:r>
      <w:r>
        <w:t xml:space="preserve"> </w:t>
      </w:r>
      <w:r>
        <w:t xml:space="preserve">Event-study methodology under conditions of event-induced variance. Journal of Financial Economics</w:t>
      </w:r>
      <w:r>
        <w:t xml:space="preserve"> </w:t>
      </w:r>
      <w:r>
        <w:t xml:space="preserve">30, 253–272.</w:t>
      </w:r>
      <w:r>
        <w:t xml:space="preserve"> </w:t>
      </w:r>
      <w:r>
        <w:t xml:space="preserve">Brown, S.J., Warner, J.B., 1985. Using daily stock</w:t>
      </w:r>
      <w:r>
        <w:t xml:space="preserve"> </w:t>
      </w:r>
      <w:r>
        <w:t xml:space="preserve">returns: the case of event studies. Journal of Financial Economics 14, 3–31.</w:t>
      </w:r>
      <w:r>
        <w:t xml:space="preserve"> </w:t>
      </w:r>
      <w:r>
        <w:t xml:space="preserve">Campbell, J.Y., Lo, A.W., MacKinlay, A.C., 1997. The</w:t>
      </w:r>
      <w:r>
        <w:t xml:space="preserve"> </w:t>
      </w:r>
      <w:r>
        <w:t xml:space="preserve">Econometrics of Financial Markets. Princeton University Press, Princeton, NJ.</w:t>
      </w:r>
      <w:r>
        <w:t xml:space="preserve"> </w:t>
      </w:r>
      <w:r>
        <w:t xml:space="preserve">De Bondt, W.F.M., Thaler, R., 1985. Does the stock</w:t>
      </w:r>
      <w:r>
        <w:t xml:space="preserve"> </w:t>
      </w:r>
      <w:r>
        <w:t xml:space="preserve">market overreact? Journal of Finance 40, 793–805.</w:t>
      </w:r>
      <w:r>
        <w:t xml:space="preserve"> </w:t>
      </w:r>
      <w:r>
        <w:t xml:space="preserve">DerSimonian, R., Laird, N., 1986.</w:t>
      </w:r>
      <w:r>
        <w:t xml:space="preserve"> </w:t>
      </w:r>
      <w:r>
        <w:t xml:space="preserve">Meta-analysis in clinical trials. Controlled Clinical Trials 7, 177–188.</w:t>
      </w:r>
      <w:r>
        <w:t xml:space="preserve"> </w:t>
      </w:r>
      <w:r>
        <w:t xml:space="preserve">Efron, B., 1979. Bootstrap methods: another look at the jackknife.</w:t>
      </w:r>
      <w:r>
        <w:t xml:space="preserve"> </w:t>
      </w:r>
      <w:r>
        <w:t xml:space="preserve">Annals of Statistics 7, 1–26.</w:t>
      </w:r>
      <w:r>
        <w:t xml:space="preserve"> </w:t>
      </w:r>
      <w:r>
        <w:t xml:space="preserve">Fama, E.F., 1970. Efficient capital markets: a review of theory and</w:t>
      </w:r>
      <w:r>
        <w:t xml:space="preserve"> </w:t>
      </w:r>
      <w:r>
        <w:t xml:space="preserve">empirical work. Journal of Finance 25, 383–417.</w:t>
      </w:r>
      <w:r>
        <w:t xml:space="preserve"> </w:t>
      </w:r>
      <w:r>
        <w:t xml:space="preserve">Higgins, J.P.T., Thompson, S.G., 2002. Quantifying</w:t>
      </w:r>
      <w:r>
        <w:t xml:space="preserve"> </w:t>
      </w:r>
      <w:r>
        <w:t xml:space="preserve">heterogeneity in a meta-analysis. Statistics in Medicine 21, 1539–1558.</w:t>
      </w:r>
      <w:r>
        <w:t xml:space="preserve"> </w:t>
      </w:r>
      <w:r>
        <w:t xml:space="preserve">Kolari, J.W., Pynnönen, S., 2010. Event study</w:t>
      </w:r>
      <w:r>
        <w:t xml:space="preserve"> </w:t>
      </w:r>
      <w:r>
        <w:t xml:space="preserve">testing with cross-sectional correlation of abnormal returns. Review of Financial Studies 23,</w:t>
      </w:r>
      <w:r>
        <w:t xml:space="preserve"> </w:t>
      </w:r>
      <w:r>
        <w:t xml:space="preserve">3996–4025.</w:t>
      </w:r>
      <w:r>
        <w:t xml:space="preserve"> </w:t>
      </w:r>
      <w:r>
        <w:t xml:space="preserve">MacKinlay, A.C., 1997. Event studies in economics and</w:t>
      </w:r>
      <w:r>
        <w:t xml:space="preserve"> </w:t>
      </w:r>
      <w:r>
        <w:t xml:space="preserve">finance. Journal of Economic Literature 35, 13–39.</w:t>
      </w:r>
      <w:r>
        <w:t xml:space="preserve"> </w:t>
      </w:r>
      <w:r>
        <w:t xml:space="preserve">Morck, R., Yeung, B., Yu, W., 2000. The information content</w:t>
      </w:r>
      <w:r>
        <w:t xml:space="preserve"> </w:t>
      </w:r>
      <w:r>
        <w:t xml:space="preserve">of stock markets: why do emerging markets have synchronous stock price movements? Journal of</w:t>
      </w:r>
      <w:r>
        <w:t xml:space="preserve"> </w:t>
      </w:r>
      <w:r>
        <w:t xml:space="preserve">Financial Economics 58, 215–260.</w:t>
      </w:r>
      <w:r>
        <w:t xml:space="preserve"> </w:t>
      </w:r>
      <w:r>
        <w:t xml:space="preserve">Roll, R., 1988.</w:t>
      </w:r>
      <w:r>
        <w:t xml:space="preserve"> </w:t>
      </w:r>
      <m:oMath>
        <m:sSup>
          <m:e>
            <m:r>
              <m:t>R</m:t>
            </m:r>
          </m:e>
          <m:sup>
            <m:r>
              <m:t>2</m:t>
            </m:r>
          </m:sup>
        </m:sSup>
      </m:oMath>
      <w:r>
        <w:t xml:space="preserve">. Journal of Finance 43, 541–566.</w:t>
      </w:r>
      <w:r>
        <w:t xml:space="preserve"> </w:t>
      </w:r>
      <w:r>
        <w:t xml:space="preserve">Young, A., 2019. Channeling Fisher: randomization tests and the</w:t>
      </w:r>
      <w:r>
        <w:t xml:space="preserve"> </w:t>
      </w:r>
      <w:r>
        <w:t xml:space="preserve">statistical insignificance of seemingly significant experimental results. Quarterly Journal of</w:t>
      </w:r>
      <w:r>
        <w:t xml:space="preserve"> </w:t>
      </w:r>
      <w:r>
        <w:t xml:space="preserve">Economics 134, 557–598.</w:t>
      </w:r>
    </w:p>
    <w:bookmarkStart w:id="42" w:name="tab:atlas"/>
    <w:p>
      <w:pPr>
        <w:pStyle w:val="TableCaption"/>
      </w:pPr>
      <w:r>
        <w:t xml:space="preserve">The 2022–2025 policy-shock atlas</w:t>
      </w:r>
    </w:p>
    <w:tbl>
      <w:tblPr>
        <w:tblStyle w:val="Table"/>
        <w:tblW w:type="auto" w:w="0"/>
        <w:tblLook w:firstRow="0" w:lastRow="0" w:firstColumn="0" w:lastColumn="0" w:noHBand="0" w:noVBand="0" w:val="0000"/>
        <w:tblCaption w:val="The 2022–2025 policy-shock atlas"/>
      </w:tblPr>
      <w:tblGrid>
        <w:gridCol w:w="880"/>
        <w:gridCol w:w="880"/>
        <w:gridCol w:w="880"/>
        <w:gridCol w:w="880"/>
        <w:gridCol w:w="880"/>
        <w:gridCol w:w="880"/>
        <w:gridCol w:w="880"/>
        <w:gridCol w:w="880"/>
        <w:gridCol w:w="880"/>
      </w:tblGrid>
      <w:tr>
        <w:tc>
          <w:tcPr/>
          <w:p>
            <w:pPr>
              <w:pStyle w:val="Compact"/>
              <w:jc w:val="left"/>
            </w:pPr>
            <w:r>
              <w:t xml:space="preserve">Shock</w:t>
            </w:r>
          </w:p>
        </w:tc>
        <w:tc>
          <w:tcPr/>
          <w:p>
            <w:pPr>
              <w:pStyle w:val="Compact"/>
              <w:jc w:val="left"/>
            </w:pPr>
            <w:r>
              <w:t xml:space="preserve">Type</w:t>
            </w:r>
          </w:p>
        </w:tc>
        <w:tc>
          <w:tcPr/>
          <w:p>
            <w:pPr>
              <w:pStyle w:val="Compact"/>
              <w:jc w:val="center"/>
            </w:pPr>
            <w:r>
              <w:t xml:space="preserve">Mkt</w:t>
            </w:r>
          </w:p>
        </w:tc>
        <w:tc>
          <w:tcPr/>
          <w:p>
            <w:pPr>
              <w:pStyle w:val="Compact"/>
              <w:jc w:val="center"/>
            </w:pPr>
            <m:oMath>
              <m:bar>
                <m:barPr>
                  <m:pos m:val="top"/>
                </m:barPr>
                <m:e>
                  <m:r>
                    <m:t>C</m:t>
                  </m:r>
                  <m:r>
                    <m:t>A</m:t>
                  </m:r>
                  <m:r>
                    <m:t>R</m:t>
                  </m:r>
                </m:e>
              </m:bar>
            </m:oMath>
          </w:p>
        </w:tc>
        <w:tc>
          <w:tcPr/>
          <w:p>
            <w:pPr>
              <w:pStyle w:val="Compact"/>
              <w:jc w:val="center"/>
            </w:pPr>
            <w:r>
              <w:t xml:space="preserve">SD</w:t>
            </w:r>
          </w:p>
        </w:tc>
        <w:tc>
          <w:tcPr/>
          <w:p>
            <w:pPr>
              <w:pStyle w:val="Compact"/>
              <w:jc w:val="center"/>
            </w:pPr>
            <w:r>
              <w:t xml:space="preserve">Pre</w:t>
            </w:r>
          </w:p>
        </w:tc>
        <w:tc>
          <w:tcPr/>
          <w:p>
            <w:pPr>
              <w:pStyle w:val="Compact"/>
              <w:jc w:val="center"/>
            </w:pPr>
            <w:r>
              <w:t xml:space="preserve">Drift</w:t>
            </w:r>
          </w:p>
        </w:tc>
        <w:tc>
          <w:tcPr/>
          <w:p>
            <w:pPr>
              <w:pStyle w:val="Compact"/>
              <w:jc w:val="center"/>
            </w:pPr>
            <w:r>
              <w:t xml:space="preserve">Rev.</w:t>
            </w:r>
          </w:p>
        </w:tc>
        <w:tc>
          <w:tcPr/>
          <w:p>
            <w:pPr>
              <w:pStyle w:val="Compact"/>
            </w:pPr>
          </w:p>
        </w:tc>
      </w:tr>
      <w:tr>
        <w:tc>
          <w:tcPr/>
          <w:p>
            <w:pPr>
              <w:pStyle w:val="Compact"/>
            </w:pPr>
          </w:p>
        </w:tc>
        <w:tc>
          <w:tcPr/>
          <w:p>
            <w:pPr>
              <w:pStyle w:val="Compact"/>
            </w:pPr>
          </w:p>
        </w:tc>
        <w:tc>
          <w:tcPr/>
          <w:p>
            <w:pPr>
              <w:pStyle w:val="Compact"/>
              <w:jc w:val="center"/>
            </w:pPr>
            <w:r>
              <w:t xml:space="preserve">[0,1]</w:t>
            </w:r>
          </w:p>
        </w:tc>
        <w:tc>
          <w:tcPr/>
          <w:p>
            <w:pPr>
              <w:pStyle w:val="Compact"/>
              <w:jc w:val="center"/>
            </w:pPr>
            <w:r>
              <w:t xml:space="preserve">[0,1]</w:t>
            </w:r>
          </w:p>
        </w:tc>
        <w:tc>
          <w:tcPr/>
          <w:p>
            <w:pPr>
              <w:pStyle w:val="Compact"/>
              <w:jc w:val="center"/>
            </w:pPr>
            <w:r>
              <w:t xml:space="preserve">[0,1]</w:t>
            </w:r>
          </w:p>
        </w:tc>
        <w:tc>
          <w:tcPr/>
          <w:p>
            <w:pPr>
              <w:pStyle w:val="Compact"/>
              <w:jc w:val="center"/>
            </w:pPr>
            <w:r>
              <w:t xml:space="preserve">[-5,-1]</w:t>
            </w:r>
          </w:p>
        </w:tc>
        <w:tc>
          <w:tcPr/>
          <w:p>
            <w:pPr>
              <w:pStyle w:val="Compact"/>
              <w:jc w:val="center"/>
            </w:pPr>
            <w:r>
              <w:t xml:space="preserve">[2,10]</w:t>
            </w:r>
          </w:p>
        </w:tc>
        <w:tc>
          <w:tcPr/>
          <w:p>
            <w:pPr>
              <w:pStyle w:val="Compact"/>
              <w:jc w:val="center"/>
            </w:pPr>
            <w:r>
              <w:t xml:space="preserve">corr</w:t>
            </w:r>
          </w:p>
        </w:tc>
        <w:tc>
          <w:tcPr/>
          <w:p>
            <w:pPr>
              <w:pStyle w:val="Compact"/>
            </w:pPr>
          </w:p>
        </w:tc>
      </w:tr>
      <w:tr>
        <w:tc>
          <w:tcPr/>
          <w:p>
            <w:pPr>
              <w:pStyle w:val="Compact"/>
              <w:jc w:val="left"/>
            </w:pPr>
            <w:r>
              <w:t xml:space="preserve">CHIPS Act signed</w:t>
            </w:r>
          </w:p>
        </w:tc>
        <w:tc>
          <w:tcPr/>
          <w:p>
            <w:pPr>
              <w:pStyle w:val="Compact"/>
              <w:jc w:val="left"/>
            </w:pPr>
            <w:r>
              <w:t xml:space="preserve">Industrial policy</w:t>
            </w:r>
          </w:p>
        </w:tc>
        <w:tc>
          <w:tcPr/>
          <w:p>
            <w:pPr>
              <w:pStyle w:val="Compact"/>
              <w:jc w:val="center"/>
            </w:pPr>
            <w:r>
              <w:t xml:space="preserve">+1.70</w:t>
            </w:r>
          </w:p>
        </w:tc>
        <w:tc>
          <w:tcPr/>
          <w:p>
            <w:pPr>
              <w:pStyle w:val="Compact"/>
              <w:jc w:val="center"/>
            </w:pPr>
            <w:r>
              <w:t xml:space="preserve">-0.22</w:t>
            </w:r>
          </w:p>
        </w:tc>
        <w:tc>
          <w:tcPr/>
          <w:p>
            <w:pPr>
              <w:pStyle w:val="Compact"/>
              <w:jc w:val="center"/>
            </w:pPr>
            <w:r>
              <w:t xml:space="preserve">2.90</w:t>
            </w:r>
          </w:p>
        </w:tc>
        <w:tc>
          <w:tcPr/>
          <w:p>
            <w:pPr>
              <w:pStyle w:val="Compact"/>
              <w:jc w:val="center"/>
            </w:pPr>
            <w:r>
              <w:t xml:space="preserve">+0.78</w:t>
            </w:r>
          </w:p>
        </w:tc>
        <w:tc>
          <w:tcPr/>
          <w:p>
            <w:pPr>
              <w:pStyle w:val="Compact"/>
              <w:jc w:val="center"/>
            </w:pPr>
            <w:r>
              <w:t xml:space="preserve">-0.46</w:t>
            </w:r>
          </w:p>
        </w:tc>
        <w:tc>
          <w:tcPr/>
          <w:p>
            <w:pPr>
              <w:pStyle w:val="Compact"/>
              <w:jc w:val="center"/>
            </w:pPr>
            <w:r>
              <w:t xml:space="preserve">+0.07</w:t>
            </w:r>
          </w:p>
        </w:tc>
        <w:tc>
          <w:tcPr/>
          <w:p>
            <w:pPr>
              <w:pStyle w:val="Compact"/>
            </w:pPr>
          </w:p>
        </w:tc>
      </w:tr>
      <w:tr>
        <w:tc>
          <w:tcPr/>
          <w:p>
            <w:pPr>
              <w:pStyle w:val="Compact"/>
              <w:jc w:val="left"/>
            </w:pPr>
            <w:r>
              <w:t xml:space="preserve">IRA / buyback excise tax</w:t>
            </w:r>
          </w:p>
        </w:tc>
        <w:tc>
          <w:tcPr/>
          <w:p>
            <w:pPr>
              <w:pStyle w:val="Compact"/>
              <w:jc w:val="left"/>
            </w:pPr>
            <w:r>
              <w:t xml:space="preserve">Tax</w:t>
            </w:r>
          </w:p>
        </w:tc>
        <w:tc>
          <w:tcPr/>
          <w:p>
            <w:pPr>
              <w:pStyle w:val="Compact"/>
              <w:jc w:val="center"/>
            </w:pPr>
            <w:r>
              <w:t xml:space="preserve">-0.71</w:t>
            </w:r>
          </w:p>
        </w:tc>
        <w:tc>
          <w:tcPr/>
          <w:p>
            <w:pPr>
              <w:pStyle w:val="Compact"/>
              <w:jc w:val="center"/>
            </w:pPr>
            <w:r>
              <w:t xml:space="preserve">-0.45</w:t>
            </w:r>
          </w:p>
        </w:tc>
        <w:tc>
          <w:tcPr/>
          <w:p>
            <w:pPr>
              <w:pStyle w:val="Compact"/>
              <w:jc w:val="center"/>
            </w:pPr>
            <w:r>
              <w:t xml:space="preserve">2.49</w:t>
            </w:r>
          </w:p>
        </w:tc>
        <w:tc>
          <w:tcPr/>
          <w:p>
            <w:pPr>
              <w:pStyle w:val="Compact"/>
              <w:jc w:val="center"/>
            </w:pPr>
            <w:r>
              <w:t xml:space="preserve">-0.50</w:t>
            </w:r>
          </w:p>
        </w:tc>
        <w:tc>
          <w:tcPr/>
          <w:p>
            <w:pPr>
              <w:pStyle w:val="Compact"/>
              <w:jc w:val="center"/>
            </w:pPr>
            <w:r>
              <w:t xml:space="preserve">+0.70</w:t>
            </w:r>
          </w:p>
        </w:tc>
        <w:tc>
          <w:tcPr/>
          <w:p>
            <w:pPr>
              <w:pStyle w:val="Compact"/>
              <w:jc w:val="center"/>
            </w:pPr>
            <w:r>
              <w:t xml:space="preserve">-0.18</w:t>
            </w:r>
          </w:p>
        </w:tc>
        <w:tc>
          <w:tcPr/>
          <w:p>
            <w:pPr>
              <w:pStyle w:val="Compact"/>
            </w:pPr>
          </w:p>
        </w:tc>
      </w:tr>
      <w:tr>
        <w:tc>
          <w:tcPr/>
          <w:p>
            <w:pPr>
              <w:pStyle w:val="Compact"/>
              <w:jc w:val="left"/>
            </w:pPr>
            <w:r>
              <w:t xml:space="preserve">ChatGPT release</w:t>
            </w:r>
          </w:p>
        </w:tc>
        <w:tc>
          <w:tcPr/>
          <w:p>
            <w:pPr>
              <w:pStyle w:val="Compact"/>
              <w:jc w:val="left"/>
            </w:pPr>
            <w:r>
              <w:t xml:space="preserve">Technology</w:t>
            </w:r>
          </w:p>
        </w:tc>
        <w:tc>
          <w:tcPr/>
          <w:p>
            <w:pPr>
              <w:pStyle w:val="Compact"/>
              <w:jc w:val="center"/>
            </w:pPr>
            <w:r>
              <w:t xml:space="preserve">+3.13</w:t>
            </w:r>
          </w:p>
        </w:tc>
        <w:tc>
          <w:tcPr/>
          <w:p>
            <w:pPr>
              <w:pStyle w:val="Compact"/>
              <w:jc w:val="center"/>
            </w:pPr>
            <w:r>
              <w:t xml:space="preserve">-0.12</w:t>
            </w:r>
          </w:p>
        </w:tc>
        <w:tc>
          <w:tcPr/>
          <w:p>
            <w:pPr>
              <w:pStyle w:val="Compact"/>
              <w:jc w:val="center"/>
            </w:pPr>
            <w:r>
              <w:t xml:space="preserve">3.12</w:t>
            </w:r>
          </w:p>
        </w:tc>
        <w:tc>
          <w:tcPr/>
          <w:p>
            <w:pPr>
              <w:pStyle w:val="Compact"/>
              <w:jc w:val="center"/>
            </w:pPr>
            <w:r>
              <w:t xml:space="preserve">+0.47</w:t>
            </w:r>
          </w:p>
        </w:tc>
        <w:tc>
          <w:tcPr/>
          <w:p>
            <w:pPr>
              <w:pStyle w:val="Compact"/>
              <w:jc w:val="center"/>
            </w:pPr>
            <w:r>
              <w:t xml:space="preserve">+0.21</w:t>
            </w:r>
          </w:p>
        </w:tc>
        <w:tc>
          <w:tcPr/>
          <w:p>
            <w:pPr>
              <w:pStyle w:val="Compact"/>
              <w:jc w:val="center"/>
            </w:pPr>
            <w:r>
              <w:t xml:space="preserve">+0.17</w:t>
            </w:r>
          </w:p>
        </w:tc>
        <w:tc>
          <w:tcPr/>
          <w:p>
            <w:pPr>
              <w:pStyle w:val="Compact"/>
            </w:pPr>
          </w:p>
        </w:tc>
      </w:tr>
      <w:tr>
        <w:tc>
          <w:tcPr/>
          <w:p>
            <w:pPr>
              <w:pStyle w:val="Compact"/>
              <w:jc w:val="left"/>
            </w:pPr>
            <w:r>
              <w:t xml:space="preserve">SVB collapse</w:t>
            </w:r>
          </w:p>
        </w:tc>
        <w:tc>
          <w:tcPr/>
          <w:p>
            <w:pPr>
              <w:pStyle w:val="Compact"/>
              <w:jc w:val="left"/>
            </w:pPr>
            <w:r>
              <w:t xml:space="preserve">Banking</w:t>
            </w:r>
          </w:p>
        </w:tc>
        <w:tc>
          <w:tcPr/>
          <w:p>
            <w:pPr>
              <w:pStyle w:val="Compact"/>
              <w:jc w:val="center"/>
            </w:pPr>
            <w:r>
              <w:t xml:space="preserve">-3.66</w:t>
            </w:r>
          </w:p>
        </w:tc>
        <w:tc>
          <w:tcPr/>
          <w:p>
            <w:pPr>
              <w:pStyle w:val="Compact"/>
              <w:jc w:val="center"/>
            </w:pPr>
            <w:r>
              <w:t xml:space="preserve">-1.00</w:t>
            </w:r>
          </w:p>
        </w:tc>
        <w:tc>
          <w:tcPr/>
          <w:p>
            <w:pPr>
              <w:pStyle w:val="Compact"/>
              <w:jc w:val="center"/>
            </w:pPr>
            <w:r>
              <w:t xml:space="preserve">4.21</w:t>
            </w:r>
          </w:p>
        </w:tc>
        <w:tc>
          <w:tcPr/>
          <w:p>
            <w:pPr>
              <w:pStyle w:val="Compact"/>
              <w:jc w:val="center"/>
            </w:pPr>
            <w:r>
              <w:t xml:space="preserve">-1.13</w:t>
            </w:r>
          </w:p>
        </w:tc>
        <w:tc>
          <w:tcPr/>
          <w:p>
            <w:pPr>
              <w:pStyle w:val="Compact"/>
              <w:jc w:val="center"/>
            </w:pPr>
            <w:r>
              <w:t xml:space="preserve">-3.49</w:t>
            </w:r>
          </w:p>
        </w:tc>
        <w:tc>
          <w:tcPr/>
          <w:p>
            <w:pPr>
              <w:pStyle w:val="Compact"/>
              <w:jc w:val="center"/>
            </w:pPr>
            <w:r>
              <w:t xml:space="preserve">+0.42</w:t>
            </w:r>
          </w:p>
        </w:tc>
        <w:tc>
          <w:tcPr/>
          <w:p>
            <w:pPr>
              <w:pStyle w:val="Compact"/>
            </w:pPr>
          </w:p>
        </w:tc>
      </w:tr>
      <w:tr>
        <w:tc>
          <w:tcPr/>
          <w:p>
            <w:pPr>
              <w:pStyle w:val="Compact"/>
              <w:jc w:val="left"/>
            </w:pPr>
            <w:r>
              <w:t xml:space="preserve">GPT-4 release</w:t>
            </w:r>
          </w:p>
        </w:tc>
        <w:tc>
          <w:tcPr/>
          <w:p>
            <w:pPr>
              <w:pStyle w:val="Compact"/>
              <w:jc w:val="left"/>
            </w:pPr>
            <w:r>
              <w:t xml:space="preserve">Technology</w:t>
            </w:r>
          </w:p>
        </w:tc>
        <w:tc>
          <w:tcPr/>
          <w:p>
            <w:pPr>
              <w:pStyle w:val="Compact"/>
              <w:jc w:val="center"/>
            </w:pPr>
            <w:r>
              <w:t xml:space="preserve">+0.97</w:t>
            </w:r>
          </w:p>
        </w:tc>
        <w:tc>
          <w:tcPr/>
          <w:p>
            <w:pPr>
              <w:pStyle w:val="Compact"/>
              <w:jc w:val="center"/>
            </w:pPr>
            <w:r>
              <w:t xml:space="preserve">-1.27</w:t>
            </w:r>
          </w:p>
        </w:tc>
        <w:tc>
          <w:tcPr/>
          <w:p>
            <w:pPr>
              <w:pStyle w:val="Compact"/>
              <w:jc w:val="center"/>
            </w:pPr>
            <w:r>
              <w:t xml:space="preserve">3.23</w:t>
            </w:r>
          </w:p>
        </w:tc>
        <w:tc>
          <w:tcPr/>
          <w:p>
            <w:pPr>
              <w:pStyle w:val="Compact"/>
              <w:jc w:val="center"/>
            </w:pPr>
            <w:r>
              <w:t xml:space="preserve">-1.78</w:t>
            </w:r>
          </w:p>
        </w:tc>
        <w:tc>
          <w:tcPr/>
          <w:p>
            <w:pPr>
              <w:pStyle w:val="Compact"/>
              <w:jc w:val="center"/>
            </w:pPr>
            <w:r>
              <w:t xml:space="preserve">-0.68</w:t>
            </w:r>
          </w:p>
        </w:tc>
        <w:tc>
          <w:tcPr/>
          <w:p>
            <w:pPr>
              <w:pStyle w:val="Compact"/>
              <w:jc w:val="center"/>
            </w:pPr>
            <w:r>
              <w:t xml:space="preserve">-0.08</w:t>
            </w:r>
          </w:p>
        </w:tc>
        <w:tc>
          <w:tcPr/>
          <w:p>
            <w:pPr>
              <w:pStyle w:val="Compact"/>
            </w:pPr>
          </w:p>
        </w:tc>
      </w:tr>
      <w:tr>
        <w:tc>
          <w:tcPr/>
          <w:p>
            <w:pPr>
              <w:pStyle w:val="Compact"/>
              <w:jc w:val="left"/>
            </w:pPr>
            <w:r>
              <w:t xml:space="preserve">SEC 5-day 13D rule</w:t>
            </w:r>
          </w:p>
        </w:tc>
        <w:tc>
          <w:tcPr/>
          <w:p>
            <w:pPr>
              <w:pStyle w:val="Compact"/>
              <w:jc w:val="left"/>
            </w:pPr>
            <w:r>
              <w:t xml:space="preserve">Disclosure</w:t>
            </w:r>
          </w:p>
        </w:tc>
        <w:tc>
          <w:tcPr/>
          <w:p>
            <w:pPr>
              <w:pStyle w:val="Compact"/>
              <w:jc w:val="center"/>
            </w:pPr>
            <w:r>
              <w:t xml:space="preserve">-0.11</w:t>
            </w:r>
          </w:p>
        </w:tc>
        <w:tc>
          <w:tcPr/>
          <w:p>
            <w:pPr>
              <w:pStyle w:val="Compact"/>
              <w:jc w:val="center"/>
            </w:pPr>
            <w:r>
              <w:t xml:space="preserve">+0.01</w:t>
            </w:r>
          </w:p>
        </w:tc>
        <w:tc>
          <w:tcPr/>
          <w:p>
            <w:pPr>
              <w:pStyle w:val="Compact"/>
              <w:jc w:val="center"/>
            </w:pPr>
            <w:r>
              <w:t xml:space="preserve">2.82</w:t>
            </w:r>
          </w:p>
        </w:tc>
        <w:tc>
          <w:tcPr/>
          <w:p>
            <w:pPr>
              <w:pStyle w:val="Compact"/>
              <w:jc w:val="center"/>
            </w:pPr>
            <w:r>
              <w:t xml:space="preserve">-1.17</w:t>
            </w:r>
          </w:p>
        </w:tc>
        <w:tc>
          <w:tcPr/>
          <w:p>
            <w:pPr>
              <w:pStyle w:val="Compact"/>
              <w:jc w:val="center"/>
            </w:pPr>
            <w:r>
              <w:t xml:space="preserve">+1.23</w:t>
            </w:r>
          </w:p>
        </w:tc>
        <w:tc>
          <w:tcPr/>
          <w:p>
            <w:pPr>
              <w:pStyle w:val="Compact"/>
              <w:jc w:val="center"/>
            </w:pPr>
            <w:r>
              <w:t xml:space="preserve">-0.01</w:t>
            </w:r>
          </w:p>
        </w:tc>
        <w:tc>
          <w:tcPr/>
          <w:p>
            <w:pPr>
              <w:pStyle w:val="Compact"/>
            </w:pPr>
          </w:p>
        </w:tc>
      </w:tr>
      <w:tr>
        <w:tc>
          <w:tcPr/>
          <w:p>
            <w:pPr>
              <w:pStyle w:val="Compact"/>
              <w:jc w:val="left"/>
            </w:pPr>
            <w:r>
              <w:t xml:space="preserve">Reciprocal tariff shock</w:t>
            </w:r>
          </w:p>
        </w:tc>
        <w:tc>
          <w:tcPr/>
          <w:p>
            <w:pPr>
              <w:pStyle w:val="Compact"/>
              <w:jc w:val="left"/>
            </w:pPr>
            <w:r>
              <w:t xml:space="preserve">Trade</w:t>
            </w:r>
          </w:p>
        </w:tc>
        <w:tc>
          <w:tcPr/>
          <w:p>
            <w:pPr>
              <w:pStyle w:val="Compact"/>
              <w:jc w:val="center"/>
            </w:pPr>
            <w:r>
              <w:t xml:space="preserve">-11.01</w:t>
            </w:r>
          </w:p>
        </w:tc>
        <w:tc>
          <w:tcPr/>
          <w:p>
            <w:pPr>
              <w:pStyle w:val="Compact"/>
              <w:jc w:val="center"/>
            </w:pPr>
            <w:r>
              <w:t xml:space="preserve">-1.11</w:t>
            </w:r>
          </w:p>
        </w:tc>
        <w:tc>
          <w:tcPr/>
          <w:p>
            <w:pPr>
              <w:pStyle w:val="Compact"/>
              <w:jc w:val="center"/>
            </w:pPr>
            <w:r>
              <w:t xml:space="preserve">5.84</w:t>
            </w:r>
          </w:p>
        </w:tc>
        <w:tc>
          <w:tcPr/>
          <w:p>
            <w:pPr>
              <w:pStyle w:val="Compact"/>
              <w:jc w:val="center"/>
            </w:pPr>
            <w:r>
              <w:t xml:space="preserve">+0.12</w:t>
            </w:r>
          </w:p>
        </w:tc>
        <w:tc>
          <w:tcPr/>
          <w:p>
            <w:pPr>
              <w:pStyle w:val="Compact"/>
              <w:jc w:val="center"/>
            </w:pPr>
            <w:r>
              <w:t xml:space="preserve">+0.22</w:t>
            </w:r>
          </w:p>
        </w:tc>
        <w:tc>
          <w:tcPr/>
          <w:p>
            <w:pPr>
              <w:pStyle w:val="Compact"/>
              <w:jc w:val="center"/>
            </w:pPr>
            <w:r>
              <w:t xml:space="preserve">-0.15</w:t>
            </w:r>
          </w:p>
        </w:tc>
        <w:tc>
          <w:tcPr/>
          <w:p>
            <w:pPr>
              <w:pStyle w:val="Compact"/>
            </w:pPr>
          </w:p>
        </w:tc>
      </w:tr>
      <w:tr>
        <w:tc>
          <w:tcPr/>
          <w:p>
            <w:pPr>
              <w:pStyle w:val="Compact"/>
              <w:jc w:val="left"/>
            </w:pPr>
            <w:r>
              <w:t xml:space="preserve">Tariff pause</w:t>
            </w:r>
          </w:p>
        </w:tc>
        <w:tc>
          <w:tcPr/>
          <w:p>
            <w:pPr>
              <w:pStyle w:val="Compact"/>
              <w:jc w:val="left"/>
            </w:pPr>
            <w:r>
              <w:t xml:space="preserve">Trade (reversal)</w:t>
            </w:r>
          </w:p>
        </w:tc>
        <w:tc>
          <w:tcPr/>
          <w:p>
            <w:pPr>
              <w:pStyle w:val="Compact"/>
              <w:jc w:val="center"/>
            </w:pPr>
            <w:r>
              <w:t xml:space="preserve">+6.15</w:t>
            </w:r>
          </w:p>
        </w:tc>
        <w:tc>
          <w:tcPr/>
          <w:p>
            <w:pPr>
              <w:pStyle w:val="Compact"/>
              <w:jc w:val="center"/>
            </w:pPr>
            <w:r>
              <w:t xml:space="preserve">-0.22</w:t>
            </w:r>
          </w:p>
        </w:tc>
        <w:tc>
          <w:tcPr/>
          <w:p>
            <w:pPr>
              <w:pStyle w:val="Compact"/>
              <w:jc w:val="center"/>
            </w:pPr>
            <w:r>
              <w:t xml:space="preserve">3.47</w:t>
            </w:r>
          </w:p>
        </w:tc>
        <w:tc>
          <w:tcPr/>
          <w:p>
            <w:pPr>
              <w:pStyle w:val="Compact"/>
              <w:jc w:val="center"/>
            </w:pPr>
            <w:r>
              <w:t xml:space="preserve">-2.51</w:t>
            </w:r>
          </w:p>
        </w:tc>
        <w:tc>
          <w:tcPr/>
          <w:p>
            <w:pPr>
              <w:pStyle w:val="Compact"/>
              <w:jc w:val="center"/>
            </w:pPr>
            <w:r>
              <w:t xml:space="preserve">+2.60</w:t>
            </w:r>
          </w:p>
        </w:tc>
        <w:tc>
          <w:tcPr/>
          <w:p>
            <w:pPr>
              <w:pStyle w:val="Compact"/>
              <w:jc w:val="center"/>
            </w:pPr>
            <w:r>
              <w:t xml:space="preserve">-0.04</w:t>
            </w:r>
          </w:p>
        </w:tc>
        <w:tc>
          <w:tcPr/>
          <w:p>
            <w:pPr>
              <w:pStyle w:val="Compact"/>
            </w:pPr>
          </w:p>
        </w:tc>
      </w:tr>
      <w:tr>
        <w:tc>
          <w:tcPr/>
          <w:p>
            <w:pPr>
              <w:pStyle w:val="Compact"/>
              <w:jc w:val="left"/>
            </w:pPr>
            <w:r>
              <w:t xml:space="preserve">GENIUS Act signed</w:t>
            </w:r>
          </w:p>
        </w:tc>
        <w:tc>
          <w:tcPr/>
          <w:p>
            <w:pPr>
              <w:pStyle w:val="Compact"/>
              <w:jc w:val="left"/>
            </w:pPr>
            <w:r>
              <w:t xml:space="preserve">Crypto/regulatory</w:t>
            </w:r>
          </w:p>
        </w:tc>
        <w:tc>
          <w:tcPr/>
          <w:p>
            <w:pPr>
              <w:pStyle w:val="Compact"/>
              <w:jc w:val="center"/>
            </w:pPr>
            <w:r>
              <w:t xml:space="preserve">+0.07</w:t>
            </w:r>
          </w:p>
        </w:tc>
        <w:tc>
          <w:tcPr/>
          <w:p>
            <w:pPr>
              <w:pStyle w:val="Compact"/>
              <w:jc w:val="center"/>
            </w:pPr>
            <w:r>
              <w:t xml:space="preserve">-0.43</w:t>
            </w:r>
          </w:p>
        </w:tc>
        <w:tc>
          <w:tcPr/>
          <w:p>
            <w:pPr>
              <w:pStyle w:val="Compact"/>
              <w:jc w:val="center"/>
            </w:pPr>
            <w:r>
              <w:t xml:space="preserve">2.72</w:t>
            </w:r>
          </w:p>
        </w:tc>
        <w:tc>
          <w:tcPr/>
          <w:p>
            <w:pPr>
              <w:pStyle w:val="Compact"/>
              <w:jc w:val="center"/>
            </w:pPr>
            <w:r>
              <w:t xml:space="preserve">-1.07</w:t>
            </w:r>
          </w:p>
        </w:tc>
        <w:tc>
          <w:tcPr/>
          <w:p>
            <w:pPr>
              <w:pStyle w:val="Compact"/>
              <w:jc w:val="center"/>
            </w:pPr>
            <w:r>
              <w:t xml:space="preserve">-0.79</w:t>
            </w:r>
          </w:p>
        </w:tc>
        <w:tc>
          <w:tcPr/>
          <w:p>
            <w:pPr>
              <w:pStyle w:val="Compact"/>
              <w:jc w:val="center"/>
            </w:pPr>
            <w:r>
              <w:t xml:space="preserve">-0.10</w:t>
            </w:r>
          </w:p>
        </w:tc>
        <w:tc>
          <w:tcPr/>
          <w:p>
            <w:pPr>
              <w:pStyle w:val="Compact"/>
            </w:pPr>
          </w:p>
        </w:tc>
      </w:tr>
      <w:tr>
        <w:tc>
          <w:tcPr/>
          <w:p>
            <w:pPr>
              <w:pStyle w:val="Compact"/>
              <w:jc w:val="left"/>
            </w:pPr>
            <w:r>
              <w:t xml:space="preserve">Reg NMS half-cent tick</w:t>
            </w:r>
          </w:p>
        </w:tc>
        <w:tc>
          <w:tcPr/>
          <w:p>
            <w:pPr>
              <w:pStyle w:val="Compact"/>
              <w:jc w:val="left"/>
            </w:pPr>
            <w:r>
              <w:t xml:space="preserve">Microstructure</w:t>
            </w:r>
          </w:p>
        </w:tc>
        <w:tc>
          <w:tcPr/>
          <w:p>
            <w:pPr>
              <w:pStyle w:val="Compact"/>
              <w:jc w:val="center"/>
            </w:pPr>
            <w:r>
              <w:t xml:space="preserve">-1.10</w:t>
            </w:r>
          </w:p>
        </w:tc>
        <w:tc>
          <w:tcPr/>
          <w:p>
            <w:pPr>
              <w:pStyle w:val="Compact"/>
              <w:jc w:val="center"/>
            </w:pPr>
            <w:r>
              <w:t xml:space="preserve">-0.16</w:t>
            </w:r>
          </w:p>
        </w:tc>
        <w:tc>
          <w:tcPr/>
          <w:p>
            <w:pPr>
              <w:pStyle w:val="Compact"/>
              <w:jc w:val="center"/>
            </w:pPr>
            <w:r>
              <w:t xml:space="preserve">5.20</w:t>
            </w:r>
          </w:p>
        </w:tc>
        <w:tc>
          <w:tcPr/>
          <w:p>
            <w:pPr>
              <w:pStyle w:val="Compact"/>
              <w:jc w:val="center"/>
            </w:pPr>
            <w:r>
              <w:t xml:space="preserve">-2.12</w:t>
            </w:r>
          </w:p>
        </w:tc>
        <w:tc>
          <w:tcPr/>
          <w:p>
            <w:pPr>
              <w:pStyle w:val="Compact"/>
              <w:jc w:val="center"/>
            </w:pPr>
            <w:r>
              <w:t xml:space="preserve">+0.31</w:t>
            </w:r>
          </w:p>
        </w:tc>
        <w:tc>
          <w:tcPr/>
          <w:p>
            <w:pPr>
              <w:pStyle w:val="Compact"/>
              <w:jc w:val="center"/>
            </w:pPr>
            <w:r>
              <w:t xml:space="preserve">+0.06</w:t>
            </w:r>
          </w:p>
        </w:tc>
        <w:tc>
          <w:tcPr/>
          <w:p>
            <w:pPr>
              <w:pStyle w:val="Compact"/>
            </w:pPr>
          </w:p>
        </w:tc>
      </w:tr>
    </w:tbl>
    <w:bookmarkEnd w:id="42"/>
    <w:p>
      <w:pPr>
        <w:pStyle w:val="BodyText"/>
      </w:pPr>
      <w:r>
        <w:rPr>
          <w:i/>
          <w:iCs/>
        </w:rPr>
        <w:t xml:space="preserve">Notes:</w:t>
      </w:r>
      <w:r>
        <w:t xml:space="preserve"> </w:t>
      </w:r>
      <w:r>
        <w:t xml:space="preserve">Market-model CARs (%), sample of</w:t>
      </w:r>
      <w:r>
        <w:t xml:space="preserve"> </w:t>
      </w:r>
      <m:oMath>
        <m:r>
          <m:rPr>
            <m:sty m:val="p"/>
          </m:rPr>
          <m:t>∼</m:t>
        </m:r>
      </m:oMath>
      <w:r>
        <w:t xml:space="preserve">2</w:t>
      </w:r>
      <w:r>
        <w:t xml:space="preserve">,</w:t>
      </w:r>
      <w:r>
        <w:t xml:space="preserve">000</w:t>
      </w:r>
      <w:r>
        <w:t xml:space="preserve"> </w:t>
      </w:r>
      <w:r>
        <w:t xml:space="preserve">large firms. Mkt</w:t>
      </w:r>
      <w:r>
        <w:t xml:space="preserve"> </w:t>
      </w:r>
      <m:oMath>
        <m:r>
          <m:rPr>
            <m:sty m:val="p"/>
          </m:rPr>
          <m:t>=</m:t>
        </m:r>
      </m:oMath>
      <w:r>
        <w:t xml:space="preserve"> </w:t>
      </w:r>
      <w:r>
        <w:t xml:space="preserve">raw market return over</w:t>
      </w:r>
      <w:r>
        <w:t xml:space="preserve"> </w:t>
      </w:r>
      <m:oMath>
        <m:r>
          <m:rPr>
            <m:sty m:val="p"/>
          </m:rPr>
          <m:t>[</m:t>
        </m:r>
        <m:r>
          <m:t>0</m:t>
        </m:r>
        <m:r>
          <m:rPr>
            <m:sty m:val="p"/>
          </m:rPr>
          <m:t>,</m:t>
        </m:r>
        <m:r>
          <m:rPr>
            <m:sty m:val="p"/>
          </m:rPr>
          <m:t>+</m:t>
        </m:r>
        <m:r>
          <m:t>1</m:t>
        </m:r>
        <m:r>
          <m:rPr>
            <m:sty m:val="p"/>
          </m:rPr>
          <m:t>]</m:t>
        </m:r>
      </m:oMath>
      <w:r>
        <w:t xml:space="preserve">;</w:t>
      </w:r>
      <w:r>
        <w:t xml:space="preserve"> </w:t>
      </w:r>
      <m:oMath>
        <m:bar>
          <m:barPr>
            <m:pos m:val="top"/>
          </m:barPr>
          <m:e>
            <m:r>
              <m:t>C</m:t>
            </m:r>
            <m:r>
              <m:t>A</m:t>
            </m:r>
            <m:r>
              <m:t>R</m:t>
            </m:r>
          </m:e>
        </m:bar>
      </m:oMath>
      <w:r>
        <w:t xml:space="preserve"> </w:t>
      </w:r>
      <w:r>
        <w:t xml:space="preserve">and SD are the mean and</w:t>
      </w:r>
      <w:r>
        <w:t xml:space="preserve"> </w:t>
      </w:r>
      <w:r>
        <w:t xml:space="preserve">cross-sectional SD of firm CAR</w:t>
      </w:r>
      <m:oMath>
        <m:r>
          <m:rPr>
            <m:sty m:val="p"/>
          </m:rPr>
          <m:t>[</m:t>
        </m:r>
        <m:r>
          <m:t>0</m:t>
        </m:r>
        <m:r>
          <m:rPr>
            <m:sty m:val="p"/>
          </m:rPr>
          <m:t>,</m:t>
        </m:r>
        <m:r>
          <m:rPr>
            <m:sty m:val="p"/>
          </m:rPr>
          <m:t>+</m:t>
        </m:r>
        <m:r>
          <m:t>1</m:t>
        </m:r>
        <m:r>
          <m:rPr>
            <m:sty m:val="p"/>
          </m:rPr>
          <m:t>]</m:t>
        </m:r>
      </m:oMath>
      <w:r>
        <w:t xml:space="preserve">; Pre</w:t>
      </w:r>
      <w:r>
        <w:t xml:space="preserve"> </w:t>
      </w:r>
      <m:oMath>
        <m:r>
          <m:rPr>
            <m:sty m:val="p"/>
          </m:rPr>
          <m:t>=</m:t>
        </m:r>
      </m:oMath>
      <w:r>
        <w:t xml:space="preserve"> </w:t>
      </w:r>
      <w:r>
        <w:t xml:space="preserve">mean CAR</w:t>
      </w:r>
      <m:oMath>
        <m:r>
          <m:rPr>
            <m:sty m:val="p"/>
          </m:rPr>
          <m:t>[</m:t>
        </m:r>
        <m:r>
          <m:rPr>
            <m:sty m:val="p"/>
          </m:rPr>
          <m:t>−</m:t>
        </m:r>
        <m:r>
          <m:t>5</m:t>
        </m:r>
        <m:r>
          <m:rPr>
            <m:sty m:val="p"/>
          </m:rPr>
          <m:t>,</m:t>
        </m:r>
        <m:r>
          <m:rPr>
            <m:sty m:val="p"/>
          </m:rPr>
          <m:t>−</m:t>
        </m:r>
        <m:r>
          <m:t>1</m:t>
        </m:r>
        <m:r>
          <m:rPr>
            <m:sty m:val="p"/>
          </m:rPr>
          <m:t>]</m:t>
        </m:r>
      </m:oMath>
      <w:r>
        <w:t xml:space="preserve">; Drift</w:t>
      </w:r>
      <w:r>
        <w:t xml:space="preserve"> </w:t>
      </w:r>
      <m:oMath>
        <m:r>
          <m:rPr>
            <m:sty m:val="p"/>
          </m:rPr>
          <m:t>=</m:t>
        </m:r>
      </m:oMath>
      <w:r>
        <w:t xml:space="preserve"> </w:t>
      </w:r>
      <w:r>
        <w:t xml:space="preserve">mean CAR</w:t>
      </w:r>
      <m:oMath>
        <m:r>
          <m:rPr>
            <m:sty m:val="p"/>
          </m:rPr>
          <m:t>[</m:t>
        </m:r>
        <m:r>
          <m:rPr>
            <m:sty m:val="p"/>
          </m:rPr>
          <m:t>+</m:t>
        </m:r>
        <m:r>
          <m:t>2</m:t>
        </m:r>
        <m:r>
          <m:rPr>
            <m:sty m:val="p"/>
          </m:rPr>
          <m:t>,</m:t>
        </m:r>
        <m:r>
          <m:rPr>
            <m:sty m:val="p"/>
          </m:rPr>
          <m:t>+</m:t>
        </m:r>
        <m:r>
          <m:t>10</m:t>
        </m:r>
        <m:r>
          <m:rPr>
            <m:sty m:val="p"/>
          </m:rPr>
          <m:t>]</m:t>
        </m:r>
      </m:oMath>
      <w:r>
        <w:t xml:space="preserve">;</w:t>
      </w:r>
      <w:r>
        <w:t xml:space="preserve"> </w:t>
      </w:r>
      <w:r>
        <w:t xml:space="preserve">Rev. </w:t>
      </w:r>
      <m:oMath>
        <m:r>
          <m:rPr>
            <m:sty m:val="p"/>
          </m:rPr>
          <m:t>=</m:t>
        </m:r>
      </m:oMath>
      <w:r>
        <w:t xml:space="preserve"> </w:t>
      </w:r>
      <w:r>
        <w:t xml:space="preserve">cross-firm corr(CAR</w:t>
      </w:r>
      <m:oMath>
        <m:r>
          <m:rPr>
            <m:sty m:val="p"/>
          </m:rPr>
          <m:t>[</m:t>
        </m:r>
        <m:r>
          <m:t>0</m:t>
        </m:r>
        <m:r>
          <m:rPr>
            <m:sty m:val="p"/>
          </m:rPr>
          <m:t>,</m:t>
        </m:r>
        <m:r>
          <m:rPr>
            <m:sty m:val="p"/>
          </m:rPr>
          <m:t>+</m:t>
        </m:r>
        <m:r>
          <m:t>1</m:t>
        </m:r>
        <m:r>
          <m:rPr>
            <m:sty m:val="p"/>
          </m:rPr>
          <m:t>]</m:t>
        </m:r>
      </m:oMath>
      <w:r>
        <w:t xml:space="preserve">, CAR</w:t>
      </w:r>
      <m:oMath>
        <m:r>
          <m:rPr>
            <m:sty m:val="p"/>
          </m:rPr>
          <m:t>[</m:t>
        </m:r>
        <m:r>
          <m:rPr>
            <m:sty m:val="p"/>
          </m:rPr>
          <m:t>+</m:t>
        </m:r>
        <m:r>
          <m:t>2</m:t>
        </m:r>
        <m:r>
          <m:rPr>
            <m:sty m:val="p"/>
          </m:rPr>
          <m:t>,</m:t>
        </m:r>
        <m:r>
          <m:rPr>
            <m:sty m:val="p"/>
          </m:rPr>
          <m:t>+</m:t>
        </m:r>
        <m:r>
          <m:t>10</m:t>
        </m:r>
        <m:r>
          <m:rPr>
            <m:sty m:val="p"/>
          </m:rPr>
          <m:t>]</m:t>
        </m:r>
      </m:oMath>
      <w:r>
        <w:t xml:space="preserve">). Every number traces to</w:t>
      </w:r>
      <w:r>
        <w:t xml:space="preserve"> </w:t>
      </w:r>
      <w:r>
        <w:rPr>
          <w:rStyle w:val="VerbatimChar"/>
        </w:rPr>
        <w:t xml:space="preserve">output/tables/t1_atlas.csv</w:t>
      </w:r>
      <w:r>
        <w:t xml:space="preserve">.</w:t>
      </w:r>
    </w:p>
    <w:bookmarkStart w:id="43" w:name="tab:sumstats"/>
    <w:p>
      <w:pPr>
        <w:pStyle w:val="TableCaption"/>
      </w:pPr>
      <w:r>
        <w:t xml:space="preserve">Sample summary statistics (observable firm characteristics)</w:t>
      </w:r>
    </w:p>
    <w:tbl>
      <w:tblPr>
        <w:tblStyle w:val="Table"/>
        <w:tblW w:type="auto" w:w="0"/>
        <w:tblLook w:firstRow="1" w:lastRow="0" w:firstColumn="0" w:lastColumn="0" w:noHBand="0" w:noVBand="0" w:val="0020"/>
        <w:tblCaption w:val="Sample summary statistics (observable firm characteristics)"/>
      </w:tblPr>
      <w:tblGrid>
        <w:gridCol w:w="1320"/>
        <w:gridCol w:w="1320"/>
        <w:gridCol w:w="1320"/>
        <w:gridCol w:w="1320"/>
        <w:gridCol w:w="1320"/>
        <w:gridCol w:w="1320"/>
      </w:tblGrid>
      <w:tr>
        <w:trPr>
          <w:tblHeader w:val="on"/>
        </w:trPr>
        <w:tc>
          <w:tcPr/>
          <w:p>
            <w:pPr>
              <w:pStyle w:val="Compact"/>
              <w:jc w:val="left"/>
            </w:pPr>
            <w:r>
              <w:t xml:space="preserve">Shock</w:t>
            </w:r>
          </w:p>
        </w:tc>
        <w:tc>
          <w:tcPr/>
          <w:p>
            <w:pPr>
              <w:pStyle w:val="Compact"/>
              <w:jc w:val="center"/>
            </w:pPr>
            <m:oMath>
              <m:r>
                <m:t>N</m:t>
              </m:r>
            </m:oMath>
            <w:r>
              <w:t xml:space="preserve"> </w:t>
            </w:r>
            <w:r>
              <w:t xml:space="preserve">firms</w:t>
            </w:r>
          </w:p>
        </w:tc>
        <w:tc>
          <w:tcPr/>
          <w:p>
            <w:pPr>
              <w:pStyle w:val="Compact"/>
              <w:jc w:val="center"/>
            </w:pPr>
            <m:oMath>
              <m:bar>
                <m:barPr>
                  <m:pos m:val="top"/>
                </m:barPr>
                <m:e>
                  <m:r>
                    <m:t>β</m:t>
                  </m:r>
                </m:e>
              </m:bar>
            </m:oMath>
          </w:p>
        </w:tc>
        <w:tc>
          <w:tcPr/>
          <w:p>
            <w:pPr>
              <w:pStyle w:val="Compact"/>
              <w:jc w:val="center"/>
            </w:pPr>
            <w:r>
              <w:t xml:space="preserve">SD(</w:t>
            </w:r>
            <m:oMath>
              <m:r>
                <m:t>β</m:t>
              </m:r>
            </m:oMath>
            <w:r>
              <w:t xml:space="preserve">)</w:t>
            </w:r>
          </w:p>
        </w:tc>
        <w:tc>
          <w:tcPr/>
          <w:p>
            <w:pPr>
              <w:pStyle w:val="Compact"/>
              <w:jc w:val="center"/>
            </w:pPr>
            <m:oMath>
              <m:bar>
                <m:barPr>
                  <m:pos m:val="top"/>
                </m:barPr>
                <m:e>
                  <m:r>
                    <m:rPr>
                      <m:sty m:val="p"/>
                    </m:rPr>
                    <m:t>ln</m:t>
                  </m:r>
                  <m:r>
                    <m:rPr>
                      <m:nor/>
                      <m:sty m:val="p"/>
                    </m:rPr>
                    <m:t>MC</m:t>
                  </m:r>
                </m:e>
              </m:bar>
            </m:oMath>
          </w:p>
        </w:tc>
        <w:tc>
          <w:tcPr/>
          <w:p>
            <w:pPr>
              <w:pStyle w:val="Compact"/>
              <w:jc w:val="center"/>
            </w:pPr>
            <w:r>
              <w:t xml:space="preserve">SD CAR[0,+1]</w:t>
            </w:r>
          </w:p>
        </w:tc>
      </w:tr>
      <w:tr>
        <w:tc>
          <w:tcPr/>
          <w:p>
            <w:pPr>
              <w:pStyle w:val="Compact"/>
              <w:jc w:val="left"/>
            </w:pPr>
            <w:r>
              <w:t xml:space="preserve">CHIPS Act signed</w:t>
            </w:r>
          </w:p>
        </w:tc>
        <w:tc>
          <w:tcPr/>
          <w:p>
            <w:pPr>
              <w:pStyle w:val="Compact"/>
              <w:jc w:val="center"/>
            </w:pPr>
            <w:r>
              <w:t xml:space="preserve">1,967</w:t>
            </w:r>
          </w:p>
        </w:tc>
        <w:tc>
          <w:tcPr/>
          <w:p>
            <w:pPr>
              <w:pStyle w:val="Compact"/>
              <w:jc w:val="center"/>
            </w:pPr>
            <w:r>
              <w:t xml:space="preserve">0.95</w:t>
            </w:r>
          </w:p>
        </w:tc>
        <w:tc>
          <w:tcPr/>
          <w:p>
            <w:pPr>
              <w:pStyle w:val="Compact"/>
              <w:jc w:val="center"/>
            </w:pPr>
            <w:r>
              <w:t xml:space="preserve">0.58</w:t>
            </w:r>
          </w:p>
        </w:tc>
        <w:tc>
          <w:tcPr/>
          <w:p>
            <w:pPr>
              <w:pStyle w:val="Compact"/>
              <w:jc w:val="center"/>
            </w:pPr>
            <w:r>
              <w:t xml:space="preserve">9.27</w:t>
            </w:r>
          </w:p>
        </w:tc>
        <w:tc>
          <w:tcPr/>
          <w:p>
            <w:pPr>
              <w:pStyle w:val="Compact"/>
              <w:jc w:val="center"/>
            </w:pPr>
            <w:r>
              <w:t xml:space="preserve">2.90</w:t>
            </w:r>
          </w:p>
        </w:tc>
      </w:tr>
      <w:tr>
        <w:tc>
          <w:tcPr/>
          <w:p>
            <w:pPr>
              <w:pStyle w:val="Compact"/>
              <w:jc w:val="left"/>
            </w:pPr>
            <w:r>
              <w:t xml:space="preserve">IRA / buyback excise tax</w:t>
            </w:r>
          </w:p>
        </w:tc>
        <w:tc>
          <w:tcPr/>
          <w:p>
            <w:pPr>
              <w:pStyle w:val="Compact"/>
              <w:jc w:val="center"/>
            </w:pPr>
            <w:r>
              <w:t xml:space="preserve">1,968</w:t>
            </w:r>
          </w:p>
        </w:tc>
        <w:tc>
          <w:tcPr/>
          <w:p>
            <w:pPr>
              <w:pStyle w:val="Compact"/>
              <w:jc w:val="center"/>
            </w:pPr>
            <w:r>
              <w:t xml:space="preserve">0.96</w:t>
            </w:r>
          </w:p>
        </w:tc>
        <w:tc>
          <w:tcPr/>
          <w:p>
            <w:pPr>
              <w:pStyle w:val="Compact"/>
              <w:jc w:val="center"/>
            </w:pPr>
            <w:r>
              <w:t xml:space="preserve">0.57</w:t>
            </w:r>
          </w:p>
        </w:tc>
        <w:tc>
          <w:tcPr/>
          <w:p>
            <w:pPr>
              <w:pStyle w:val="Compact"/>
              <w:jc w:val="center"/>
            </w:pPr>
            <w:r>
              <w:t xml:space="preserve">9.27</w:t>
            </w:r>
          </w:p>
        </w:tc>
        <w:tc>
          <w:tcPr/>
          <w:p>
            <w:pPr>
              <w:pStyle w:val="Compact"/>
              <w:jc w:val="center"/>
            </w:pPr>
            <w:r>
              <w:t xml:space="preserve">2.49</w:t>
            </w:r>
          </w:p>
        </w:tc>
      </w:tr>
      <w:tr>
        <w:tc>
          <w:tcPr/>
          <w:p>
            <w:pPr>
              <w:pStyle w:val="Compact"/>
              <w:jc w:val="left"/>
            </w:pPr>
            <w:r>
              <w:t xml:space="preserve">ChatGPT release</w:t>
            </w:r>
          </w:p>
        </w:tc>
        <w:tc>
          <w:tcPr/>
          <w:p>
            <w:pPr>
              <w:pStyle w:val="Compact"/>
              <w:jc w:val="center"/>
            </w:pPr>
            <w:r>
              <w:t xml:space="preserve">1,969</w:t>
            </w:r>
          </w:p>
        </w:tc>
        <w:tc>
          <w:tcPr/>
          <w:p>
            <w:pPr>
              <w:pStyle w:val="Compact"/>
              <w:jc w:val="center"/>
            </w:pPr>
            <w:r>
              <w:t xml:space="preserve">0.96</w:t>
            </w:r>
          </w:p>
        </w:tc>
        <w:tc>
          <w:tcPr/>
          <w:p>
            <w:pPr>
              <w:pStyle w:val="Compact"/>
              <w:jc w:val="center"/>
            </w:pPr>
            <w:r>
              <w:t xml:space="preserve">0.54</w:t>
            </w:r>
          </w:p>
        </w:tc>
        <w:tc>
          <w:tcPr/>
          <w:p>
            <w:pPr>
              <w:pStyle w:val="Compact"/>
              <w:jc w:val="center"/>
            </w:pPr>
            <w:r>
              <w:t xml:space="preserve">9.27</w:t>
            </w:r>
          </w:p>
        </w:tc>
        <w:tc>
          <w:tcPr/>
          <w:p>
            <w:pPr>
              <w:pStyle w:val="Compact"/>
              <w:jc w:val="center"/>
            </w:pPr>
            <w:r>
              <w:t xml:space="preserve">3.12</w:t>
            </w:r>
          </w:p>
        </w:tc>
      </w:tr>
      <w:tr>
        <w:tc>
          <w:tcPr/>
          <w:p>
            <w:pPr>
              <w:pStyle w:val="Compact"/>
              <w:jc w:val="left"/>
            </w:pPr>
            <w:r>
              <w:t xml:space="preserve">SVB collapse</w:t>
            </w:r>
          </w:p>
        </w:tc>
        <w:tc>
          <w:tcPr/>
          <w:p>
            <w:pPr>
              <w:pStyle w:val="Compact"/>
              <w:jc w:val="center"/>
            </w:pPr>
            <w:r>
              <w:t xml:space="preserve">1,977</w:t>
            </w:r>
          </w:p>
        </w:tc>
        <w:tc>
          <w:tcPr/>
          <w:p>
            <w:pPr>
              <w:pStyle w:val="Compact"/>
              <w:jc w:val="center"/>
            </w:pPr>
            <w:r>
              <w:t xml:space="preserve">0.97</w:t>
            </w:r>
          </w:p>
        </w:tc>
        <w:tc>
          <w:tcPr/>
          <w:p>
            <w:pPr>
              <w:pStyle w:val="Compact"/>
              <w:jc w:val="center"/>
            </w:pPr>
            <w:r>
              <w:t xml:space="preserve">0.49</w:t>
            </w:r>
          </w:p>
        </w:tc>
        <w:tc>
          <w:tcPr/>
          <w:p>
            <w:pPr>
              <w:pStyle w:val="Compact"/>
              <w:jc w:val="center"/>
            </w:pPr>
            <w:r>
              <w:t xml:space="preserve">9.27</w:t>
            </w:r>
          </w:p>
        </w:tc>
        <w:tc>
          <w:tcPr/>
          <w:p>
            <w:pPr>
              <w:pStyle w:val="Compact"/>
              <w:jc w:val="center"/>
            </w:pPr>
            <w:r>
              <w:t xml:space="preserve">4.21</w:t>
            </w:r>
          </w:p>
        </w:tc>
      </w:tr>
      <w:tr>
        <w:tc>
          <w:tcPr/>
          <w:p>
            <w:pPr>
              <w:pStyle w:val="Compact"/>
              <w:jc w:val="left"/>
            </w:pPr>
            <w:r>
              <w:t xml:space="preserve">GPT-4 release</w:t>
            </w:r>
          </w:p>
        </w:tc>
        <w:tc>
          <w:tcPr/>
          <w:p>
            <w:pPr>
              <w:pStyle w:val="Compact"/>
              <w:jc w:val="center"/>
            </w:pPr>
            <w:r>
              <w:t xml:space="preserve">1,977</w:t>
            </w:r>
          </w:p>
        </w:tc>
        <w:tc>
          <w:tcPr/>
          <w:p>
            <w:pPr>
              <w:pStyle w:val="Compact"/>
              <w:jc w:val="center"/>
            </w:pPr>
            <w:r>
              <w:t xml:space="preserve">0.97</w:t>
            </w:r>
          </w:p>
        </w:tc>
        <w:tc>
          <w:tcPr/>
          <w:p>
            <w:pPr>
              <w:pStyle w:val="Compact"/>
              <w:jc w:val="center"/>
            </w:pPr>
            <w:r>
              <w:t xml:space="preserve">0.49</w:t>
            </w:r>
          </w:p>
        </w:tc>
        <w:tc>
          <w:tcPr/>
          <w:p>
            <w:pPr>
              <w:pStyle w:val="Compact"/>
              <w:jc w:val="center"/>
            </w:pPr>
            <w:r>
              <w:t xml:space="preserve">9.27</w:t>
            </w:r>
          </w:p>
        </w:tc>
        <w:tc>
          <w:tcPr/>
          <w:p>
            <w:pPr>
              <w:pStyle w:val="Compact"/>
              <w:jc w:val="center"/>
            </w:pPr>
            <w:r>
              <w:t xml:space="preserve">3.23</w:t>
            </w:r>
          </w:p>
        </w:tc>
      </w:tr>
      <w:tr>
        <w:tc>
          <w:tcPr/>
          <w:p>
            <w:pPr>
              <w:pStyle w:val="Compact"/>
              <w:jc w:val="left"/>
            </w:pPr>
            <w:r>
              <w:t xml:space="preserve">SEC 5-day 13D rule</w:t>
            </w:r>
          </w:p>
        </w:tc>
        <w:tc>
          <w:tcPr/>
          <w:p>
            <w:pPr>
              <w:pStyle w:val="Compact"/>
              <w:jc w:val="center"/>
            </w:pPr>
            <w:r>
              <w:t xml:space="preserve">1,957</w:t>
            </w:r>
          </w:p>
        </w:tc>
        <w:tc>
          <w:tcPr/>
          <w:p>
            <w:pPr>
              <w:pStyle w:val="Compact"/>
              <w:jc w:val="center"/>
            </w:pPr>
            <w:r>
              <w:t xml:space="preserve">1.02</w:t>
            </w:r>
          </w:p>
        </w:tc>
        <w:tc>
          <w:tcPr/>
          <w:p>
            <w:pPr>
              <w:pStyle w:val="Compact"/>
              <w:jc w:val="center"/>
            </w:pPr>
            <w:r>
              <w:t xml:space="preserve">0.54</w:t>
            </w:r>
          </w:p>
        </w:tc>
        <w:tc>
          <w:tcPr/>
          <w:p>
            <w:pPr>
              <w:pStyle w:val="Compact"/>
              <w:jc w:val="center"/>
            </w:pPr>
            <w:r>
              <w:t xml:space="preserve">9.28</w:t>
            </w:r>
          </w:p>
        </w:tc>
        <w:tc>
          <w:tcPr/>
          <w:p>
            <w:pPr>
              <w:pStyle w:val="Compact"/>
              <w:jc w:val="center"/>
            </w:pPr>
            <w:r>
              <w:t xml:space="preserve">2.82</w:t>
            </w:r>
          </w:p>
        </w:tc>
      </w:tr>
      <w:tr>
        <w:tc>
          <w:tcPr/>
          <w:p>
            <w:pPr>
              <w:pStyle w:val="Compact"/>
              <w:jc w:val="left"/>
            </w:pPr>
            <w:r>
              <w:t xml:space="preserve">Reciprocal tariff shock</w:t>
            </w:r>
          </w:p>
        </w:tc>
        <w:tc>
          <w:tcPr/>
          <w:p>
            <w:pPr>
              <w:pStyle w:val="Compact"/>
              <w:jc w:val="center"/>
            </w:pPr>
            <w:r>
              <w:t xml:space="preserve">1,913</w:t>
            </w:r>
          </w:p>
        </w:tc>
        <w:tc>
          <w:tcPr/>
          <w:p>
            <w:pPr>
              <w:pStyle w:val="Compact"/>
              <w:jc w:val="center"/>
            </w:pPr>
            <w:r>
              <w:t xml:space="preserve">0.82</w:t>
            </w:r>
          </w:p>
        </w:tc>
        <w:tc>
          <w:tcPr/>
          <w:p>
            <w:pPr>
              <w:pStyle w:val="Compact"/>
              <w:jc w:val="center"/>
            </w:pPr>
            <w:r>
              <w:t xml:space="preserve">0.55</w:t>
            </w:r>
          </w:p>
        </w:tc>
        <w:tc>
          <w:tcPr/>
          <w:p>
            <w:pPr>
              <w:pStyle w:val="Compact"/>
              <w:jc w:val="center"/>
            </w:pPr>
            <w:r>
              <w:t xml:space="preserve">9.29</w:t>
            </w:r>
          </w:p>
        </w:tc>
        <w:tc>
          <w:tcPr/>
          <w:p>
            <w:pPr>
              <w:pStyle w:val="Compact"/>
              <w:jc w:val="center"/>
            </w:pPr>
            <w:r>
              <w:t xml:space="preserve">5.84</w:t>
            </w:r>
          </w:p>
        </w:tc>
      </w:tr>
      <w:tr>
        <w:tc>
          <w:tcPr/>
          <w:p>
            <w:pPr>
              <w:pStyle w:val="Compact"/>
              <w:jc w:val="left"/>
            </w:pPr>
            <w:r>
              <w:t xml:space="preserve">Tariff pause</w:t>
            </w:r>
          </w:p>
        </w:tc>
        <w:tc>
          <w:tcPr/>
          <w:p>
            <w:pPr>
              <w:pStyle w:val="Compact"/>
              <w:jc w:val="center"/>
            </w:pPr>
            <w:r>
              <w:t xml:space="preserve">1,913</w:t>
            </w:r>
          </w:p>
        </w:tc>
        <w:tc>
          <w:tcPr/>
          <w:p>
            <w:pPr>
              <w:pStyle w:val="Compact"/>
              <w:jc w:val="center"/>
            </w:pPr>
            <w:r>
              <w:t xml:space="preserve">0.83</w:t>
            </w:r>
          </w:p>
        </w:tc>
        <w:tc>
          <w:tcPr/>
          <w:p>
            <w:pPr>
              <w:pStyle w:val="Compact"/>
              <w:jc w:val="center"/>
            </w:pPr>
            <w:r>
              <w:t xml:space="preserve">0.55</w:t>
            </w:r>
          </w:p>
        </w:tc>
        <w:tc>
          <w:tcPr/>
          <w:p>
            <w:pPr>
              <w:pStyle w:val="Compact"/>
              <w:jc w:val="center"/>
            </w:pPr>
            <w:r>
              <w:t xml:space="preserve">9.29</w:t>
            </w:r>
          </w:p>
        </w:tc>
        <w:tc>
          <w:tcPr/>
          <w:p>
            <w:pPr>
              <w:pStyle w:val="Compact"/>
              <w:jc w:val="center"/>
            </w:pPr>
            <w:r>
              <w:t xml:space="preserve">3.47</w:t>
            </w:r>
          </w:p>
        </w:tc>
      </w:tr>
      <w:tr>
        <w:tc>
          <w:tcPr/>
          <w:p>
            <w:pPr>
              <w:pStyle w:val="Compact"/>
              <w:jc w:val="left"/>
            </w:pPr>
            <w:r>
              <w:t xml:space="preserve">GENIUS Act signed</w:t>
            </w:r>
          </w:p>
        </w:tc>
        <w:tc>
          <w:tcPr/>
          <w:p>
            <w:pPr>
              <w:pStyle w:val="Compact"/>
              <w:jc w:val="center"/>
            </w:pPr>
            <w:r>
              <w:t xml:space="preserve">1,895</w:t>
            </w:r>
          </w:p>
        </w:tc>
        <w:tc>
          <w:tcPr/>
          <w:p>
            <w:pPr>
              <w:pStyle w:val="Compact"/>
              <w:jc w:val="center"/>
            </w:pPr>
            <w:r>
              <w:t xml:space="preserve">0.86</w:t>
            </w:r>
          </w:p>
        </w:tc>
        <w:tc>
          <w:tcPr/>
          <w:p>
            <w:pPr>
              <w:pStyle w:val="Compact"/>
              <w:jc w:val="center"/>
            </w:pPr>
            <w:r>
              <w:t xml:space="preserve">0.51</w:t>
            </w:r>
          </w:p>
        </w:tc>
        <w:tc>
          <w:tcPr/>
          <w:p>
            <w:pPr>
              <w:pStyle w:val="Compact"/>
              <w:jc w:val="center"/>
            </w:pPr>
            <w:r>
              <w:t xml:space="preserve">9.30</w:t>
            </w:r>
          </w:p>
        </w:tc>
        <w:tc>
          <w:tcPr/>
          <w:p>
            <w:pPr>
              <w:pStyle w:val="Compact"/>
              <w:jc w:val="center"/>
            </w:pPr>
            <w:r>
              <w:t xml:space="preserve">2.72</w:t>
            </w:r>
          </w:p>
        </w:tc>
      </w:tr>
      <w:tr>
        <w:tc>
          <w:tcPr/>
          <w:p>
            <w:pPr>
              <w:pStyle w:val="Compact"/>
              <w:jc w:val="left"/>
            </w:pPr>
            <w:r>
              <w:t xml:space="preserve">Reg NMS half-cent tick</w:t>
            </w:r>
          </w:p>
        </w:tc>
        <w:tc>
          <w:tcPr/>
          <w:p>
            <w:pPr>
              <w:pStyle w:val="Compact"/>
              <w:jc w:val="center"/>
            </w:pPr>
            <w:r>
              <w:t xml:space="preserve">1,881</w:t>
            </w:r>
          </w:p>
        </w:tc>
        <w:tc>
          <w:tcPr/>
          <w:p>
            <w:pPr>
              <w:pStyle w:val="Compact"/>
              <w:jc w:val="center"/>
            </w:pPr>
            <w:r>
              <w:t xml:space="preserve">0.87</w:t>
            </w:r>
          </w:p>
        </w:tc>
        <w:tc>
          <w:tcPr/>
          <w:p>
            <w:pPr>
              <w:pStyle w:val="Compact"/>
              <w:jc w:val="center"/>
            </w:pPr>
            <w:r>
              <w:t xml:space="preserve">0.51</w:t>
            </w:r>
          </w:p>
        </w:tc>
        <w:tc>
          <w:tcPr/>
          <w:p>
            <w:pPr>
              <w:pStyle w:val="Compact"/>
              <w:jc w:val="center"/>
            </w:pPr>
            <w:r>
              <w:t xml:space="preserve">9.30</w:t>
            </w:r>
          </w:p>
        </w:tc>
        <w:tc>
          <w:tcPr/>
          <w:p>
            <w:pPr>
              <w:pStyle w:val="Compact"/>
              <w:jc w:val="center"/>
            </w:pPr>
            <w:r>
              <w:t xml:space="preserve">5.20</w:t>
            </w:r>
          </w:p>
        </w:tc>
      </w:tr>
      <w:tr>
        <w:tc>
          <w:tcPr/>
          <w:p>
            <w:pPr>
              <w:pStyle w:val="Compact"/>
              <w:jc w:val="left"/>
            </w:pPr>
            <w:r>
              <w:rPr>
                <w:i/>
                <w:iCs/>
              </w:rPr>
              <w:t xml:space="preserve">All firm</w:t>
            </w:r>
            <m:oMath>
              <m:r>
                <m:rPr>
                  <m:sty m:val="p"/>
                </m:rPr>
                <m:t>×</m:t>
              </m:r>
            </m:oMath>
            <w:r>
              <w:rPr>
                <w:i/>
                <w:iCs/>
              </w:rPr>
              <w:t xml:space="preserve">shock</w:t>
            </w:r>
          </w:p>
        </w:tc>
        <w:tc>
          <w:tcPr/>
          <w:p>
            <w:pPr>
              <w:pStyle w:val="Compact"/>
              <w:jc w:val="center"/>
            </w:pPr>
            <w:r>
              <w:t xml:space="preserve">19,417</w:t>
            </w:r>
          </w:p>
        </w:tc>
        <w:tc>
          <w:tcPr/>
          <w:p>
            <w:pPr>
              <w:pStyle w:val="Compact"/>
              <w:jc w:val="center"/>
            </w:pPr>
            <w:r>
              <w:t xml:space="preserve">0.92</w:t>
            </w:r>
          </w:p>
        </w:tc>
        <w:tc>
          <w:tcPr/>
          <w:p>
            <w:pPr>
              <w:pStyle w:val="Compact"/>
              <w:jc w:val="center"/>
            </w:pPr>
            <w:r>
              <w:t xml:space="preserve">0.54</w:t>
            </w:r>
          </w:p>
        </w:tc>
        <w:tc>
          <w:tcPr/>
          <w:p>
            <w:pPr>
              <w:pStyle w:val="Compact"/>
              <w:jc w:val="center"/>
            </w:pPr>
            <w:r>
              <w:t xml:space="preserve">9.28</w:t>
            </w:r>
          </w:p>
        </w:tc>
        <w:tc>
          <w:tcPr/>
          <w:p>
            <w:pPr>
              <w:pStyle w:val="Compact"/>
              <w:jc w:val="center"/>
            </w:pPr>
            <w:r>
              <w:t xml:space="preserve">3.77</w:t>
            </w:r>
          </w:p>
        </w:tc>
      </w:tr>
    </w:tbl>
    <w:bookmarkEnd w:id="43"/>
    <w:p>
      <w:pPr>
        <w:pStyle w:val="BodyText"/>
      </w:pPr>
      <w:r>
        <w:rPr>
          <w:i/>
          <w:iCs/>
        </w:rPr>
        <w:t xml:space="preserve">Notes:</w:t>
      </w:r>
      <w:r>
        <w:t xml:space="preserve"> </w:t>
      </w:r>
      <w:r>
        <w:t xml:space="preserve">For each shock, the number of sample firms with a clean</w:t>
      </w:r>
      <w:r>
        <w:t xml:space="preserve"> </w:t>
      </w:r>
      <w:r>
        <w:t xml:space="preserve">market model, the mean and SD of market beta, the mean log market capitalization, and the</w:t>
      </w:r>
      <w:r>
        <w:t xml:space="preserve"> </w:t>
      </w:r>
      <w:r>
        <w:t xml:space="preserve">cross-sectional SD of announcement CARs (%). The final row pools all firm</w:t>
      </w:r>
      <m:oMath>
        <m:r>
          <m:rPr>
            <m:sty m:val="p"/>
          </m:rPr>
          <m:t>×</m:t>
        </m:r>
      </m:oMath>
      <w:r>
        <w:t xml:space="preserve">shock observations.</w:t>
      </w:r>
      <w:r>
        <w:t xml:space="preserve"> </w:t>
      </w:r>
      <w:r>
        <w:t xml:space="preserve">Characteristics are generic observables; no shock-specific exposure measure is used.</w:t>
      </w:r>
    </w:p>
    <w:bookmarkStart w:id="44" w:name="tab:meta"/>
    <w:p>
      <w:pPr>
        <w:pStyle w:val="TableCaption"/>
      </w:pPr>
      <w:r>
        <w:t xml:space="preserve">Meta-statistics across the ten shocks</w:t>
      </w:r>
    </w:p>
    <w:tbl>
      <w:tblPr>
        <w:tblStyle w:val="Table"/>
        <w:tblW w:type="auto" w:w="0"/>
        <w:tblLook w:firstRow="1" w:lastRow="0" w:firstColumn="0" w:lastColumn="0" w:noHBand="0" w:noVBand="0" w:val="0020"/>
        <w:tblCaption w:val="Meta-statistics across the ten shocks"/>
      </w:tblPr>
      <w:tblGrid>
        <w:gridCol w:w="3960"/>
        <w:gridCol w:w="3960"/>
      </w:tblGrid>
      <w:tr>
        <w:trPr>
          <w:tblHeader w:val="on"/>
        </w:trPr>
        <w:tc>
          <w:tcPr/>
          <w:p>
            <w:pPr>
              <w:pStyle w:val="Compact"/>
              <w:jc w:val="left"/>
            </w:pPr>
            <w:r>
              <w:t xml:space="preserve">Meta-statistic (across shocks)</w:t>
            </w:r>
          </w:p>
        </w:tc>
        <w:tc>
          <w:tcPr/>
          <w:p>
            <w:pPr>
              <w:pStyle w:val="Compact"/>
              <w:jc w:val="center"/>
            </w:pPr>
            <w:r>
              <w:t xml:space="preserve">Value</w:t>
            </w:r>
          </w:p>
        </w:tc>
      </w:tr>
      <w:tr>
        <w:tc>
          <w:tcPr/>
          <w:p>
            <w:pPr>
              <w:pStyle w:val="Compact"/>
              <w:jc w:val="left"/>
            </w:pPr>
            <w:r>
              <w:t xml:space="preserve">Mean</w:t>
            </w:r>
            <w:r>
              <w:t xml:space="preserve"> </w:t>
            </w:r>
            <m:oMath>
              <m:r>
                <m:rPr>
                  <m:sty m:val="p"/>
                </m:rPr>
                <m:t>|</m:t>
              </m:r>
            </m:oMath>
            <w:r>
              <w:t xml:space="preserve">announcement CAR[0,+1]</w:t>
            </w:r>
            <m:oMath>
              <m:r>
                <m:rPr>
                  <m:sty m:val="p"/>
                </m:rPr>
                <m:t>|</m:t>
              </m:r>
            </m:oMath>
            <w:r>
              <w:t xml:space="preserve"> </w:t>
            </w:r>
            <w:r>
              <w:t xml:space="preserve">(%)</w:t>
            </w:r>
          </w:p>
        </w:tc>
        <w:tc>
          <w:tcPr/>
          <w:p>
            <w:pPr>
              <w:pStyle w:val="Compact"/>
              <w:jc w:val="center"/>
            </w:pPr>
            <w:r>
              <w:t xml:space="preserve">0.500</w:t>
            </w:r>
          </w:p>
        </w:tc>
      </w:tr>
      <w:tr>
        <w:tc>
          <w:tcPr/>
          <w:p>
            <w:pPr>
              <w:pStyle w:val="Compact"/>
              <w:jc w:val="left"/>
            </w:pPr>
            <w:r>
              <w:t xml:space="preserve">Mean cross-sectional SD of CAR[0,+1] (%)</w:t>
            </w:r>
          </w:p>
        </w:tc>
        <w:tc>
          <w:tcPr/>
          <w:p>
            <w:pPr>
              <w:pStyle w:val="Compact"/>
              <w:jc w:val="center"/>
            </w:pPr>
            <w:r>
              <w:t xml:space="preserve">3.599</w:t>
            </w:r>
          </w:p>
        </w:tc>
      </w:tr>
      <w:tr>
        <w:tc>
          <w:tcPr/>
          <w:p>
            <w:pPr>
              <w:pStyle w:val="Compact"/>
              <w:jc w:val="left"/>
            </w:pPr>
            <w:r>
              <w:t xml:space="preserve">Mean anticipation share</w:t>
            </w:r>
            <w:r>
              <w:t xml:space="preserve"> </w:t>
            </w:r>
            <m:oMath>
              <m:r>
                <m:rPr>
                  <m:sty m:val="p"/>
                </m:rPr>
                <m:t>|</m:t>
              </m:r>
            </m:oMath>
            <w:r>
              <w:t xml:space="preserve">pre</w:t>
            </w:r>
            <m:oMath>
              <m:r>
                <m:rPr>
                  <m:sty m:val="p"/>
                </m:rPr>
                <m:t>|</m:t>
              </m:r>
            </m:oMath>
            <w:r>
              <w:t xml:space="preserve">/(</w:t>
            </w:r>
            <m:oMath>
              <m:r>
                <m:rPr>
                  <m:sty m:val="p"/>
                </m:rPr>
                <m:t>|</m:t>
              </m:r>
            </m:oMath>
            <w:r>
              <w:t xml:space="preserve">pre</w:t>
            </w:r>
            <m:oMath>
              <m:r>
                <m:rPr>
                  <m:sty m:val="p"/>
                </m:rPr>
                <m:t>|</m:t>
              </m:r>
            </m:oMath>
            <w:r>
              <w:t xml:space="preserve">+</w:t>
            </w:r>
            <m:oMath>
              <m:r>
                <m:rPr>
                  <m:sty m:val="p"/>
                </m:rPr>
                <m:t>|</m:t>
              </m:r>
            </m:oMath>
            <w:r>
              <w:t xml:space="preserve">ann</w:t>
            </w:r>
            <m:oMath>
              <m:r>
                <m:rPr>
                  <m:sty m:val="p"/>
                </m:rPr>
                <m:t>|</m:t>
              </m:r>
            </m:oMath>
            <w:r>
              <w:t xml:space="preserve">)</w:t>
            </w:r>
          </w:p>
        </w:tc>
        <w:tc>
          <w:tcPr/>
          <w:p>
            <w:pPr>
              <w:pStyle w:val="Compact"/>
              <w:jc w:val="center"/>
            </w:pPr>
            <w:r>
              <w:t xml:space="preserve">0.686</w:t>
            </w:r>
          </w:p>
        </w:tc>
      </w:tr>
      <w:tr>
        <w:tc>
          <w:tcPr/>
          <w:p>
            <w:pPr>
              <w:pStyle w:val="Compact"/>
              <w:jc w:val="left"/>
            </w:pPr>
            <w:r>
              <w:t xml:space="preserve">Mean completeness</w:t>
            </w:r>
            <w:r>
              <w:t xml:space="preserve"> </w:t>
            </w:r>
            <m:oMath>
              <m:r>
                <m:rPr>
                  <m:sty m:val="p"/>
                </m:rPr>
                <m:t>|</m:t>
              </m:r>
            </m:oMath>
            <w:r>
              <w:t xml:space="preserve">ann</w:t>
            </w:r>
            <m:oMath>
              <m:r>
                <m:rPr>
                  <m:sty m:val="p"/>
                </m:rPr>
                <m:t>|</m:t>
              </m:r>
            </m:oMath>
            <w:r>
              <w:t xml:space="preserve">/(</w:t>
            </w:r>
            <m:oMath>
              <m:r>
                <m:rPr>
                  <m:sty m:val="p"/>
                </m:rPr>
                <m:t>|</m:t>
              </m:r>
            </m:oMath>
            <w:r>
              <w:t xml:space="preserve">ann</w:t>
            </w:r>
            <m:oMath>
              <m:r>
                <m:rPr>
                  <m:sty m:val="p"/>
                </m:rPr>
                <m:t>|</m:t>
              </m:r>
            </m:oMath>
            <w:r>
              <w:t xml:space="preserve">+</w:t>
            </w:r>
            <m:oMath>
              <m:r>
                <m:rPr>
                  <m:sty m:val="p"/>
                </m:rPr>
                <m:t>|</m:t>
              </m:r>
            </m:oMath>
            <w:r>
              <w:t xml:space="preserve">drift</w:t>
            </w:r>
            <m:oMath>
              <m:r>
                <m:rPr>
                  <m:sty m:val="p"/>
                </m:rPr>
                <m:t>|</m:t>
              </m:r>
            </m:oMath>
            <w:r>
              <w:t xml:space="preserve">)</w:t>
            </w:r>
          </w:p>
        </w:tc>
        <w:tc>
          <w:tcPr/>
          <w:p>
            <w:pPr>
              <w:pStyle w:val="Compact"/>
              <w:jc w:val="center"/>
            </w:pPr>
            <w:r>
              <w:t xml:space="preserve">0.357</w:t>
            </w:r>
          </w:p>
        </w:tc>
      </w:tr>
      <w:tr>
        <w:tc>
          <w:tcPr/>
          <w:p>
            <w:pPr>
              <w:pStyle w:val="Compact"/>
              <w:jc w:val="left"/>
            </w:pPr>
            <w:r>
              <w:t xml:space="preserve">Mean reversal corr(ann,drift)</w:t>
            </w:r>
          </w:p>
        </w:tc>
        <w:tc>
          <w:tcPr/>
          <w:p>
            <w:pPr>
              <w:pStyle w:val="Compact"/>
              <w:jc w:val="center"/>
            </w:pPr>
            <w:r>
              <w:t xml:space="preserve">0.015</w:t>
            </w:r>
          </w:p>
        </w:tc>
      </w:tr>
      <w:tr>
        <w:tc>
          <w:tcPr/>
          <w:p>
            <w:pPr>
              <w:pStyle w:val="Compact"/>
              <w:jc w:val="left"/>
            </w:pPr>
            <w:r>
              <w:t xml:space="preserve">Share of shocks with negative reversal corr</w:t>
            </w:r>
          </w:p>
        </w:tc>
        <w:tc>
          <w:tcPr/>
          <w:p>
            <w:pPr>
              <w:pStyle w:val="Compact"/>
              <w:jc w:val="center"/>
            </w:pPr>
            <w:r>
              <w:t xml:space="preserve">0.600</w:t>
            </w:r>
          </w:p>
        </w:tc>
      </w:tr>
      <w:tr>
        <w:tc>
          <w:tcPr/>
          <w:p>
            <w:pPr>
              <w:pStyle w:val="Compact"/>
              <w:jc w:val="left"/>
            </w:pPr>
            <w:r>
              <w:t xml:space="preserve">Corr(</w:t>
            </w:r>
            <m:oMath>
              <m:r>
                <m:rPr>
                  <m:sty m:val="p"/>
                </m:rPr>
                <m:t>|</m:t>
              </m:r>
            </m:oMath>
            <w:r>
              <w:t xml:space="preserve">market move</w:t>
            </w:r>
            <m:oMath>
              <m:r>
                <m:rPr>
                  <m:sty m:val="p"/>
                </m:rPr>
                <m:t>|</m:t>
              </m:r>
            </m:oMath>
            <w:r>
              <w:t xml:space="preserve">, cross-sectional SD)</w:t>
            </w:r>
          </w:p>
        </w:tc>
        <w:tc>
          <w:tcPr/>
          <w:p>
            <w:pPr>
              <w:pStyle w:val="Compact"/>
              <w:jc w:val="center"/>
            </w:pPr>
            <w:r>
              <w:t xml:space="preserve">0.686</w:t>
            </w:r>
          </w:p>
        </w:tc>
      </w:tr>
    </w:tbl>
    <w:bookmarkEnd w:id="44"/>
    <w:p>
      <w:pPr>
        <w:pStyle w:val="BodyText"/>
      </w:pPr>
      <w:r>
        <w:rPr>
          <w:i/>
          <w:iCs/>
        </w:rPr>
        <w:t xml:space="preserve">Notes:</w:t>
      </w:r>
      <w:r>
        <w:t xml:space="preserve"> </w:t>
      </w:r>
      <w:r>
        <w:t xml:space="preserve">Descriptive cross-shock statistics (</w:t>
      </w:r>
      <m:oMath>
        <m:r>
          <m:t>n</m:t>
        </m:r>
        <m:r>
          <m:rPr>
            <m:sty m:val="p"/>
          </m:rPr>
          <m:t>=</m:t>
        </m:r>
        <m:r>
          <m:t>10</m:t>
        </m:r>
      </m:oMath>
      <w:r>
        <w:t xml:space="preserve">). The</w:t>
      </w:r>
      <w:r>
        <w:t xml:space="preserve"> </w:t>
      </w:r>
      <w:r>
        <w:t xml:space="preserve">correlation in the last row is subjected to a formal fragility analysis in Table </w:t>
      </w:r>
      <w:hyperlink w:anchor="tab:boot">
        <w:r>
          <w:rPr>
            <w:rStyle w:val="Hyperlink"/>
          </w:rPr>
          <w:t xml:space="preserve">12</w:t>
        </w:r>
      </w:hyperlink>
      <w:r>
        <w:t xml:space="preserve">.</w:t>
      </w:r>
    </w:p>
    <w:bookmarkStart w:id="45" w:name="tab:diff"/>
    <w:p>
      <w:pPr>
        <w:pStyle w:val="TableCaption"/>
      </w:pPr>
      <w:r>
        <w:t xml:space="preserve">Differentiation is real: event-window dispersion vs. a placebo distribution</w:t>
      </w:r>
    </w:p>
    <w:tbl>
      <w:tblPr>
        <w:tblStyle w:val="Table"/>
        <w:tblW w:type="auto" w:w="0"/>
        <w:tblLook w:firstRow="1" w:lastRow="0" w:firstColumn="0" w:lastColumn="0" w:noHBand="0" w:noVBand="0" w:val="0020"/>
        <w:tblCaption w:val="Differentiation is real: event-window dispersion vs. a placebo distribution"/>
      </w:tblPr>
      <w:tblGrid>
        <w:gridCol w:w="1131"/>
        <w:gridCol w:w="1131"/>
        <w:gridCol w:w="1131"/>
        <w:gridCol w:w="1131"/>
        <w:gridCol w:w="1131"/>
        <w:gridCol w:w="1131"/>
        <w:gridCol w:w="1131"/>
      </w:tblGrid>
      <w:tr>
        <w:trPr>
          <w:tblHeader w:val="on"/>
        </w:trPr>
        <w:tc>
          <w:tcPr/>
          <w:p>
            <w:pPr>
              <w:pStyle w:val="Compact"/>
              <w:jc w:val="left"/>
            </w:pPr>
            <w:r>
              <w:t xml:space="preserve">Shock</w:t>
            </w:r>
          </w:p>
        </w:tc>
        <w:tc>
          <w:tcPr/>
          <w:p>
            <w:pPr>
              <w:pStyle w:val="Compact"/>
              <w:jc w:val="left"/>
            </w:pPr>
            <w:r>
              <w:t xml:space="preserve">Type</w:t>
            </w:r>
          </w:p>
        </w:tc>
        <w:tc>
          <w:tcPr/>
          <w:p>
            <w:pPr>
              <w:pStyle w:val="Compact"/>
              <w:jc w:val="center"/>
            </w:pPr>
            <w:r>
              <w:t xml:space="preserve">SD</w:t>
            </w:r>
            <m:oMath>
              <m:sSub>
                <m:e>
                  <m:r>
                    <m:t>​</m:t>
                  </m:r>
                </m:e>
                <m:sub>
                  <m:r>
                    <m:rPr>
                      <m:nor/>
                      <m:sty m:val="p"/>
                    </m:rPr>
                    <m:t>event</m:t>
                  </m:r>
                </m:sub>
              </m:sSub>
            </m:oMath>
          </w:p>
        </w:tc>
        <w:tc>
          <w:tcPr/>
          <w:p>
            <w:pPr>
              <w:pStyle w:val="Compact"/>
              <w:jc w:val="center"/>
            </w:pPr>
            <w:r>
              <w:t xml:space="preserve">SD</w:t>
            </w:r>
            <m:oMath>
              <m:sSub>
                <m:e>
                  <m:r>
                    <m:t>​</m:t>
                  </m:r>
                </m:e>
                <m:sub>
                  <m:r>
                    <m:rPr>
                      <m:nor/>
                      <m:sty m:val="p"/>
                    </m:rPr>
                    <m:t>placebo</m:t>
                  </m:r>
                </m:sub>
              </m:sSub>
            </m:oMath>
          </w:p>
        </w:tc>
        <w:tc>
          <w:tcPr/>
          <w:p>
            <w:pPr>
              <w:pStyle w:val="Compact"/>
              <w:jc w:val="center"/>
            </w:pPr>
            <w:r>
              <w:t xml:space="preserve">Ratio</w:t>
            </w:r>
          </w:p>
        </w:tc>
        <w:tc>
          <w:tcPr/>
          <w:p>
            <w:pPr>
              <w:pStyle w:val="Compact"/>
              <w:jc w:val="center"/>
            </w:pPr>
            <w:r>
              <w:t xml:space="preserve">Pctile</w:t>
            </w:r>
          </w:p>
        </w:tc>
        <w:tc>
          <w:tcPr/>
          <w:p>
            <w:pPr>
              <w:pStyle w:val="Compact"/>
              <w:jc w:val="center"/>
            </w:pPr>
            <m:oMath>
              <m:r>
                <m:t>p</m:t>
              </m:r>
            </m:oMath>
          </w:p>
        </w:tc>
      </w:tr>
      <w:tr>
        <w:tc>
          <w:tcPr/>
          <w:p>
            <w:pPr>
              <w:pStyle w:val="Compact"/>
              <w:jc w:val="left"/>
            </w:pPr>
            <w:r>
              <w:t xml:space="preserve">Reg NMS half-cent tick</w:t>
            </w:r>
          </w:p>
        </w:tc>
        <w:tc>
          <w:tcPr/>
          <w:p>
            <w:pPr>
              <w:pStyle w:val="Compact"/>
              <w:jc w:val="left"/>
            </w:pPr>
            <w:r>
              <w:t xml:space="preserve">Microstructure</w:t>
            </w:r>
          </w:p>
        </w:tc>
        <w:tc>
          <w:tcPr/>
          <w:p>
            <w:pPr>
              <w:pStyle w:val="Compact"/>
              <w:jc w:val="center"/>
            </w:pPr>
            <w:r>
              <w:t xml:space="preserve">5.15</w:t>
            </w:r>
          </w:p>
        </w:tc>
        <w:tc>
          <w:tcPr/>
          <w:p>
            <w:pPr>
              <w:pStyle w:val="Compact"/>
              <w:jc w:val="center"/>
            </w:pPr>
            <w:r>
              <w:t xml:space="preserve">2.78</w:t>
            </w:r>
          </w:p>
        </w:tc>
        <w:tc>
          <w:tcPr/>
          <w:p>
            <w:pPr>
              <w:pStyle w:val="Compact"/>
              <w:jc w:val="center"/>
            </w:pPr>
            <w:r>
              <w:t xml:space="preserve">1.85</w:t>
            </w:r>
          </w:p>
        </w:tc>
        <w:tc>
          <w:tcPr/>
          <w:p>
            <w:pPr>
              <w:pStyle w:val="Compact"/>
              <w:jc w:val="center"/>
            </w:pPr>
            <w:r>
              <w:t xml:space="preserve">99.4</w:t>
            </w:r>
          </w:p>
        </w:tc>
        <w:tc>
          <w:tcPr/>
          <w:p>
            <w:pPr>
              <w:pStyle w:val="Compact"/>
              <w:jc w:val="center"/>
            </w:pPr>
            <w:r>
              <w:t xml:space="preserve">0.006</w:t>
            </w:r>
          </w:p>
        </w:tc>
      </w:tr>
      <w:tr>
        <w:tc>
          <w:tcPr/>
          <w:p>
            <w:pPr>
              <w:pStyle w:val="Compact"/>
              <w:jc w:val="left"/>
            </w:pPr>
            <w:r>
              <w:t xml:space="preserve">Reciprocal tariff shock</w:t>
            </w:r>
          </w:p>
        </w:tc>
        <w:tc>
          <w:tcPr/>
          <w:p>
            <w:pPr>
              <w:pStyle w:val="Compact"/>
              <w:jc w:val="left"/>
            </w:pPr>
            <w:r>
              <w:t xml:space="preserve">Trade</w:t>
            </w:r>
          </w:p>
        </w:tc>
        <w:tc>
          <w:tcPr/>
          <w:p>
            <w:pPr>
              <w:pStyle w:val="Compact"/>
              <w:jc w:val="center"/>
            </w:pPr>
            <w:r>
              <w:t xml:space="preserve">5.10</w:t>
            </w:r>
          </w:p>
        </w:tc>
        <w:tc>
          <w:tcPr/>
          <w:p>
            <w:pPr>
              <w:pStyle w:val="Compact"/>
              <w:jc w:val="center"/>
            </w:pPr>
            <w:r>
              <w:t xml:space="preserve">2.78</w:t>
            </w:r>
          </w:p>
        </w:tc>
        <w:tc>
          <w:tcPr/>
          <w:p>
            <w:pPr>
              <w:pStyle w:val="Compact"/>
              <w:jc w:val="center"/>
            </w:pPr>
            <w:r>
              <w:t xml:space="preserve">1.83</w:t>
            </w:r>
          </w:p>
        </w:tc>
        <w:tc>
          <w:tcPr/>
          <w:p>
            <w:pPr>
              <w:pStyle w:val="Compact"/>
              <w:jc w:val="center"/>
            </w:pPr>
            <w:r>
              <w:t xml:space="preserve">99.1</w:t>
            </w:r>
          </w:p>
        </w:tc>
        <w:tc>
          <w:tcPr/>
          <w:p>
            <w:pPr>
              <w:pStyle w:val="Compact"/>
              <w:jc w:val="center"/>
            </w:pPr>
            <w:r>
              <w:t xml:space="preserve">0.009</w:t>
            </w:r>
          </w:p>
        </w:tc>
      </w:tr>
      <w:tr>
        <w:tc>
          <w:tcPr/>
          <w:p>
            <w:pPr>
              <w:pStyle w:val="Compact"/>
              <w:jc w:val="left"/>
            </w:pPr>
            <w:r>
              <w:t xml:space="preserve">SVB collapse</w:t>
            </w:r>
          </w:p>
        </w:tc>
        <w:tc>
          <w:tcPr/>
          <w:p>
            <w:pPr>
              <w:pStyle w:val="Compact"/>
              <w:jc w:val="left"/>
            </w:pPr>
            <w:r>
              <w:t xml:space="preserve">Banking</w:t>
            </w:r>
          </w:p>
        </w:tc>
        <w:tc>
          <w:tcPr/>
          <w:p>
            <w:pPr>
              <w:pStyle w:val="Compact"/>
              <w:jc w:val="center"/>
            </w:pPr>
            <w:r>
              <w:t xml:space="preserve">4.07</w:t>
            </w:r>
          </w:p>
        </w:tc>
        <w:tc>
          <w:tcPr/>
          <w:p>
            <w:pPr>
              <w:pStyle w:val="Compact"/>
              <w:jc w:val="center"/>
            </w:pPr>
            <w:r>
              <w:t xml:space="preserve">2.78</w:t>
            </w:r>
          </w:p>
        </w:tc>
        <w:tc>
          <w:tcPr/>
          <w:p>
            <w:pPr>
              <w:pStyle w:val="Compact"/>
              <w:jc w:val="center"/>
            </w:pPr>
            <w:r>
              <w:t xml:space="preserve">1.46</w:t>
            </w:r>
          </w:p>
        </w:tc>
        <w:tc>
          <w:tcPr/>
          <w:p>
            <w:pPr>
              <w:pStyle w:val="Compact"/>
              <w:jc w:val="center"/>
            </w:pPr>
            <w:r>
              <w:t xml:space="preserve">96.6</w:t>
            </w:r>
          </w:p>
        </w:tc>
        <w:tc>
          <w:tcPr/>
          <w:p>
            <w:pPr>
              <w:pStyle w:val="Compact"/>
              <w:jc w:val="center"/>
            </w:pPr>
            <w:r>
              <w:t xml:space="preserve">0.034</w:t>
            </w:r>
          </w:p>
        </w:tc>
      </w:tr>
      <w:tr>
        <w:tc>
          <w:tcPr/>
          <w:p>
            <w:pPr>
              <w:pStyle w:val="Compact"/>
              <w:jc w:val="left"/>
            </w:pPr>
            <w:r>
              <w:t xml:space="preserve">GPT-4 release</w:t>
            </w:r>
          </w:p>
        </w:tc>
        <w:tc>
          <w:tcPr/>
          <w:p>
            <w:pPr>
              <w:pStyle w:val="Compact"/>
              <w:jc w:val="left"/>
            </w:pPr>
            <w:r>
              <w:t xml:space="preserve">Technology</w:t>
            </w:r>
          </w:p>
        </w:tc>
        <w:tc>
          <w:tcPr/>
          <w:p>
            <w:pPr>
              <w:pStyle w:val="Compact"/>
              <w:jc w:val="center"/>
            </w:pPr>
            <w:r>
              <w:t xml:space="preserve">3.21</w:t>
            </w:r>
          </w:p>
        </w:tc>
        <w:tc>
          <w:tcPr/>
          <w:p>
            <w:pPr>
              <w:pStyle w:val="Compact"/>
              <w:jc w:val="center"/>
            </w:pPr>
            <w:r>
              <w:t xml:space="preserve">2.78</w:t>
            </w:r>
          </w:p>
        </w:tc>
        <w:tc>
          <w:tcPr/>
          <w:p>
            <w:pPr>
              <w:pStyle w:val="Compact"/>
              <w:jc w:val="center"/>
            </w:pPr>
            <w:r>
              <w:t xml:space="preserve">1.16</w:t>
            </w:r>
          </w:p>
        </w:tc>
        <w:tc>
          <w:tcPr/>
          <w:p>
            <w:pPr>
              <w:pStyle w:val="Compact"/>
              <w:jc w:val="center"/>
            </w:pPr>
            <w:r>
              <w:t xml:space="preserve">80.3</w:t>
            </w:r>
          </w:p>
        </w:tc>
        <w:tc>
          <w:tcPr/>
          <w:p>
            <w:pPr>
              <w:pStyle w:val="Compact"/>
              <w:jc w:val="center"/>
            </w:pPr>
            <w:r>
              <w:t xml:space="preserve">0.197</w:t>
            </w:r>
          </w:p>
        </w:tc>
      </w:tr>
      <w:tr>
        <w:tc>
          <w:tcPr/>
          <w:p>
            <w:pPr>
              <w:pStyle w:val="Compact"/>
              <w:jc w:val="left"/>
            </w:pPr>
            <w:r>
              <w:t xml:space="preserve">Tariff pause</w:t>
            </w:r>
          </w:p>
        </w:tc>
        <w:tc>
          <w:tcPr/>
          <w:p>
            <w:pPr>
              <w:pStyle w:val="Compact"/>
              <w:jc w:val="left"/>
            </w:pPr>
            <w:r>
              <w:t xml:space="preserve">Trade (reversal)</w:t>
            </w:r>
          </w:p>
        </w:tc>
        <w:tc>
          <w:tcPr/>
          <w:p>
            <w:pPr>
              <w:pStyle w:val="Compact"/>
              <w:jc w:val="center"/>
            </w:pPr>
            <w:r>
              <w:t xml:space="preserve">3.20</w:t>
            </w:r>
          </w:p>
        </w:tc>
        <w:tc>
          <w:tcPr/>
          <w:p>
            <w:pPr>
              <w:pStyle w:val="Compact"/>
              <w:jc w:val="center"/>
            </w:pPr>
            <w:r>
              <w:t xml:space="preserve">2.78</w:t>
            </w:r>
          </w:p>
        </w:tc>
        <w:tc>
          <w:tcPr/>
          <w:p>
            <w:pPr>
              <w:pStyle w:val="Compact"/>
              <w:jc w:val="center"/>
            </w:pPr>
            <w:r>
              <w:t xml:space="preserve">1.15</w:t>
            </w:r>
          </w:p>
        </w:tc>
        <w:tc>
          <w:tcPr/>
          <w:p>
            <w:pPr>
              <w:pStyle w:val="Compact"/>
              <w:jc w:val="center"/>
            </w:pPr>
            <w:r>
              <w:t xml:space="preserve">80.1</w:t>
            </w:r>
          </w:p>
        </w:tc>
        <w:tc>
          <w:tcPr/>
          <w:p>
            <w:pPr>
              <w:pStyle w:val="Compact"/>
              <w:jc w:val="center"/>
            </w:pPr>
            <w:r>
              <w:t xml:space="preserve">0.199</w:t>
            </w:r>
          </w:p>
        </w:tc>
      </w:tr>
      <w:tr>
        <w:tc>
          <w:tcPr/>
          <w:p>
            <w:pPr>
              <w:pStyle w:val="Compact"/>
              <w:jc w:val="left"/>
            </w:pPr>
            <w:r>
              <w:t xml:space="preserve">ChatGPT release</w:t>
            </w:r>
          </w:p>
        </w:tc>
        <w:tc>
          <w:tcPr/>
          <w:p>
            <w:pPr>
              <w:pStyle w:val="Compact"/>
              <w:jc w:val="left"/>
            </w:pPr>
            <w:r>
              <w:t xml:space="preserve">Technology</w:t>
            </w:r>
          </w:p>
        </w:tc>
        <w:tc>
          <w:tcPr/>
          <w:p>
            <w:pPr>
              <w:pStyle w:val="Compact"/>
              <w:jc w:val="center"/>
            </w:pPr>
            <w:r>
              <w:t xml:space="preserve">3.18</w:t>
            </w:r>
          </w:p>
        </w:tc>
        <w:tc>
          <w:tcPr/>
          <w:p>
            <w:pPr>
              <w:pStyle w:val="Compact"/>
              <w:jc w:val="center"/>
            </w:pPr>
            <w:r>
              <w:t xml:space="preserve">2.78</w:t>
            </w:r>
          </w:p>
        </w:tc>
        <w:tc>
          <w:tcPr/>
          <w:p>
            <w:pPr>
              <w:pStyle w:val="Compact"/>
              <w:jc w:val="center"/>
            </w:pPr>
            <w:r>
              <w:t xml:space="preserve">1.14</w:t>
            </w:r>
          </w:p>
        </w:tc>
        <w:tc>
          <w:tcPr/>
          <w:p>
            <w:pPr>
              <w:pStyle w:val="Compact"/>
              <w:jc w:val="center"/>
            </w:pPr>
            <w:r>
              <w:t xml:space="preserve">80.1</w:t>
            </w:r>
          </w:p>
        </w:tc>
        <w:tc>
          <w:tcPr/>
          <w:p>
            <w:pPr>
              <w:pStyle w:val="Compact"/>
              <w:jc w:val="center"/>
            </w:pPr>
            <w:r>
              <w:t xml:space="preserve">0.199</w:t>
            </w:r>
          </w:p>
        </w:tc>
      </w:tr>
      <w:tr>
        <w:tc>
          <w:tcPr/>
          <w:p>
            <w:pPr>
              <w:pStyle w:val="Compact"/>
              <w:jc w:val="left"/>
            </w:pPr>
            <w:r>
              <w:t xml:space="preserve">CHIPS Act signed</w:t>
            </w:r>
          </w:p>
        </w:tc>
        <w:tc>
          <w:tcPr/>
          <w:p>
            <w:pPr>
              <w:pStyle w:val="Compact"/>
              <w:jc w:val="left"/>
            </w:pPr>
            <w:r>
              <w:t xml:space="preserve">Industrial policy</w:t>
            </w:r>
          </w:p>
        </w:tc>
        <w:tc>
          <w:tcPr/>
          <w:p>
            <w:pPr>
              <w:pStyle w:val="Compact"/>
              <w:jc w:val="center"/>
            </w:pPr>
            <w:r>
              <w:t xml:space="preserve">2.90</w:t>
            </w:r>
          </w:p>
        </w:tc>
        <w:tc>
          <w:tcPr/>
          <w:p>
            <w:pPr>
              <w:pStyle w:val="Compact"/>
              <w:jc w:val="center"/>
            </w:pPr>
            <w:r>
              <w:t xml:space="preserve">2.78</w:t>
            </w:r>
          </w:p>
        </w:tc>
        <w:tc>
          <w:tcPr/>
          <w:p>
            <w:pPr>
              <w:pStyle w:val="Compact"/>
              <w:jc w:val="center"/>
            </w:pPr>
            <w:r>
              <w:t xml:space="preserve">1.04</w:t>
            </w:r>
          </w:p>
        </w:tc>
        <w:tc>
          <w:tcPr/>
          <w:p>
            <w:pPr>
              <w:pStyle w:val="Compact"/>
              <w:jc w:val="center"/>
            </w:pPr>
            <w:r>
              <w:t xml:space="preserve">69.5</w:t>
            </w:r>
          </w:p>
        </w:tc>
        <w:tc>
          <w:tcPr/>
          <w:p>
            <w:pPr>
              <w:pStyle w:val="Compact"/>
              <w:jc w:val="center"/>
            </w:pPr>
            <w:r>
              <w:t xml:space="preserve">0.305</w:t>
            </w:r>
          </w:p>
        </w:tc>
      </w:tr>
      <w:tr>
        <w:tc>
          <w:tcPr/>
          <w:p>
            <w:pPr>
              <w:pStyle w:val="Compact"/>
              <w:jc w:val="left"/>
            </w:pPr>
            <w:r>
              <w:t xml:space="preserve">SEC 5-day 13D rule</w:t>
            </w:r>
          </w:p>
        </w:tc>
        <w:tc>
          <w:tcPr/>
          <w:p>
            <w:pPr>
              <w:pStyle w:val="Compact"/>
              <w:jc w:val="left"/>
            </w:pPr>
            <w:r>
              <w:t xml:space="preserve">Disclosure</w:t>
            </w:r>
          </w:p>
        </w:tc>
        <w:tc>
          <w:tcPr/>
          <w:p>
            <w:pPr>
              <w:pStyle w:val="Compact"/>
              <w:jc w:val="center"/>
            </w:pPr>
            <w:r>
              <w:t xml:space="preserve">2.79</w:t>
            </w:r>
          </w:p>
        </w:tc>
        <w:tc>
          <w:tcPr/>
          <w:p>
            <w:pPr>
              <w:pStyle w:val="Compact"/>
              <w:jc w:val="center"/>
            </w:pPr>
            <w:r>
              <w:t xml:space="preserve">2.78</w:t>
            </w:r>
          </w:p>
        </w:tc>
        <w:tc>
          <w:tcPr/>
          <w:p>
            <w:pPr>
              <w:pStyle w:val="Compact"/>
              <w:jc w:val="center"/>
            </w:pPr>
            <w:r>
              <w:t xml:space="preserve">1.00</w:t>
            </w:r>
          </w:p>
        </w:tc>
        <w:tc>
          <w:tcPr/>
          <w:p>
            <w:pPr>
              <w:pStyle w:val="Compact"/>
              <w:jc w:val="center"/>
            </w:pPr>
            <w:r>
              <w:t xml:space="preserve">60.3</w:t>
            </w:r>
          </w:p>
        </w:tc>
        <w:tc>
          <w:tcPr/>
          <w:p>
            <w:pPr>
              <w:pStyle w:val="Compact"/>
              <w:jc w:val="center"/>
            </w:pPr>
            <w:r>
              <w:t xml:space="preserve">0.397</w:t>
            </w:r>
          </w:p>
        </w:tc>
      </w:tr>
      <w:tr>
        <w:tc>
          <w:tcPr/>
          <w:p>
            <w:pPr>
              <w:pStyle w:val="Compact"/>
              <w:jc w:val="left"/>
            </w:pPr>
            <w:r>
              <w:t xml:space="preserve">GENIUS Act signed</w:t>
            </w:r>
          </w:p>
        </w:tc>
        <w:tc>
          <w:tcPr/>
          <w:p>
            <w:pPr>
              <w:pStyle w:val="Compact"/>
              <w:jc w:val="left"/>
            </w:pPr>
            <w:r>
              <w:t xml:space="preserve">Crypto/regulatory</w:t>
            </w:r>
          </w:p>
        </w:tc>
        <w:tc>
          <w:tcPr/>
          <w:p>
            <w:pPr>
              <w:pStyle w:val="Compact"/>
              <w:jc w:val="center"/>
            </w:pPr>
            <w:r>
              <w:t xml:space="preserve">2.73</w:t>
            </w:r>
          </w:p>
        </w:tc>
        <w:tc>
          <w:tcPr/>
          <w:p>
            <w:pPr>
              <w:pStyle w:val="Compact"/>
              <w:jc w:val="center"/>
            </w:pPr>
            <w:r>
              <w:t xml:space="preserve">2.78</w:t>
            </w:r>
          </w:p>
        </w:tc>
        <w:tc>
          <w:tcPr/>
          <w:p>
            <w:pPr>
              <w:pStyle w:val="Compact"/>
              <w:jc w:val="center"/>
            </w:pPr>
            <w:r>
              <w:t xml:space="preserve">0.98</w:t>
            </w:r>
          </w:p>
        </w:tc>
        <w:tc>
          <w:tcPr/>
          <w:p>
            <w:pPr>
              <w:pStyle w:val="Compact"/>
              <w:jc w:val="center"/>
            </w:pPr>
            <w:r>
              <w:t xml:space="preserve">56.6</w:t>
            </w:r>
          </w:p>
        </w:tc>
        <w:tc>
          <w:tcPr/>
          <w:p>
            <w:pPr>
              <w:pStyle w:val="Compact"/>
              <w:jc w:val="center"/>
            </w:pPr>
            <w:r>
              <w:t xml:space="preserve">0.434</w:t>
            </w:r>
          </w:p>
        </w:tc>
      </w:tr>
      <w:tr>
        <w:tc>
          <w:tcPr/>
          <w:p>
            <w:pPr>
              <w:pStyle w:val="Compact"/>
              <w:jc w:val="left"/>
            </w:pPr>
            <w:r>
              <w:t xml:space="preserve">IRA / buyback excise tax</w:t>
            </w:r>
          </w:p>
        </w:tc>
        <w:tc>
          <w:tcPr/>
          <w:p>
            <w:pPr>
              <w:pStyle w:val="Compact"/>
              <w:jc w:val="left"/>
            </w:pPr>
            <w:r>
              <w:t xml:space="preserve">Tax</w:t>
            </w:r>
          </w:p>
        </w:tc>
        <w:tc>
          <w:tcPr/>
          <w:p>
            <w:pPr>
              <w:pStyle w:val="Compact"/>
              <w:jc w:val="center"/>
            </w:pPr>
            <w:r>
              <w:t xml:space="preserve">2.56</w:t>
            </w:r>
          </w:p>
        </w:tc>
        <w:tc>
          <w:tcPr/>
          <w:p>
            <w:pPr>
              <w:pStyle w:val="Compact"/>
              <w:jc w:val="center"/>
            </w:pPr>
            <w:r>
              <w:t xml:space="preserve">2.78</w:t>
            </w:r>
          </w:p>
        </w:tc>
        <w:tc>
          <w:tcPr/>
          <w:p>
            <w:pPr>
              <w:pStyle w:val="Compact"/>
              <w:jc w:val="center"/>
            </w:pPr>
            <w:r>
              <w:t xml:space="preserve">0.92</w:t>
            </w:r>
          </w:p>
        </w:tc>
        <w:tc>
          <w:tcPr/>
          <w:p>
            <w:pPr>
              <w:pStyle w:val="Compact"/>
              <w:jc w:val="center"/>
            </w:pPr>
            <w:r>
              <w:t xml:space="preserve">40.8</w:t>
            </w:r>
          </w:p>
        </w:tc>
        <w:tc>
          <w:tcPr/>
          <w:p>
            <w:pPr>
              <w:pStyle w:val="Compact"/>
              <w:jc w:val="center"/>
            </w:pPr>
            <w:r>
              <w:t xml:space="preserve">0.592</w:t>
            </w:r>
          </w:p>
        </w:tc>
      </w:tr>
    </w:tbl>
    <w:bookmarkEnd w:id="45"/>
    <w:p>
      <w:pPr>
        <w:pStyle w:val="BodyText"/>
      </w:pPr>
      <w:r>
        <w:rPr>
          <w:i/>
          <w:iCs/>
        </w:rPr>
        <w:t xml:space="preserve">Notes:</w:t>
      </w:r>
      <w:r>
        <w:t xml:space="preserve"> </w:t>
      </w:r>
      <w:r>
        <w:t xml:space="preserve">SD</w:t>
      </w:r>
      <m:oMath>
        <m:sSub>
          <m:e>
            <m:r>
              <m:t>​</m:t>
            </m:r>
          </m:e>
          <m:sub>
            <m:r>
              <m:rPr>
                <m:nor/>
                <m:sty m:val="p"/>
              </m:rPr>
              <m:t>event</m:t>
            </m:r>
          </m:sub>
        </m:sSub>
      </m:oMath>
      <w:r>
        <w:t xml:space="preserve"> </w:t>
      </w:r>
      <w:r>
        <w:t xml:space="preserve">is the cross-sectional SD (%) of</w:t>
      </w:r>
      <w:r>
        <w:t xml:space="preserve"> </w:t>
      </w:r>
      <w:r>
        <w:t xml:space="preserve">two-day CARs at the true event date, using a full-sample market model per firm. SD</w:t>
      </w:r>
      <m:oMath>
        <m:sSub>
          <m:e>
            <m:r>
              <m:t>​</m:t>
            </m:r>
          </m:e>
          <m:sub>
            <m:r>
              <m:rPr>
                <m:nor/>
                <m:sty m:val="p"/>
              </m:rPr>
              <m:t>placebo</m:t>
            </m:r>
          </m:sub>
        </m:sSub>
      </m:oMath>
      <w:r>
        <w:t xml:space="preserve"> </w:t>
      </w:r>
      <w:r>
        <w:t xml:space="preserve">is the mean over</w:t>
      </w:r>
      <w:r>
        <w:t xml:space="preserve"> </w:t>
      </w:r>
      <m:oMath>
        <m:r>
          <m:t>600</m:t>
        </m:r>
      </m:oMath>
      <w:r>
        <w:t xml:space="preserve"> </w:t>
      </w:r>
      <w:r>
        <w:t xml:space="preserve">pseudo-event dates drawn</w:t>
      </w:r>
      <w:r>
        <w:t xml:space="preserve"> </w:t>
      </w:r>
      <m:oMath>
        <m:r>
          <m:rPr>
            <m:sty m:val="p"/>
          </m:rPr>
          <m:t>≥</m:t>
        </m:r>
        <m:r>
          <m:t>15</m:t>
        </m:r>
      </m:oMath>
      <w:r>
        <w:t xml:space="preserve"> </w:t>
      </w:r>
      <w:r>
        <w:t xml:space="preserve">trading days from every real shock.</w:t>
      </w:r>
      <w:r>
        <w:t xml:space="preserve"> </w:t>
      </w:r>
      <w:r>
        <w:t xml:space="preserve">Ratio</w:t>
      </w:r>
      <w:r>
        <w:t xml:space="preserve"> </w:t>
      </w:r>
      <m:oMath>
        <m:r>
          <m:rPr>
            <m:sty m:val="p"/>
          </m:rPr>
          <m:t>=</m:t>
        </m:r>
      </m:oMath>
      <w:r>
        <w:t xml:space="preserve"> </w:t>
      </w:r>
      <w:r>
        <w:t xml:space="preserve">SD</w:t>
      </w:r>
      <m:oMath>
        <m:sSub>
          <m:e>
            <m:r>
              <m:t>​</m:t>
            </m:r>
          </m:e>
          <m:sub>
            <m:r>
              <m:rPr>
                <m:nor/>
                <m:sty m:val="p"/>
              </m:rPr>
              <m:t>event</m:t>
            </m:r>
          </m:sub>
        </m:sSub>
        <m:r>
          <m:rPr>
            <m:sty m:val="p"/>
          </m:rPr>
          <m:t>/</m:t>
        </m:r>
      </m:oMath>
      <w:r>
        <w:t xml:space="preserve">SD</w:t>
      </w:r>
      <m:oMath>
        <m:sSub>
          <m:e>
            <m:r>
              <m:t>​</m:t>
            </m:r>
          </m:e>
          <m:sub>
            <m:r>
              <m:rPr>
                <m:nor/>
                <m:sty m:val="p"/>
              </m:rPr>
              <m:t>placebo</m:t>
            </m:r>
          </m:sub>
        </m:sSub>
      </m:oMath>
      <w:r>
        <w:t xml:space="preserve">; Pctile is the event’s rank in the placebo</w:t>
      </w:r>
      <w:r>
        <w:t xml:space="preserve"> </w:t>
      </w:r>
      <w:r>
        <w:t xml:space="preserve">distribution;</w:t>
      </w:r>
      <w:r>
        <w:t xml:space="preserve"> </w:t>
      </w:r>
      <m:oMath>
        <m:r>
          <m:t>p</m:t>
        </m:r>
      </m:oMath>
      <w:r>
        <w:t xml:space="preserve"> </w:t>
      </w:r>
      <w:r>
        <w:t xml:space="preserve">is the share of placebo dates with dispersion</w:t>
      </w:r>
      <w:r>
        <w:t xml:space="preserve"> </w:t>
      </w:r>
      <m:oMath>
        <m:r>
          <m:rPr>
            <m:sty m:val="p"/>
          </m:rPr>
          <m:t>≥</m:t>
        </m:r>
      </m:oMath>
      <w:r>
        <w:t xml:space="preserve"> </w:t>
      </w:r>
      <w:r>
        <w:t xml:space="preserve">the event’s. Because dense</w:t>
      </w:r>
      <w:r>
        <w:t xml:space="preserve"> </w:t>
      </w:r>
      <w:r>
        <w:t xml:space="preserve">2022–2025 pseudo-dates sometimes fall near other shocks, the placebo is inflated and the test is</w:t>
      </w:r>
      <w:r>
        <w:t xml:space="preserve"> </w:t>
      </w:r>
      <w:r>
        <w:t xml:space="preserve">conservative. See Figure </w:t>
      </w:r>
      <w:hyperlink w:anchor="fig:placebo">
        <w:r>
          <w:rPr>
            <w:rStyle w:val="Hyperlink"/>
          </w:rPr>
          <w:t xml:space="preserve">2</w:t>
        </w:r>
      </w:hyperlink>
      <w:r>
        <w:t xml:space="preserve">.</w:t>
      </w:r>
    </w:p>
    <w:bookmarkStart w:id="46" w:name="tab:rankcorr"/>
    <w:p>
      <w:pPr>
        <w:pStyle w:val="TableCaption"/>
      </w:pPr>
      <w:r>
        <w:t xml:space="preserve">The differentiation ranking is robust to window and statistic</w:t>
      </w:r>
    </w:p>
    <w:tbl>
      <w:tblPr>
        <w:tblStyle w:val="Table"/>
        <w:tblW w:type="auto" w:w="0"/>
        <w:tblLook w:firstRow="1" w:lastRow="0" w:firstColumn="0" w:lastColumn="0" w:noHBand="0" w:noVBand="0" w:val="0020"/>
        <w:tblCaption w:val="The differentiation ranking is robust to window and statistic"/>
      </w:tblPr>
      <w:tblGrid>
        <w:gridCol w:w="2640"/>
        <w:gridCol w:w="2640"/>
        <w:gridCol w:w="2640"/>
      </w:tblGrid>
      <w:tr>
        <w:trPr>
          <w:tblHeader w:val="on"/>
        </w:trPr>
        <w:tc>
          <w:tcPr/>
          <w:p>
            <w:pPr>
              <w:pStyle w:val="Compact"/>
              <w:jc w:val="left"/>
            </w:pPr>
            <w:r>
              <w:t xml:space="preserve">Dispersion measure</w:t>
            </w:r>
          </w:p>
        </w:tc>
        <w:tc>
          <w:tcPr/>
          <w:p>
            <w:pPr>
              <w:pStyle w:val="Compact"/>
              <w:jc w:val="center"/>
            </w:pPr>
            <w:r>
              <w:t xml:space="preserve">Spearman</w:t>
            </w:r>
            <w:r>
              <w:t xml:space="preserve"> </w:t>
            </w:r>
            <m:oMath>
              <m:r>
                <m:t>ρ</m:t>
              </m:r>
            </m:oMath>
            <w:r>
              <w:t xml:space="preserve"> </w:t>
            </w:r>
            <w:r>
              <w:t xml:space="preserve">vs. SD[0,+1]</w:t>
            </w:r>
          </w:p>
        </w:tc>
        <w:tc>
          <w:tcPr/>
          <w:p>
            <w:pPr>
              <w:pStyle w:val="Compact"/>
              <w:jc w:val="center"/>
            </w:pPr>
            <m:oMath>
              <m:r>
                <m:t>p</m:t>
              </m:r>
            </m:oMath>
          </w:p>
        </w:tc>
      </w:tr>
      <w:tr>
        <w:tc>
          <w:tcPr/>
          <w:p>
            <w:pPr>
              <w:pStyle w:val="Compact"/>
              <w:jc w:val="left"/>
            </w:pPr>
            <w:r>
              <w:t xml:space="preserve">SD[0,+5]</w:t>
            </w:r>
          </w:p>
        </w:tc>
        <w:tc>
          <w:tcPr/>
          <w:p>
            <w:pPr>
              <w:pStyle w:val="Compact"/>
              <w:jc w:val="center"/>
            </w:pPr>
            <w:r>
              <w:t xml:space="preserve">0.721</w:t>
            </w:r>
          </w:p>
        </w:tc>
        <w:tc>
          <w:tcPr/>
          <w:p>
            <w:pPr>
              <w:pStyle w:val="Compact"/>
              <w:jc w:val="center"/>
            </w:pPr>
            <w:r>
              <w:t xml:space="preserve">0.019</w:t>
            </w:r>
          </w:p>
        </w:tc>
      </w:tr>
      <w:tr>
        <w:tc>
          <w:tcPr/>
          <w:p>
            <w:pPr>
              <w:pStyle w:val="Compact"/>
              <w:jc w:val="left"/>
            </w:pPr>
            <w:r>
              <w:t xml:space="preserve">SD[-5,+10]</w:t>
            </w:r>
          </w:p>
        </w:tc>
        <w:tc>
          <w:tcPr/>
          <w:p>
            <w:pPr>
              <w:pStyle w:val="Compact"/>
              <w:jc w:val="center"/>
            </w:pPr>
            <w:r>
              <w:t xml:space="preserve">0.794</w:t>
            </w:r>
          </w:p>
        </w:tc>
        <w:tc>
          <w:tcPr/>
          <w:p>
            <w:pPr>
              <w:pStyle w:val="Compact"/>
              <w:jc w:val="center"/>
            </w:pPr>
            <w:r>
              <w:t xml:space="preserve">0.006</w:t>
            </w:r>
          </w:p>
        </w:tc>
      </w:tr>
      <w:tr>
        <w:tc>
          <w:tcPr/>
          <w:p>
            <w:pPr>
              <w:pStyle w:val="Compact"/>
              <w:jc w:val="left"/>
            </w:pPr>
            <w:r>
              <w:t xml:space="preserve">IQR[0,+1]</w:t>
            </w:r>
          </w:p>
        </w:tc>
        <w:tc>
          <w:tcPr/>
          <w:p>
            <w:pPr>
              <w:pStyle w:val="Compact"/>
              <w:jc w:val="center"/>
            </w:pPr>
            <w:r>
              <w:t xml:space="preserve">0.806</w:t>
            </w:r>
          </w:p>
        </w:tc>
        <w:tc>
          <w:tcPr/>
          <w:p>
            <w:pPr>
              <w:pStyle w:val="Compact"/>
              <w:jc w:val="center"/>
            </w:pPr>
            <w:r>
              <w:t xml:space="preserve">0.005</w:t>
            </w:r>
          </w:p>
        </w:tc>
      </w:tr>
      <w:tr>
        <w:tc>
          <w:tcPr/>
          <w:p>
            <w:pPr>
              <w:pStyle w:val="Compact"/>
              <w:jc w:val="left"/>
            </w:pPr>
            <w:r>
              <w:t xml:space="preserve">MAD[0,+1]</w:t>
            </w:r>
          </w:p>
        </w:tc>
        <w:tc>
          <w:tcPr/>
          <w:p>
            <w:pPr>
              <w:pStyle w:val="Compact"/>
              <w:jc w:val="center"/>
            </w:pPr>
            <w:r>
              <w:t xml:space="preserve">0.830</w:t>
            </w:r>
          </w:p>
        </w:tc>
        <w:tc>
          <w:tcPr/>
          <w:p>
            <w:pPr>
              <w:pStyle w:val="Compact"/>
              <w:jc w:val="center"/>
            </w:pPr>
            <w:r>
              <w:t xml:space="preserve">0.003</w:t>
            </w:r>
          </w:p>
        </w:tc>
      </w:tr>
    </w:tbl>
    <w:bookmarkEnd w:id="46"/>
    <w:p>
      <w:pPr>
        <w:pStyle w:val="BodyText"/>
      </w:pPr>
      <w:r>
        <w:rPr>
          <w:i/>
          <w:iCs/>
        </w:rPr>
        <w:t xml:space="preserve">Notes:</w:t>
      </w:r>
      <w:r>
        <w:t xml:space="preserve"> </w:t>
      </w:r>
      <w:r>
        <w:t xml:space="preserve">Spearman rank correlation, across the ten shocks,</w:t>
      </w:r>
      <w:r>
        <w:t xml:space="preserve"> </w:t>
      </w:r>
      <w:r>
        <w:t xml:space="preserve">between the ranking by cross-sectional SD of CAR</w:t>
      </w:r>
      <m:oMath>
        <m:r>
          <m:rPr>
            <m:sty m:val="p"/>
          </m:rPr>
          <m:t>[</m:t>
        </m:r>
        <m:r>
          <m:t>0</m:t>
        </m:r>
        <m:r>
          <m:rPr>
            <m:sty m:val="p"/>
          </m:rPr>
          <m:t>,</m:t>
        </m:r>
        <m:r>
          <m:rPr>
            <m:sty m:val="p"/>
          </m:rPr>
          <m:t>+</m:t>
        </m:r>
        <m:r>
          <m:t>1</m:t>
        </m:r>
        <m:r>
          <m:rPr>
            <m:sty m:val="p"/>
          </m:rPr>
          <m:t>]</m:t>
        </m:r>
      </m:oMath>
      <w:r>
        <w:t xml:space="preserve"> </w:t>
      </w:r>
      <w:r>
        <w:t xml:space="preserve">and the ranking by each alternative</w:t>
      </w:r>
      <w:r>
        <w:t xml:space="preserve"> </w:t>
      </w:r>
      <w:r>
        <w:t xml:space="preserve">dispersion measure (wider windows; interquartile range; median absolute deviation).</w:t>
      </w:r>
    </w:p>
    <w:bookmarkStart w:id="47" w:name="tab:beta"/>
    <w:p>
      <w:pPr>
        <w:pStyle w:val="TableCaption"/>
      </w:pPr>
      <w:r>
        <w:t xml:space="preserve">Systematic vs. idiosyncratic differentiation (CARs on market beta, per shock)</w:t>
      </w:r>
    </w:p>
    <w:tbl>
      <w:tblPr>
        <w:tblStyle w:val="Table"/>
        <w:tblW w:type="auto" w:w="0"/>
        <w:tblLook w:firstRow="1" w:lastRow="0" w:firstColumn="0" w:lastColumn="0" w:noHBand="0" w:noVBand="0" w:val="0020"/>
        <w:tblCaption w:val="Systematic vs. idiosyncratic differentiation (CARs on market beta, per shock)"/>
      </w:tblPr>
      <w:tblGrid>
        <w:gridCol w:w="1584"/>
        <w:gridCol w:w="1584"/>
        <w:gridCol w:w="1584"/>
        <w:gridCol w:w="1584"/>
        <w:gridCol w:w="1584"/>
      </w:tblGrid>
      <w:tr>
        <w:trPr>
          <w:tblHeader w:val="on"/>
        </w:trPr>
        <w:tc>
          <w:tcPr/>
          <w:p>
            <w:pPr>
              <w:pStyle w:val="Compact"/>
              <w:jc w:val="left"/>
            </w:pPr>
            <w:r>
              <w:t xml:space="preserve">Shock</w:t>
            </w:r>
          </w:p>
        </w:tc>
        <w:tc>
          <w:tcPr/>
          <w:p>
            <w:pPr>
              <w:pStyle w:val="Compact"/>
              <w:jc w:val="center"/>
            </w:pPr>
            <w:r>
              <w:t xml:space="preserve">Beta slope</w:t>
            </w:r>
          </w:p>
        </w:tc>
        <w:tc>
          <w:tcPr/>
          <w:p>
            <w:pPr>
              <w:pStyle w:val="Compact"/>
              <w:jc w:val="center"/>
            </w:pPr>
            <m:oMath>
              <m:sSup>
                <m:e>
                  <m:r>
                    <m:t>R</m:t>
                  </m:r>
                </m:e>
                <m:sup>
                  <m:r>
                    <m:t>2</m:t>
                  </m:r>
                </m:sup>
              </m:sSup>
            </m:oMath>
          </w:p>
        </w:tc>
        <w:tc>
          <w:tcPr/>
          <w:p>
            <w:pPr>
              <w:pStyle w:val="Compact"/>
              <w:jc w:val="center"/>
            </w:pPr>
            <w:r>
              <w:t xml:space="preserve">SD</w:t>
            </w:r>
            <m:oMath>
              <m:sSub>
                <m:e>
                  <m:r>
                    <m:t>​</m:t>
                  </m:r>
                </m:e>
                <m:sub>
                  <m:r>
                    <m:rPr>
                      <m:nor/>
                      <m:sty m:val="p"/>
                    </m:rPr>
                    <m:t>tot</m:t>
                  </m:r>
                </m:sub>
              </m:sSub>
            </m:oMath>
          </w:p>
        </w:tc>
        <w:tc>
          <w:tcPr/>
          <w:p>
            <w:pPr>
              <w:pStyle w:val="Compact"/>
              <w:jc w:val="center"/>
            </w:pPr>
            <w:r>
              <w:t xml:space="preserve">Idio. share</w:t>
            </w:r>
          </w:p>
        </w:tc>
      </w:tr>
      <w:tr>
        <w:tc>
          <w:tcPr/>
          <w:p>
            <w:pPr>
              <w:pStyle w:val="Compact"/>
              <w:jc w:val="left"/>
            </w:pPr>
            <w:r>
              <w:t xml:space="preserve">Reciprocal tariff shock</w:t>
            </w:r>
          </w:p>
        </w:tc>
        <w:tc>
          <w:tcPr/>
          <w:p>
            <w:pPr>
              <w:pStyle w:val="Compact"/>
              <w:jc w:val="center"/>
            </w:pPr>
            <w:r>
              <w:t xml:space="preserve">+4.06***</w:t>
            </w:r>
          </w:p>
        </w:tc>
        <w:tc>
          <w:tcPr/>
          <w:p>
            <w:pPr>
              <w:pStyle w:val="Compact"/>
              <w:jc w:val="center"/>
            </w:pPr>
            <w:r>
              <w:t xml:space="preserve">0.144</w:t>
            </w:r>
          </w:p>
        </w:tc>
        <w:tc>
          <w:tcPr/>
          <w:p>
            <w:pPr>
              <w:pStyle w:val="Compact"/>
              <w:jc w:val="center"/>
            </w:pPr>
            <w:r>
              <w:t xml:space="preserve">5.84</w:t>
            </w:r>
          </w:p>
        </w:tc>
        <w:tc>
          <w:tcPr/>
          <w:p>
            <w:pPr>
              <w:pStyle w:val="Compact"/>
              <w:jc w:val="center"/>
            </w:pPr>
            <w:r>
              <w:t xml:space="preserve">92.5%</w:t>
            </w:r>
          </w:p>
        </w:tc>
      </w:tr>
      <w:tr>
        <w:tc>
          <w:tcPr/>
          <w:p>
            <w:pPr>
              <w:pStyle w:val="Compact"/>
              <w:jc w:val="left"/>
            </w:pPr>
            <w:r>
              <w:t xml:space="preserve">Tariff pause</w:t>
            </w:r>
          </w:p>
        </w:tc>
        <w:tc>
          <w:tcPr/>
          <w:p>
            <w:pPr>
              <w:pStyle w:val="Compact"/>
              <w:jc w:val="center"/>
            </w:pPr>
            <w:r>
              <w:t xml:space="preserve">-2.20***</w:t>
            </w:r>
          </w:p>
        </w:tc>
        <w:tc>
          <w:tcPr/>
          <w:p>
            <w:pPr>
              <w:pStyle w:val="Compact"/>
              <w:jc w:val="center"/>
            </w:pPr>
            <w:r>
              <w:t xml:space="preserve">0.122</w:t>
            </w:r>
          </w:p>
        </w:tc>
        <w:tc>
          <w:tcPr/>
          <w:p>
            <w:pPr>
              <w:pStyle w:val="Compact"/>
              <w:jc w:val="center"/>
            </w:pPr>
            <w:r>
              <w:t xml:space="preserve">3.47</w:t>
            </w:r>
          </w:p>
        </w:tc>
        <w:tc>
          <w:tcPr/>
          <w:p>
            <w:pPr>
              <w:pStyle w:val="Compact"/>
              <w:jc w:val="center"/>
            </w:pPr>
            <w:r>
              <w:t xml:space="preserve">93.7%</w:t>
            </w:r>
          </w:p>
        </w:tc>
      </w:tr>
      <w:tr>
        <w:tc>
          <w:tcPr/>
          <w:p>
            <w:pPr>
              <w:pStyle w:val="Compact"/>
              <w:jc w:val="left"/>
            </w:pPr>
            <w:r>
              <w:t xml:space="preserve">IRA / buyback excise tax</w:t>
            </w:r>
          </w:p>
        </w:tc>
        <w:tc>
          <w:tcPr/>
          <w:p>
            <w:pPr>
              <w:pStyle w:val="Compact"/>
              <w:jc w:val="center"/>
            </w:pPr>
            <w:r>
              <w:t xml:space="preserve">-1.26***</w:t>
            </w:r>
          </w:p>
        </w:tc>
        <w:tc>
          <w:tcPr/>
          <w:p>
            <w:pPr>
              <w:pStyle w:val="Compact"/>
              <w:jc w:val="center"/>
            </w:pPr>
            <w:r>
              <w:t xml:space="preserve">0.084</w:t>
            </w:r>
          </w:p>
        </w:tc>
        <w:tc>
          <w:tcPr/>
          <w:p>
            <w:pPr>
              <w:pStyle w:val="Compact"/>
              <w:jc w:val="center"/>
            </w:pPr>
            <w:r>
              <w:t xml:space="preserve">2.49</w:t>
            </w:r>
          </w:p>
        </w:tc>
        <w:tc>
          <w:tcPr/>
          <w:p>
            <w:pPr>
              <w:pStyle w:val="Compact"/>
              <w:jc w:val="center"/>
            </w:pPr>
            <w:r>
              <w:t xml:space="preserve">95.8%</w:t>
            </w:r>
          </w:p>
        </w:tc>
      </w:tr>
      <w:tr>
        <w:tc>
          <w:tcPr/>
          <w:p>
            <w:pPr>
              <w:pStyle w:val="Compact"/>
              <w:jc w:val="left"/>
            </w:pPr>
            <w:r>
              <w:t xml:space="preserve">CHIPS Act signed</w:t>
            </w:r>
          </w:p>
        </w:tc>
        <w:tc>
          <w:tcPr/>
          <w:p>
            <w:pPr>
              <w:pStyle w:val="Compact"/>
              <w:jc w:val="center"/>
            </w:pPr>
            <w:r>
              <w:t xml:space="preserve">-1.16***</w:t>
            </w:r>
          </w:p>
        </w:tc>
        <w:tc>
          <w:tcPr/>
          <w:p>
            <w:pPr>
              <w:pStyle w:val="Compact"/>
              <w:jc w:val="center"/>
            </w:pPr>
            <w:r>
              <w:t xml:space="preserve">0.053</w:t>
            </w:r>
          </w:p>
        </w:tc>
        <w:tc>
          <w:tcPr/>
          <w:p>
            <w:pPr>
              <w:pStyle w:val="Compact"/>
              <w:jc w:val="center"/>
            </w:pPr>
            <w:r>
              <w:t xml:space="preserve">2.90</w:t>
            </w:r>
          </w:p>
        </w:tc>
        <w:tc>
          <w:tcPr/>
          <w:p>
            <w:pPr>
              <w:pStyle w:val="Compact"/>
              <w:jc w:val="center"/>
            </w:pPr>
            <w:r>
              <w:t xml:space="preserve">97.4%</w:t>
            </w:r>
          </w:p>
        </w:tc>
      </w:tr>
      <w:tr>
        <w:tc>
          <w:tcPr/>
          <w:p>
            <w:pPr>
              <w:pStyle w:val="Compact"/>
              <w:jc w:val="left"/>
            </w:pPr>
            <w:r>
              <w:t xml:space="preserve">SEC 5-day 13D rule</w:t>
            </w:r>
          </w:p>
        </w:tc>
        <w:tc>
          <w:tcPr/>
          <w:p>
            <w:pPr>
              <w:pStyle w:val="Compact"/>
              <w:jc w:val="center"/>
            </w:pPr>
            <w:r>
              <w:t xml:space="preserve">+0.50***</w:t>
            </w:r>
          </w:p>
        </w:tc>
        <w:tc>
          <w:tcPr/>
          <w:p>
            <w:pPr>
              <w:pStyle w:val="Compact"/>
              <w:jc w:val="center"/>
            </w:pPr>
            <w:r>
              <w:t xml:space="preserve">0.009</w:t>
            </w:r>
          </w:p>
        </w:tc>
        <w:tc>
          <w:tcPr/>
          <w:p>
            <w:pPr>
              <w:pStyle w:val="Compact"/>
              <w:jc w:val="center"/>
            </w:pPr>
            <w:r>
              <w:t xml:space="preserve">2.82</w:t>
            </w:r>
          </w:p>
        </w:tc>
        <w:tc>
          <w:tcPr/>
          <w:p>
            <w:pPr>
              <w:pStyle w:val="Compact"/>
              <w:jc w:val="center"/>
            </w:pPr>
            <w:r>
              <w:t xml:space="preserve">99.6%</w:t>
            </w:r>
          </w:p>
        </w:tc>
      </w:tr>
      <w:tr>
        <w:tc>
          <w:tcPr/>
          <w:p>
            <w:pPr>
              <w:pStyle w:val="Compact"/>
              <w:jc w:val="left"/>
            </w:pPr>
            <w:r>
              <w:t xml:space="preserve">GPT-4 release</w:t>
            </w:r>
          </w:p>
        </w:tc>
        <w:tc>
          <w:tcPr/>
          <w:p>
            <w:pPr>
              <w:pStyle w:val="Compact"/>
              <w:jc w:val="center"/>
            </w:pPr>
            <w:r>
              <w:t xml:space="preserve">-0.62***</w:t>
            </w:r>
          </w:p>
        </w:tc>
        <w:tc>
          <w:tcPr/>
          <w:p>
            <w:pPr>
              <w:pStyle w:val="Compact"/>
              <w:jc w:val="center"/>
            </w:pPr>
            <w:r>
              <w:t xml:space="preserve">0.009</w:t>
            </w:r>
          </w:p>
        </w:tc>
        <w:tc>
          <w:tcPr/>
          <w:p>
            <w:pPr>
              <w:pStyle w:val="Compact"/>
              <w:jc w:val="center"/>
            </w:pPr>
            <w:r>
              <w:t xml:space="preserve">3.23</w:t>
            </w:r>
          </w:p>
        </w:tc>
        <w:tc>
          <w:tcPr/>
          <w:p>
            <w:pPr>
              <w:pStyle w:val="Compact"/>
              <w:jc w:val="center"/>
            </w:pPr>
            <w:r>
              <w:t xml:space="preserve">99.6%</w:t>
            </w:r>
          </w:p>
        </w:tc>
      </w:tr>
      <w:tr>
        <w:tc>
          <w:tcPr/>
          <w:p>
            <w:pPr>
              <w:pStyle w:val="Compact"/>
              <w:jc w:val="left"/>
            </w:pPr>
            <w:r>
              <w:t xml:space="preserve">Reg NMS half-cent tick</w:t>
            </w:r>
          </w:p>
        </w:tc>
        <w:tc>
          <w:tcPr/>
          <w:p>
            <w:pPr>
              <w:pStyle w:val="Compact"/>
              <w:jc w:val="center"/>
            </w:pPr>
            <w:r>
              <w:t xml:space="preserve">-0.58**</w:t>
            </w:r>
          </w:p>
        </w:tc>
        <w:tc>
          <w:tcPr/>
          <w:p>
            <w:pPr>
              <w:pStyle w:val="Compact"/>
              <w:jc w:val="center"/>
            </w:pPr>
            <w:r>
              <w:t xml:space="preserve">0.003</w:t>
            </w:r>
          </w:p>
        </w:tc>
        <w:tc>
          <w:tcPr/>
          <w:p>
            <w:pPr>
              <w:pStyle w:val="Compact"/>
              <w:jc w:val="center"/>
            </w:pPr>
            <w:r>
              <w:t xml:space="preserve">5.20</w:t>
            </w:r>
          </w:p>
        </w:tc>
        <w:tc>
          <w:tcPr/>
          <w:p>
            <w:pPr>
              <w:pStyle w:val="Compact"/>
              <w:jc w:val="center"/>
            </w:pPr>
            <w:r>
              <w:t xml:space="preserve">99.9%</w:t>
            </w:r>
          </w:p>
        </w:tc>
      </w:tr>
      <w:tr>
        <w:tc>
          <w:tcPr/>
          <w:p>
            <w:pPr>
              <w:pStyle w:val="Compact"/>
              <w:jc w:val="left"/>
            </w:pPr>
            <w:r>
              <w:t xml:space="preserve">SVB collapse</w:t>
            </w:r>
          </w:p>
        </w:tc>
        <w:tc>
          <w:tcPr/>
          <w:p>
            <w:pPr>
              <w:pStyle w:val="Compact"/>
              <w:jc w:val="center"/>
            </w:pPr>
            <w:r>
              <w:t xml:space="preserve">-0.44**</w:t>
            </w:r>
          </w:p>
        </w:tc>
        <w:tc>
          <w:tcPr/>
          <w:p>
            <w:pPr>
              <w:pStyle w:val="Compact"/>
              <w:jc w:val="center"/>
            </w:pPr>
            <w:r>
              <w:t xml:space="preserve">0.003</w:t>
            </w:r>
          </w:p>
        </w:tc>
        <w:tc>
          <w:tcPr/>
          <w:p>
            <w:pPr>
              <w:pStyle w:val="Compact"/>
              <w:jc w:val="center"/>
            </w:pPr>
            <w:r>
              <w:t xml:space="preserve">4.21</w:t>
            </w:r>
          </w:p>
        </w:tc>
        <w:tc>
          <w:tcPr/>
          <w:p>
            <w:pPr>
              <w:pStyle w:val="Compact"/>
              <w:jc w:val="center"/>
            </w:pPr>
            <w:r>
              <w:t xml:space="preserve">99.9%</w:t>
            </w:r>
          </w:p>
        </w:tc>
      </w:tr>
      <w:tr>
        <w:tc>
          <w:tcPr/>
          <w:p>
            <w:pPr>
              <w:pStyle w:val="Compact"/>
              <w:jc w:val="left"/>
            </w:pPr>
            <w:r>
              <w:t xml:space="preserve">GENIUS Act signed</w:t>
            </w:r>
          </w:p>
        </w:tc>
        <w:tc>
          <w:tcPr/>
          <w:p>
            <w:pPr>
              <w:pStyle w:val="Compact"/>
              <w:jc w:val="center"/>
            </w:pPr>
            <w:r>
              <w:t xml:space="preserve">-0.02</w:t>
            </w:r>
          </w:p>
        </w:tc>
        <w:tc>
          <w:tcPr/>
          <w:p>
            <w:pPr>
              <w:pStyle w:val="Compact"/>
              <w:jc w:val="center"/>
            </w:pPr>
            <w:r>
              <w:t xml:space="preserve">0.000</w:t>
            </w:r>
          </w:p>
        </w:tc>
        <w:tc>
          <w:tcPr/>
          <w:p>
            <w:pPr>
              <w:pStyle w:val="Compact"/>
              <w:jc w:val="center"/>
            </w:pPr>
            <w:r>
              <w:t xml:space="preserve">2.72</w:t>
            </w:r>
          </w:p>
        </w:tc>
        <w:tc>
          <w:tcPr/>
          <w:p>
            <w:pPr>
              <w:pStyle w:val="Compact"/>
              <w:jc w:val="center"/>
            </w:pPr>
            <w:r>
              <w:t xml:space="preserve">100.0%</w:t>
            </w:r>
          </w:p>
        </w:tc>
      </w:tr>
      <w:tr>
        <w:tc>
          <w:tcPr/>
          <w:p>
            <w:pPr>
              <w:pStyle w:val="Compact"/>
              <w:jc w:val="left"/>
            </w:pPr>
            <w:r>
              <w:t xml:space="preserve">ChatGPT release</w:t>
            </w:r>
          </w:p>
        </w:tc>
        <w:tc>
          <w:tcPr/>
          <w:p>
            <w:pPr>
              <w:pStyle w:val="Compact"/>
              <w:jc w:val="center"/>
            </w:pPr>
            <w:r>
              <w:t xml:space="preserve">-0.01</w:t>
            </w:r>
          </w:p>
        </w:tc>
        <w:tc>
          <w:tcPr/>
          <w:p>
            <w:pPr>
              <w:pStyle w:val="Compact"/>
              <w:jc w:val="center"/>
            </w:pPr>
            <w:r>
              <w:t xml:space="preserve">0.000</w:t>
            </w:r>
          </w:p>
        </w:tc>
        <w:tc>
          <w:tcPr/>
          <w:p>
            <w:pPr>
              <w:pStyle w:val="Compact"/>
              <w:jc w:val="center"/>
            </w:pPr>
            <w:r>
              <w:t xml:space="preserve">3.12</w:t>
            </w:r>
          </w:p>
        </w:tc>
        <w:tc>
          <w:tcPr/>
          <w:p>
            <w:pPr>
              <w:pStyle w:val="Compact"/>
              <w:jc w:val="center"/>
            </w:pPr>
            <w:r>
              <w:t xml:space="preserve">100.0%</w:t>
            </w:r>
          </w:p>
        </w:tc>
      </w:tr>
    </w:tbl>
    <w:bookmarkEnd w:id="47"/>
    <w:p>
      <w:pPr>
        <w:pStyle w:val="BodyText"/>
      </w:pPr>
      <w:r>
        <w:rPr>
          <w:i/>
          <w:iCs/>
        </w:rPr>
        <w:t xml:space="preserve">Notes:</w:t>
      </w:r>
      <w:r>
        <w:t xml:space="preserve"> </w:t>
      </w:r>
      <w:r>
        <w:t xml:space="preserve">Each row regresses firm announcement CARs (%) on</w:t>
      </w:r>
      <w:r>
        <w:t xml:space="preserve"> </w:t>
      </w:r>
      <w:r>
        <w:t xml:space="preserve">market beta for one shock.</w:t>
      </w:r>
      <w:r>
        <w:t xml:space="preserve"> </w:t>
      </w:r>
      <w:r>
        <w:t xml:space="preserve">“Beta slope”</w:t>
      </w:r>
      <w:r>
        <w:t xml:space="preserve"> </w:t>
      </w:r>
      <w:r>
        <w:t xml:space="preserve">is the coefficient (% per unit beta);</w:t>
      </w:r>
      <w:r>
        <w:t xml:space="preserve"> </w:t>
      </w:r>
      <m:oMath>
        <m:sSup>
          <m:e>
            <m:r>
              <m:t>R</m:t>
            </m:r>
          </m:e>
          <m:sup>
            <m:r>
              <m:t>2</m:t>
            </m:r>
          </m:sup>
        </m:sSup>
      </m:oMath>
      <w:r>
        <w:t xml:space="preserve"> </w:t>
      </w:r>
      <w:r>
        <w:t xml:space="preserve">is the share</w:t>
      </w:r>
      <w:r>
        <w:t xml:space="preserve"> </w:t>
      </w:r>
      <w:r>
        <w:t xml:space="preserve">of cross-sectional variance beta explains; SD</w:t>
      </w:r>
      <m:oMath>
        <m:sSub>
          <m:e>
            <m:r>
              <m:t>​</m:t>
            </m:r>
          </m:e>
          <m:sub>
            <m:r>
              <m:rPr>
                <m:nor/>
                <m:sty m:val="p"/>
              </m:rPr>
              <m:t>tot</m:t>
            </m:r>
          </m:sub>
        </m:sSub>
      </m:oMath>
      <w:r>
        <w:t xml:space="preserve"> </w:t>
      </w:r>
      <w:r>
        <w:t xml:space="preserve">is the total dispersion;</w:t>
      </w:r>
      <w:r>
        <w:t xml:space="preserve"> </w:t>
      </w:r>
      <w:r>
        <w:t xml:space="preserve">“Idio. share”</w:t>
      </w:r>
      <w:r>
        <w:t xml:space="preserve"> </w:t>
      </w:r>
      <w:r>
        <w:t xml:space="preserve">is the residual SD as a percentage of the total. Beta explains at most</w:t>
      </w:r>
      <w:r>
        <w:t xml:space="preserve"> </w:t>
      </w:r>
      <m:oMath>
        <m:r>
          <m:t>14</m:t>
        </m:r>
        <m:r>
          <m:rPr>
            <m:sty m:val="p"/>
          </m:rPr>
          <m:t>%</m:t>
        </m:r>
      </m:oMath>
      <w:r>
        <w:t xml:space="preserve">; the</w:t>
      </w:r>
      <w:r>
        <w:t xml:space="preserve"> </w:t>
      </w:r>
      <w:r>
        <w:t xml:space="preserve">dispersion is overwhelmingly idiosyncratic.</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48" w:name="tab:pooled"/>
    <w:p>
      <w:pPr>
        <w:pStyle w:val="TableCaption"/>
      </w:pPr>
      <w:r>
        <w:t xml:space="preserve">Pooled determinants of reaction magnitude (observable traits only)</w:t>
      </w:r>
    </w:p>
    <w:tbl>
      <w:tblPr>
        <w:tblStyle w:val="Table"/>
        <w:tblW w:type="auto" w:w="0"/>
        <w:tblLook w:firstRow="1" w:lastRow="0" w:firstColumn="0" w:lastColumn="0" w:noHBand="0" w:noVBand="0" w:val="0020"/>
        <w:tblCaption w:val="Pooled determinants of reaction magnitude (observable traits only)"/>
      </w:tblPr>
      <w:tblGrid>
        <w:gridCol w:w="2640"/>
        <w:gridCol w:w="2640"/>
        <w:gridCol w:w="2640"/>
      </w:tblGrid>
      <w:tr>
        <w:trPr>
          <w:tblHeader w:val="on"/>
        </w:trPr>
        <w:tc>
          <w:tcPr/>
          <w:p>
            <w:pPr>
              <w:pStyle w:val="Compact"/>
              <w:jc w:val="left"/>
            </w:pPr>
            <w:r>
              <w:t xml:space="preserve">Dependent variable:</w:t>
            </w:r>
            <w:r>
              <w:t xml:space="preserve"> </w:t>
            </w:r>
            <m:oMath>
              <m:r>
                <m:rPr>
                  <m:sty m:val="p"/>
                </m:rPr>
                <m:t>|</m:t>
              </m:r>
              <m:r>
                <m:rPr>
                  <m:nor/>
                  <m:sty m:val="p"/>
                </m:rPr>
                <m:t>CAR</m:t>
              </m:r>
              <m:r>
                <m:rPr>
                  <m:sty m:val="p"/>
                </m:rPr>
                <m:t>[</m:t>
              </m:r>
              <m:r>
                <m:t>0</m:t>
              </m:r>
              <m:r>
                <m:rPr>
                  <m:sty m:val="p"/>
                </m:rPr>
                <m:t>,</m:t>
              </m:r>
              <m:r>
                <m:rPr>
                  <m:sty m:val="p"/>
                </m:rPr>
                <m:t>+</m:t>
              </m:r>
              <m:r>
                <m:t>1</m:t>
              </m:r>
              <m:r>
                <m:rPr>
                  <m:sty m:val="p"/>
                </m:rPr>
                <m:t>]</m:t>
              </m:r>
              <m:r>
                <m:rPr>
                  <m:sty m:val="p"/>
                </m:rPr>
                <m:t>|</m:t>
              </m:r>
            </m:oMath>
            <w:r>
              <w:t xml:space="preserve"> </w:t>
            </w:r>
            <w:r>
              <w:t xml:space="preserve">(%)</w:t>
            </w:r>
          </w:p>
        </w:tc>
        <w:tc>
          <w:tcPr/>
          <w:p>
            <w:pPr>
              <w:pStyle w:val="Compact"/>
              <w:jc w:val="center"/>
            </w:pPr>
            <w:r>
              <w:t xml:space="preserve">Coef.</w:t>
            </w:r>
          </w:p>
        </w:tc>
        <w:tc>
          <w:tcPr/>
          <w:p>
            <w:pPr>
              <w:pStyle w:val="Compact"/>
              <w:jc w:val="center"/>
            </w:pPr>
            <m:oMath>
              <m:r>
                <m:t>t</m:t>
              </m:r>
            </m:oMath>
          </w:p>
        </w:tc>
      </w:tr>
      <w:tr>
        <w:tc>
          <w:tcPr/>
          <w:p>
            <w:pPr>
              <w:pStyle w:val="Compact"/>
              <w:jc w:val="left"/>
            </w:pPr>
            <w:r>
              <w:t xml:space="preserve">Log market cap</w:t>
            </w:r>
          </w:p>
        </w:tc>
        <w:tc>
          <w:tcPr/>
          <w:p>
            <w:pPr>
              <w:pStyle w:val="Compact"/>
              <w:jc w:val="center"/>
            </w:pPr>
            <w:r>
              <w:t xml:space="preserve">+0.0522**</w:t>
            </w:r>
          </w:p>
        </w:tc>
        <w:tc>
          <w:tcPr/>
          <w:p>
            <w:pPr>
              <w:pStyle w:val="Compact"/>
              <w:jc w:val="center"/>
            </w:pPr>
            <w:r>
              <w:t xml:space="preserve">(+2.41)</w:t>
            </w:r>
          </w:p>
        </w:tc>
      </w:tr>
      <w:tr>
        <w:tc>
          <w:tcPr/>
          <w:p>
            <w:pPr>
              <w:pStyle w:val="Compact"/>
              <w:jc w:val="left"/>
            </w:pPr>
            <w:r>
              <w:t xml:space="preserve">Market beta</w:t>
            </w:r>
          </w:p>
        </w:tc>
        <w:tc>
          <w:tcPr/>
          <w:p>
            <w:pPr>
              <w:pStyle w:val="Compact"/>
              <w:jc w:val="center"/>
            </w:pPr>
            <w:r>
              <w:t xml:space="preserve">+0.1845**</w:t>
            </w:r>
          </w:p>
        </w:tc>
        <w:tc>
          <w:tcPr/>
          <w:p>
            <w:pPr>
              <w:pStyle w:val="Compact"/>
              <w:jc w:val="center"/>
            </w:pPr>
            <w:r>
              <w:t xml:space="preserve">(+2.50)</w:t>
            </w:r>
          </w:p>
        </w:tc>
      </w:tr>
      <w:tr>
        <w:tc>
          <w:tcPr/>
          <w:p>
            <w:pPr>
              <w:pStyle w:val="Compact"/>
              <w:jc w:val="left"/>
            </w:pPr>
            <w:r>
              <w:t xml:space="preserve">Idiosyncratic vol. (%)</w:t>
            </w:r>
          </w:p>
        </w:tc>
        <w:tc>
          <w:tcPr/>
          <w:p>
            <w:pPr>
              <w:pStyle w:val="Compact"/>
              <w:jc w:val="center"/>
            </w:pPr>
            <w:r>
              <w:t xml:space="preserve">+1.1467***</w:t>
            </w:r>
          </w:p>
        </w:tc>
        <w:tc>
          <w:tcPr/>
          <w:p>
            <w:pPr>
              <w:pStyle w:val="Compact"/>
              <w:jc w:val="center"/>
            </w:pPr>
            <w:r>
              <w:t xml:space="preserve">(+11.35)</w:t>
            </w:r>
          </w:p>
        </w:tc>
      </w:tr>
      <w:tr>
        <w:tc>
          <w:tcPr/>
          <w:p>
            <w:pPr>
              <w:pStyle w:val="Compact"/>
              <w:jc w:val="left"/>
            </w:pPr>
            <w:r>
              <w:t xml:space="preserve">Shock fixed effects</w:t>
            </w:r>
          </w:p>
        </w:tc>
        <w:tc>
          <w:tcPr>
            <w:gridSpan w:val="2"/>
          </w:tcPr>
          <w:p>
            <w:pPr>
              <w:pStyle w:val="Compact"/>
              <w:jc w:val="center"/>
            </w:pPr>
            <w:r>
              <w:t xml:space="preserve">Yes</w:t>
            </w:r>
          </w:p>
        </w:tc>
      </w:tr>
      <w:tr>
        <w:tc>
          <w:tcPr/>
          <w:p>
            <w:pPr>
              <w:pStyle w:val="Compact"/>
              <w:jc w:val="left"/>
            </w:pPr>
            <w:r>
              <w:t xml:space="preserve">Industry fixed effects</w:t>
            </w:r>
          </w:p>
        </w:tc>
        <w:tc>
          <w:tcPr>
            <w:gridSpan w:val="2"/>
          </w:tcPr>
          <w:p>
            <w:pPr>
              <w:pStyle w:val="Compact"/>
              <w:jc w:val="center"/>
            </w:pPr>
            <w:r>
              <w:t xml:space="preserve">Yes</w:t>
            </w:r>
          </w:p>
        </w:tc>
      </w:tr>
      <w:tr>
        <w:tc>
          <w:tcPr/>
          <w:p>
            <w:pPr>
              <w:pStyle w:val="Compact"/>
              <w:jc w:val="left"/>
            </w:pPr>
            <w:r>
              <w:t xml:space="preserve">Firm clusters</w:t>
            </w:r>
          </w:p>
        </w:tc>
        <w:tc>
          <w:tcPr>
            <w:gridSpan w:val="2"/>
          </w:tcPr>
          <w:p>
            <w:pPr>
              <w:pStyle w:val="Compact"/>
              <w:jc w:val="center"/>
            </w:pPr>
            <w:r>
              <w:t xml:space="preserve">1,989</w:t>
            </w:r>
          </w:p>
        </w:tc>
      </w:tr>
      <w:tr>
        <w:tc>
          <w:tcPr/>
          <w:p>
            <w:pPr>
              <w:pStyle w:val="Compact"/>
              <w:jc w:val="left"/>
            </w:pPr>
            <m:oMath>
              <m:r>
                <m:t>N</m:t>
              </m:r>
            </m:oMath>
            <w:r>
              <w:t xml:space="preserve"> </w:t>
            </w:r>
            <w:r>
              <w:t xml:space="preserve">(firm</w:t>
            </w:r>
            <w:r>
              <w:t xml:space="preserve"> </w:t>
            </w:r>
            <m:oMath>
              <m:r>
                <m:rPr>
                  <m:sty m:val="p"/>
                </m:rPr>
                <m:t>×</m:t>
              </m:r>
            </m:oMath>
            <w:r>
              <w:t xml:space="preserve"> </w:t>
            </w:r>
            <w:r>
              <w:t xml:space="preserve">shock)</w:t>
            </w:r>
          </w:p>
        </w:tc>
        <w:tc>
          <w:tcPr>
            <w:gridSpan w:val="2"/>
          </w:tcPr>
          <w:p>
            <w:pPr>
              <w:pStyle w:val="Compact"/>
              <w:jc w:val="center"/>
            </w:pPr>
            <w:r>
              <w:t xml:space="preserve">19,256</w:t>
            </w:r>
          </w:p>
        </w:tc>
      </w:tr>
      <w:tr>
        <w:tc>
          <w:tcPr/>
          <w:p>
            <w:pPr>
              <w:pStyle w:val="Compact"/>
              <w:jc w:val="left"/>
            </w:pPr>
            <m:oMath>
              <m:sSup>
                <m:e>
                  <m:r>
                    <m:t>R</m:t>
                  </m:r>
                </m:e>
                <m:sup>
                  <m:r>
                    <m:t>2</m:t>
                  </m:r>
                </m:sup>
              </m:sSup>
            </m:oMath>
          </w:p>
        </w:tc>
        <w:tc>
          <w:tcPr>
            <w:gridSpan w:val="2"/>
          </w:tcPr>
          <w:p>
            <w:pPr>
              <w:pStyle w:val="Compact"/>
              <w:jc w:val="center"/>
            </w:pPr>
            <w:r>
              <w:t xml:space="preserve">0.212</w:t>
            </w:r>
          </w:p>
        </w:tc>
      </w:tr>
    </w:tbl>
    <w:bookmarkEnd w:id="48"/>
    <w:p>
      <w:pPr>
        <w:pStyle w:val="BodyText"/>
      </w:pPr>
      <w:r>
        <w:rPr>
          <w:i/>
          <w:iCs/>
        </w:rPr>
        <w:t xml:space="preserve">Notes:</w:t>
      </w:r>
      <w:r>
        <w:t xml:space="preserve"> </w:t>
      </w:r>
      <w:r>
        <w:t xml:space="preserve">Pooled firm</w:t>
      </w:r>
      <m:oMath>
        <m:r>
          <m:rPr>
            <m:sty m:val="p"/>
          </m:rPr>
          <m:t>×</m:t>
        </m:r>
      </m:oMath>
      <w:r>
        <w:t xml:space="preserve">shock OLS of</w:t>
      </w:r>
      <w:r>
        <w:t xml:space="preserve"> </w:t>
      </w:r>
      <m:oMath>
        <m:r>
          <m:rPr>
            <m:sty m:val="p"/>
          </m:rPr>
          <m:t>|</m:t>
        </m:r>
        <m:r>
          <m:rPr>
            <m:nor/>
            <m:sty m:val="p"/>
          </m:rPr>
          <m:t>CAR</m:t>
        </m:r>
        <m:r>
          <m:rPr>
            <m:sty m:val="p"/>
          </m:rPr>
          <m:t>[</m:t>
        </m:r>
        <m:r>
          <m:t>0</m:t>
        </m:r>
        <m:r>
          <m:rPr>
            <m:sty m:val="p"/>
          </m:rPr>
          <m:t>,</m:t>
        </m:r>
        <m:r>
          <m:rPr>
            <m:sty m:val="p"/>
          </m:rPr>
          <m:t>+</m:t>
        </m:r>
        <m:r>
          <m:t>1</m:t>
        </m:r>
        <m:r>
          <m:rPr>
            <m:sty m:val="p"/>
          </m:rPr>
          <m:t>]</m:t>
        </m:r>
        <m:r>
          <m:rPr>
            <m:sty m:val="p"/>
          </m:rPr>
          <m:t>|</m:t>
        </m:r>
      </m:oMath>
      <w:r>
        <w:t xml:space="preserve"> </w:t>
      </w:r>
      <w:r>
        <w:t xml:space="preserve">(%) on observable characteristics, with shock and industry fixed effects and standard errors</w:t>
      </w:r>
      <w:r>
        <w:t xml:space="preserve"> </w:t>
      </w:r>
      <w:r>
        <w:t xml:space="preserve">clustered by firm. Traits are generic observables chosen to be orthogonal to the reserved,</w:t>
      </w:r>
      <w:r>
        <w:t xml:space="preserve"> </w:t>
      </w:r>
      <w:r>
        <w:t xml:space="preserve">hand-collected exposure measure; the exposure</w:t>
      </w:r>
      <m:oMath>
        <m:r>
          <m:rPr>
            <m:sty m:val="p"/>
          </m:rPr>
          <m:t>→</m:t>
        </m:r>
      </m:oMath>
      <w:r>
        <w:t xml:space="preserve">dispersion test is deliberately left to the</w:t>
      </w:r>
      <w:r>
        <w:t xml:space="preserve"> </w:t>
      </w:r>
      <w:r>
        <w:t xml:space="preserve">cohort.</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49" w:name="tab:metare"/>
    <w:p>
      <w:pPr>
        <w:pStyle w:val="TableCaption"/>
      </w:pPr>
      <w:r>
        <w:t xml:space="preserve">Random-effects meta-analysis of propagation across shocks</w:t>
      </w:r>
    </w:p>
    <w:tbl>
      <w:tblPr>
        <w:tblStyle w:val="Table"/>
        <w:tblW w:type="auto" w:w="0"/>
        <w:tblLook w:firstRow="1" w:lastRow="0" w:firstColumn="0" w:lastColumn="0" w:noHBand="0" w:noVBand="0" w:val="0020"/>
        <w:tblCaption w:val="Random-effects meta-analysis of propagation across shocks"/>
      </w:tblPr>
      <w:tblGrid>
        <w:gridCol w:w="1131"/>
        <w:gridCol w:w="1131"/>
        <w:gridCol w:w="1131"/>
        <w:gridCol w:w="1131"/>
        <w:gridCol w:w="1131"/>
        <w:gridCol w:w="1131"/>
        <w:gridCol w:w="1131"/>
      </w:tblGrid>
      <w:tr>
        <w:trPr>
          <w:tblHeader w:val="on"/>
        </w:trPr>
        <w:tc>
          <w:tcPr/>
          <w:p>
            <w:pPr>
              <w:pStyle w:val="Compact"/>
              <w:jc w:val="left"/>
            </w:pPr>
            <w:r>
              <w:t xml:space="preserve">Statistic</w:t>
            </w:r>
          </w:p>
        </w:tc>
        <w:tc>
          <w:tcPr/>
          <w:p>
            <w:pPr>
              <w:pStyle w:val="Compact"/>
              <w:jc w:val="center"/>
            </w:pPr>
            <w:r>
              <w:t xml:space="preserve">RE pooled</w:t>
            </w:r>
          </w:p>
        </w:tc>
        <w:tc>
          <w:tcPr/>
          <w:p>
            <w:pPr>
              <w:pStyle w:val="Compact"/>
              <w:jc w:val="center"/>
            </w:pPr>
            <w:r>
              <w:t xml:space="preserve">95% CI</w:t>
            </w:r>
          </w:p>
        </w:tc>
        <w:tc>
          <w:tcPr/>
          <w:p>
            <w:pPr>
              <w:pStyle w:val="Compact"/>
              <w:jc w:val="center"/>
            </w:pPr>
            <m:oMath>
              <m:r>
                <m:t>Q</m:t>
              </m:r>
            </m:oMath>
          </w:p>
        </w:tc>
        <w:tc>
          <w:tcPr/>
          <w:p>
            <w:pPr>
              <w:pStyle w:val="Compact"/>
              <w:jc w:val="center"/>
            </w:pPr>
            <m:oMath>
              <m:sSub>
                <m:e>
                  <m:r>
                    <m:t>p</m:t>
                  </m:r>
                </m:e>
                <m:sub>
                  <m:r>
                    <m:t>Q</m:t>
                  </m:r>
                </m:sub>
              </m:sSub>
            </m:oMath>
          </w:p>
        </w:tc>
        <w:tc>
          <w:tcPr/>
          <w:p>
            <w:pPr>
              <w:pStyle w:val="Compact"/>
              <w:jc w:val="center"/>
            </w:pPr>
            <m:oMath>
              <m:sSup>
                <m:e>
                  <m:r>
                    <m:t>I</m:t>
                  </m:r>
                </m:e>
                <m:sup>
                  <m:r>
                    <m:t>2</m:t>
                  </m:r>
                </m:sup>
              </m:sSup>
            </m:oMath>
          </w:p>
        </w:tc>
        <w:tc>
          <w:tcPr/>
          <w:p>
            <w:pPr>
              <w:pStyle w:val="Compact"/>
              <w:jc w:val="center"/>
            </w:pPr>
            <m:oMath>
              <m:sSup>
                <m:e>
                  <m:r>
                    <m:t>τ</m:t>
                  </m:r>
                </m:e>
                <m:sup>
                  <m:r>
                    <m:t>2</m:t>
                  </m:r>
                </m:sup>
              </m:sSup>
            </m:oMath>
          </w:p>
        </w:tc>
      </w:tr>
      <w:tr>
        <w:tc>
          <w:tcPr/>
          <w:p>
            <w:pPr>
              <w:pStyle w:val="Compact"/>
              <w:jc w:val="left"/>
            </w:pPr>
            <w:r>
              <w:t xml:space="preserve">Mean drift CAR[+2,+10]</w:t>
            </w:r>
          </w:p>
        </w:tc>
        <w:tc>
          <w:tcPr/>
          <w:p>
            <w:pPr>
              <w:pStyle w:val="Compact"/>
              <w:jc w:val="center"/>
            </w:pPr>
            <w:r>
              <w:t xml:space="preserve">-0.014</w:t>
            </w:r>
          </w:p>
        </w:tc>
        <w:tc>
          <w:tcPr/>
          <w:p>
            <w:pPr>
              <w:pStyle w:val="Compact"/>
              <w:jc w:val="center"/>
            </w:pPr>
            <w:r>
              <w:t xml:space="preserve">[-0.925, +0.896]</w:t>
            </w:r>
          </w:p>
        </w:tc>
        <w:tc>
          <w:tcPr/>
          <w:p>
            <w:pPr>
              <w:pStyle w:val="Compact"/>
              <w:jc w:val="center"/>
            </w:pPr>
            <w:r>
              <w:t xml:space="preserve">947.1</w:t>
            </w:r>
          </w:p>
        </w:tc>
        <w:tc>
          <w:tcPr/>
          <w:p>
            <w:pPr>
              <w:pStyle w:val="Compact"/>
              <w:jc w:val="center"/>
            </w:pPr>
            <w:r>
              <w:t xml:space="preserve">0.000</w:t>
            </w:r>
          </w:p>
        </w:tc>
        <w:tc>
          <w:tcPr/>
          <w:p>
            <w:pPr>
              <w:pStyle w:val="Compact"/>
              <w:jc w:val="center"/>
            </w:pPr>
            <w:r>
              <w:t xml:space="preserve">99%</w:t>
            </w:r>
          </w:p>
        </w:tc>
        <w:tc>
          <w:tcPr/>
          <w:p>
            <w:pPr>
              <w:pStyle w:val="Compact"/>
              <w:jc w:val="center"/>
            </w:pPr>
            <w:r>
              <w:t xml:space="preserve">2.136</w:t>
            </w:r>
          </w:p>
        </w:tc>
      </w:tr>
      <w:tr>
        <w:tc>
          <w:tcPr/>
          <w:p>
            <w:pPr>
              <w:pStyle w:val="Compact"/>
              <w:jc w:val="left"/>
            </w:pPr>
            <w:r>
              <w:t xml:space="preserve">Mean pre CAR[-5,-1]</w:t>
            </w:r>
          </w:p>
        </w:tc>
        <w:tc>
          <w:tcPr/>
          <w:p>
            <w:pPr>
              <w:pStyle w:val="Compact"/>
              <w:jc w:val="center"/>
            </w:pPr>
            <w:r>
              <w:t xml:space="preserve">-0.887</w:t>
            </w:r>
          </w:p>
        </w:tc>
        <w:tc>
          <w:tcPr/>
          <w:p>
            <w:pPr>
              <w:pStyle w:val="Compact"/>
              <w:jc w:val="center"/>
            </w:pPr>
            <w:r>
              <w:t xml:space="preserve">[-1.473, -0.302]</w:t>
            </w:r>
          </w:p>
        </w:tc>
        <w:tc>
          <w:tcPr/>
          <w:p>
            <w:pPr>
              <w:pStyle w:val="Compact"/>
              <w:jc w:val="center"/>
            </w:pPr>
            <w:r>
              <w:t xml:space="preserve">706.1</w:t>
            </w:r>
          </w:p>
        </w:tc>
        <w:tc>
          <w:tcPr/>
          <w:p>
            <w:pPr>
              <w:pStyle w:val="Compact"/>
              <w:jc w:val="center"/>
            </w:pPr>
            <w:r>
              <w:t xml:space="preserve">0.000</w:t>
            </w:r>
          </w:p>
        </w:tc>
        <w:tc>
          <w:tcPr/>
          <w:p>
            <w:pPr>
              <w:pStyle w:val="Compact"/>
              <w:jc w:val="center"/>
            </w:pPr>
            <w:r>
              <w:t xml:space="preserve">99%</w:t>
            </w:r>
          </w:p>
        </w:tc>
        <w:tc>
          <w:tcPr/>
          <w:p>
            <w:pPr>
              <w:pStyle w:val="Compact"/>
              <w:jc w:val="center"/>
            </w:pPr>
            <w:r>
              <w:t xml:space="preserve">0.878</w:t>
            </w:r>
          </w:p>
        </w:tc>
      </w:tr>
    </w:tbl>
    <w:bookmarkEnd w:id="49"/>
    <w:p>
      <w:pPr>
        <w:pStyle w:val="BodyText"/>
      </w:pPr>
      <w:r>
        <w:rPr>
          <w:i/>
          <w:iCs/>
        </w:rPr>
        <w:t xml:space="preserve">Notes:</w:t>
      </w:r>
      <w:r>
        <w:t xml:space="preserve"> </w:t>
      </w:r>
      <w:r>
        <w:t xml:space="preserve">DerSimonian–Laird random-effects pooling across the</w:t>
      </w:r>
      <w:r>
        <w:t xml:space="preserve"> </w:t>
      </w:r>
      <w:r>
        <w:t xml:space="preserve">ten shocks, with per-shock sampling variance</w:t>
      </w:r>
      <w:r>
        <w:t xml:space="preserve"> </w:t>
      </w:r>
      <m:oMath>
        <m:sSup>
          <m:e>
            <m:r>
              <m:rPr>
                <m:nor/>
                <m:sty m:val="p"/>
              </m:rPr>
              <m:t>SD</m:t>
            </m:r>
          </m:e>
          <m:sup>
            <m:r>
              <m:t>2</m:t>
            </m:r>
          </m:sup>
        </m:sSup>
        <m:r>
          <m:rPr>
            <m:sty m:val="p"/>
          </m:rPr>
          <m:t>/</m:t>
        </m:r>
        <m:r>
          <m:t>n</m:t>
        </m:r>
      </m:oMath>
      <w:r>
        <w:t xml:space="preserve">.</w:t>
      </w:r>
      <w:r>
        <w:t xml:space="preserve"> </w:t>
      </w:r>
      <m:oMath>
        <m:r>
          <m:t>Q</m:t>
        </m:r>
      </m:oMath>
      <w:r>
        <w:t xml:space="preserve"> </w:t>
      </w:r>
      <w:r>
        <w:t xml:space="preserve">is Cochran’s heterogeneity</w:t>
      </w:r>
      <w:r>
        <w:t xml:space="preserve"> </w:t>
      </w:r>
      <w:r>
        <w:t xml:space="preserve">statistic (</w:t>
      </w:r>
      <m:oMath>
        <m:r>
          <m:t>d</m:t>
        </m:r>
        <m:r>
          <m:t>f</m:t>
        </m:r>
        <m:r>
          <m:rPr>
            <m:sty m:val="p"/>
          </m:rPr>
          <m:t>=</m:t>
        </m:r>
        <m:r>
          <m:t>9</m:t>
        </m:r>
      </m:oMath>
      <w:r>
        <w:t xml:space="preserve">),</w:t>
      </w:r>
      <w:r>
        <w:t xml:space="preserve"> </w:t>
      </w:r>
      <m:oMath>
        <m:sSub>
          <m:e>
            <m:r>
              <m:t>p</m:t>
            </m:r>
          </m:e>
          <m:sub>
            <m:r>
              <m:t>Q</m:t>
            </m:r>
          </m:sub>
        </m:sSub>
      </m:oMath>
      <w:r>
        <w:t xml:space="preserve"> </w:t>
      </w:r>
      <w:r>
        <w:t xml:space="preserve">its</w:t>
      </w:r>
      <w:r>
        <w:t xml:space="preserve"> </w:t>
      </w:r>
      <m:oMath>
        <m:r>
          <m:t>p</m:t>
        </m:r>
      </m:oMath>
      <w:r>
        <w:t xml:space="preserve">-value,</w:t>
      </w:r>
      <w:r>
        <w:t xml:space="preserve"> </w:t>
      </w:r>
      <m:oMath>
        <m:sSup>
          <m:e>
            <m:r>
              <m:t>I</m:t>
            </m:r>
          </m:e>
          <m:sup>
            <m:r>
              <m:t>2</m:t>
            </m:r>
          </m:sup>
        </m:sSup>
      </m:oMath>
      <w:r>
        <w:t xml:space="preserve"> </w:t>
      </w:r>
      <w:r>
        <w:t xml:space="preserve">the share of variation due to between-shock</w:t>
      </w:r>
      <w:r>
        <w:t xml:space="preserve"> </w:t>
      </w:r>
      <w:r>
        <w:t xml:space="preserve">heterogeneity, and</w:t>
      </w:r>
      <w:r>
        <w:t xml:space="preserve"> </w:t>
      </w:r>
      <m:oMath>
        <m:sSup>
          <m:e>
            <m:r>
              <m:t>τ</m:t>
            </m:r>
          </m:e>
          <m:sup>
            <m:r>
              <m:t>2</m:t>
            </m:r>
          </m:sup>
        </m:sSup>
      </m:oMath>
      <w:r>
        <w:t xml:space="preserve"> </w:t>
      </w:r>
      <w:r>
        <w:t xml:space="preserve">the between-shock variance.</w:t>
      </w:r>
      <w:r>
        <w:t xml:space="preserve"> </w:t>
      </w:r>
      <m:oMath>
        <m:sSup>
          <m:e>
            <m:r>
              <m:t>I</m:t>
            </m:r>
          </m:e>
          <m:sup>
            <m:r>
              <m:t>2</m:t>
            </m:r>
          </m:sup>
        </m:sSup>
        <m:r>
          <m:rPr>
            <m:sty m:val="p"/>
          </m:rPr>
          <m:t>≈</m:t>
        </m:r>
        <m:r>
          <m:t>99</m:t>
        </m:r>
        <m:r>
          <m:rPr>
            <m:sty m:val="p"/>
          </m:rPr>
          <m:t>%</m:t>
        </m:r>
      </m:oMath>
      <w:r>
        <w:t xml:space="preserve">: the pooled estimate</w:t>
      </w:r>
      <w:r>
        <w:t xml:space="preserve"> </w:t>
      </w:r>
      <w:r>
        <w:t xml:space="preserve">characterizes heterogeneity, it does not estimate a common effect. See Figure </w:t>
      </w:r>
      <w:hyperlink w:anchor="fig:forest">
        <w:r>
          <w:rPr>
            <w:rStyle w:val="Hyperlink"/>
          </w:rPr>
          <w:t xml:space="preserve">3</w:t>
        </w:r>
      </w:hyperlink>
      <w:r>
        <w:t xml:space="preserve">.</w:t>
      </w:r>
    </w:p>
    <w:bookmarkStart w:id="50" w:name="tab:overreact"/>
    <w:p>
      <w:pPr>
        <w:pStyle w:val="TableCaption"/>
      </w:pPr>
      <w:r>
        <w:t xml:space="preserve">Aggregate propagation: post-event drift by announcement-CAR quintile</w:t>
      </w:r>
    </w:p>
    <w:tbl>
      <w:tblPr>
        <w:tblStyle w:val="Table"/>
        <w:tblW w:type="auto" w:w="0"/>
        <w:tblLook w:firstRow="1" w:lastRow="0" w:firstColumn="0" w:lastColumn="0" w:noHBand="0" w:noVBand="0" w:val="0020"/>
        <w:tblCaption w:val="Aggregate propagation: post-event drift by announcement-CAR quintile"/>
      </w:tblPr>
      <w:tblGrid>
        <w:gridCol w:w="1584"/>
        <w:gridCol w:w="1584"/>
        <w:gridCol w:w="1584"/>
        <w:gridCol w:w="1584"/>
        <w:gridCol w:w="1584"/>
      </w:tblGrid>
      <w:tr>
        <w:trPr>
          <w:tblHeader w:val="on"/>
        </w:trPr>
        <w:tc>
          <w:tcPr/>
          <w:p>
            <w:pPr>
              <w:pStyle w:val="Compact"/>
              <w:jc w:val="left"/>
            </w:pPr>
            <w:r>
              <w:t xml:space="preserve">Announcement quintile</w:t>
            </w:r>
          </w:p>
        </w:tc>
        <w:tc>
          <w:tcPr/>
          <w:p>
            <w:pPr>
              <w:pStyle w:val="Compact"/>
              <w:jc w:val="center"/>
            </w:pPr>
            <m:oMath>
              <m:r>
                <m:t>N</m:t>
              </m:r>
            </m:oMath>
          </w:p>
        </w:tc>
        <w:tc>
          <w:tcPr/>
          <w:p>
            <w:pPr>
              <w:pStyle w:val="Compact"/>
              <w:jc w:val="center"/>
            </w:pPr>
            <w:r>
              <w:t xml:space="preserve">Mean CAR[0,+1]</w:t>
            </w:r>
          </w:p>
        </w:tc>
        <w:tc>
          <w:tcPr/>
          <w:p>
            <w:pPr>
              <w:pStyle w:val="Compact"/>
              <w:jc w:val="center"/>
            </w:pPr>
            <w:r>
              <w:t xml:space="preserve">Mean drift[+2,+10]</w:t>
            </w:r>
          </w:p>
        </w:tc>
        <w:tc>
          <w:tcPr/>
          <w:p>
            <w:pPr>
              <w:pStyle w:val="Compact"/>
              <w:jc w:val="center"/>
            </w:pPr>
            <w:r>
              <w:t xml:space="preserve">(</w:t>
            </w:r>
            <m:oMath>
              <m:r>
                <m:t>t</m:t>
              </m:r>
            </m:oMath>
            <w:r>
              <w:t xml:space="preserve">)</w:t>
            </w:r>
          </w:p>
        </w:tc>
      </w:tr>
      <w:tr>
        <w:tc>
          <w:tcPr/>
          <w:p>
            <w:pPr>
              <w:pStyle w:val="Compact"/>
              <w:jc w:val="left"/>
            </w:pPr>
            <w:r>
              <w:t xml:space="preserve">1</w:t>
            </w:r>
          </w:p>
        </w:tc>
        <w:tc>
          <w:tcPr/>
          <w:p>
            <w:pPr>
              <w:pStyle w:val="Compact"/>
              <w:jc w:val="center"/>
            </w:pPr>
            <w:r>
              <w:t xml:space="preserve">3,855</w:t>
            </w:r>
          </w:p>
        </w:tc>
        <w:tc>
          <w:tcPr/>
          <w:p>
            <w:pPr>
              <w:pStyle w:val="Compact"/>
              <w:jc w:val="center"/>
            </w:pPr>
            <w:r>
              <w:t xml:space="preserve">-4.80</w:t>
            </w:r>
          </w:p>
        </w:tc>
        <w:tc>
          <w:tcPr/>
          <w:p>
            <w:pPr>
              <w:pStyle w:val="Compact"/>
              <w:jc w:val="center"/>
            </w:pPr>
            <w:r>
              <w:t xml:space="preserve">-0.31</w:t>
            </w:r>
          </w:p>
        </w:tc>
        <w:tc>
          <w:tcPr/>
          <w:p>
            <w:pPr>
              <w:pStyle w:val="Compact"/>
              <w:jc w:val="center"/>
            </w:pPr>
            <w:r>
              <w:t xml:space="preserve">(-2.13)</w:t>
            </w:r>
          </w:p>
        </w:tc>
      </w:tr>
      <w:tr>
        <w:tc>
          <w:tcPr/>
          <w:p>
            <w:pPr>
              <w:pStyle w:val="Compact"/>
              <w:jc w:val="left"/>
            </w:pPr>
            <w:r>
              <w:t xml:space="preserve">2</w:t>
            </w:r>
          </w:p>
        </w:tc>
        <w:tc>
          <w:tcPr/>
          <w:p>
            <w:pPr>
              <w:pStyle w:val="Compact"/>
              <w:jc w:val="center"/>
            </w:pPr>
            <w:r>
              <w:t xml:space="preserve">3,847</w:t>
            </w:r>
          </w:p>
        </w:tc>
        <w:tc>
          <w:tcPr/>
          <w:p>
            <w:pPr>
              <w:pStyle w:val="Compact"/>
              <w:jc w:val="center"/>
            </w:pPr>
            <w:r>
              <w:t xml:space="preserve">-1.49</w:t>
            </w:r>
          </w:p>
        </w:tc>
        <w:tc>
          <w:tcPr/>
          <w:p>
            <w:pPr>
              <w:pStyle w:val="Compact"/>
              <w:jc w:val="center"/>
            </w:pPr>
            <w:r>
              <w:t xml:space="preserve">-0.25</w:t>
            </w:r>
          </w:p>
        </w:tc>
        <w:tc>
          <w:tcPr/>
          <w:p>
            <w:pPr>
              <w:pStyle w:val="Compact"/>
              <w:jc w:val="center"/>
            </w:pPr>
            <w:r>
              <w:t xml:space="preserve">(-2.57)</w:t>
            </w:r>
          </w:p>
        </w:tc>
      </w:tr>
      <w:tr>
        <w:tc>
          <w:tcPr/>
          <w:p>
            <w:pPr>
              <w:pStyle w:val="Compact"/>
              <w:jc w:val="left"/>
            </w:pPr>
            <w:r>
              <w:t xml:space="preserve">3</w:t>
            </w:r>
          </w:p>
        </w:tc>
        <w:tc>
          <w:tcPr/>
          <w:p>
            <w:pPr>
              <w:pStyle w:val="Compact"/>
              <w:jc w:val="center"/>
            </w:pPr>
            <w:r>
              <w:t xml:space="preserve">3,849</w:t>
            </w:r>
          </w:p>
        </w:tc>
        <w:tc>
          <w:tcPr/>
          <w:p>
            <w:pPr>
              <w:pStyle w:val="Compact"/>
              <w:jc w:val="center"/>
            </w:pPr>
            <w:r>
              <w:t xml:space="preserve">-0.32</w:t>
            </w:r>
          </w:p>
        </w:tc>
        <w:tc>
          <w:tcPr/>
          <w:p>
            <w:pPr>
              <w:pStyle w:val="Compact"/>
              <w:jc w:val="center"/>
            </w:pPr>
            <w:r>
              <w:t xml:space="preserve">-0.18</w:t>
            </w:r>
          </w:p>
        </w:tc>
        <w:tc>
          <w:tcPr/>
          <w:p>
            <w:pPr>
              <w:pStyle w:val="Compact"/>
              <w:jc w:val="center"/>
            </w:pPr>
            <w:r>
              <w:t xml:space="preserve">(-2.38)</w:t>
            </w:r>
          </w:p>
        </w:tc>
      </w:tr>
      <w:tr>
        <w:tc>
          <w:tcPr/>
          <w:p>
            <w:pPr>
              <w:pStyle w:val="Compact"/>
              <w:jc w:val="left"/>
            </w:pPr>
            <w:r>
              <w:t xml:space="preserve">4</w:t>
            </w:r>
          </w:p>
        </w:tc>
        <w:tc>
          <w:tcPr/>
          <w:p>
            <w:pPr>
              <w:pStyle w:val="Compact"/>
              <w:jc w:val="center"/>
            </w:pPr>
            <w:r>
              <w:t xml:space="preserve">3,847</w:t>
            </w:r>
          </w:p>
        </w:tc>
        <w:tc>
          <w:tcPr/>
          <w:p>
            <w:pPr>
              <w:pStyle w:val="Compact"/>
              <w:jc w:val="center"/>
            </w:pPr>
            <w:r>
              <w:t xml:space="preserve">+0.69</w:t>
            </w:r>
          </w:p>
        </w:tc>
        <w:tc>
          <w:tcPr/>
          <w:p>
            <w:pPr>
              <w:pStyle w:val="Compact"/>
              <w:jc w:val="center"/>
            </w:pPr>
            <w:r>
              <w:t xml:space="preserve">+0.19</w:t>
            </w:r>
          </w:p>
        </w:tc>
        <w:tc>
          <w:tcPr/>
          <w:p>
            <w:pPr>
              <w:pStyle w:val="Compact"/>
              <w:jc w:val="center"/>
            </w:pPr>
            <w:r>
              <w:t xml:space="preserve">(+2.25)</w:t>
            </w:r>
          </w:p>
        </w:tc>
      </w:tr>
      <w:tr>
        <w:tc>
          <w:tcPr/>
          <w:p>
            <w:pPr>
              <w:pStyle w:val="Compact"/>
              <w:jc w:val="left"/>
            </w:pPr>
            <w:r>
              <w:t xml:space="preserve">5</w:t>
            </w:r>
          </w:p>
        </w:tc>
        <w:tc>
          <w:tcPr/>
          <w:p>
            <w:pPr>
              <w:pStyle w:val="Compact"/>
              <w:jc w:val="center"/>
            </w:pPr>
            <w:r>
              <w:t xml:space="preserve">3,853</w:t>
            </w:r>
          </w:p>
        </w:tc>
        <w:tc>
          <w:tcPr/>
          <w:p>
            <w:pPr>
              <w:pStyle w:val="Compact"/>
              <w:jc w:val="center"/>
            </w:pPr>
            <w:r>
              <w:t xml:space="preserve">+3.47</w:t>
            </w:r>
          </w:p>
        </w:tc>
        <w:tc>
          <w:tcPr/>
          <w:p>
            <w:pPr>
              <w:pStyle w:val="Compact"/>
              <w:jc w:val="center"/>
            </w:pPr>
            <w:r>
              <w:t xml:space="preserve">+0.42</w:t>
            </w:r>
          </w:p>
        </w:tc>
        <w:tc>
          <w:tcPr/>
          <w:p>
            <w:pPr>
              <w:pStyle w:val="Compact"/>
              <w:jc w:val="center"/>
            </w:pPr>
            <w:r>
              <w:t xml:space="preserve">(+3.56)</w:t>
            </w:r>
          </w:p>
        </w:tc>
      </w:tr>
      <w:tr>
        <w:tc>
          <w:tcPr/>
          <w:p>
            <w:pPr>
              <w:pStyle w:val="Compact"/>
              <w:jc w:val="left"/>
            </w:pPr>
            <w:r>
              <w:t xml:space="preserve">Q5</w:t>
            </w:r>
            <m:oMath>
              <m:r>
                <m:rPr>
                  <m:sty m:val="p"/>
                </m:rPr>
                <m:t>−</m:t>
              </m:r>
            </m:oMath>
            <w:r>
              <w:t xml:space="preserve">Q1 spread</w:t>
            </w:r>
          </w:p>
        </w:tc>
        <w:tc>
          <w:tcPr/>
          <w:p>
            <w:pPr>
              <w:pStyle w:val="Compact"/>
            </w:pPr>
          </w:p>
        </w:tc>
        <w:tc>
          <w:tcPr/>
          <w:p>
            <w:pPr>
              <w:pStyle w:val="Compact"/>
            </w:pPr>
          </w:p>
        </w:tc>
        <w:tc>
          <w:tcPr/>
          <w:p>
            <w:pPr>
              <w:pStyle w:val="Compact"/>
              <w:jc w:val="center"/>
            </w:pPr>
            <w:r>
              <w:t xml:space="preserve">+0.73</w:t>
            </w:r>
          </w:p>
        </w:tc>
        <w:tc>
          <w:tcPr/>
          <w:p>
            <w:pPr>
              <w:pStyle w:val="Compact"/>
              <w:jc w:val="center"/>
            </w:pPr>
            <w:r>
              <w:t xml:space="preserve">(+4.03)</w:t>
            </w:r>
          </w:p>
        </w:tc>
      </w:tr>
    </w:tbl>
    <w:bookmarkEnd w:id="50"/>
    <w:p>
      <w:pPr>
        <w:pStyle w:val="BodyText"/>
      </w:pPr>
      <w:r>
        <w:rPr>
          <w:i/>
          <w:iCs/>
        </w:rPr>
        <w:t xml:space="preserve">Notes:</w:t>
      </w:r>
      <w:r>
        <w:t xml:space="preserve"> </w:t>
      </w:r>
      <w:r>
        <w:t xml:space="preserve">All firm</w:t>
      </w:r>
      <m:oMath>
        <m:r>
          <m:rPr>
            <m:sty m:val="p"/>
          </m:rPr>
          <m:t>×</m:t>
        </m:r>
      </m:oMath>
      <w:r>
        <w:t xml:space="preserve">shock observations are sorted into</w:t>
      </w:r>
      <w:r>
        <w:t xml:space="preserve"> </w:t>
      </w:r>
      <w:r>
        <w:t xml:space="preserve">announcement-CAR quintiles within each shock; the table reports the mean subsequent drift CAR</w:t>
      </w:r>
      <w:r>
        <w:t xml:space="preserve"> </w:t>
      </w:r>
      <m:oMath>
        <m:r>
          <m:rPr>
            <m:sty m:val="p"/>
          </m:rPr>
          <m:t>[</m:t>
        </m:r>
        <m:r>
          <m:rPr>
            <m:sty m:val="p"/>
          </m:rPr>
          <m:t>+</m:t>
        </m:r>
        <m:r>
          <m:t>2</m:t>
        </m:r>
        <m:r>
          <m:rPr>
            <m:sty m:val="p"/>
          </m:rPr>
          <m:t>,</m:t>
        </m:r>
        <m:r>
          <m:rPr>
            <m:sty m:val="p"/>
          </m:rPr>
          <m:t>+</m:t>
        </m:r>
        <m:r>
          <m:t>10</m:t>
        </m:r>
        <m:r>
          <m:rPr>
            <m:sty m:val="p"/>
          </m:rPr>
          <m:t>]</m:t>
        </m:r>
      </m:oMath>
      <w:r>
        <w:t xml:space="preserve"> </w:t>
      </w:r>
      <w:r>
        <w:t xml:space="preserve">(%). The per-quintile</w:t>
      </w:r>
      <w:r>
        <w:t xml:space="preserve"> </w:t>
      </w:r>
      <m:oMath>
        <m:r>
          <m:t>t</m:t>
        </m:r>
      </m:oMath>
      <w:r>
        <w:t xml:space="preserve">-statistics are simple</w:t>
      </w:r>
      <w:r>
        <w:t xml:space="preserve"> </w:t>
      </w:r>
      <w:r>
        <w:t xml:space="preserve">“mean</w:t>
      </w:r>
      <w:r>
        <w:t xml:space="preserve"> </w:t>
      </w:r>
      <m:oMath>
        <m:r>
          <m:rPr>
            <m:sty m:val="p"/>
          </m:rPr>
          <m:t>≠</m:t>
        </m:r>
        <m:r>
          <m:t>0</m:t>
        </m:r>
      </m:oMath>
      <w:r>
        <w:t xml:space="preserve">”</w:t>
      </w:r>
      <w:r>
        <w:t xml:space="preserve"> </w:t>
      </w:r>
      <w:r>
        <w:t xml:space="preserve">tests; the Q5</w:t>
      </w:r>
      <m:oMath>
        <m:r>
          <m:rPr>
            <m:sty m:val="p"/>
          </m:rPr>
          <m:t>−</m:t>
        </m:r>
      </m:oMath>
      <w:r>
        <w:t xml:space="preserve">Q1</w:t>
      </w:r>
      <w:r>
        <w:t xml:space="preserve"> </w:t>
      </w:r>
      <w:r>
        <w:t xml:space="preserve">spread and its</w:t>
      </w:r>
      <w:r>
        <w:t xml:space="preserve"> </w:t>
      </w:r>
      <m:oMath>
        <m:r>
          <m:t>t</m:t>
        </m:r>
      </m:oMath>
      <w:r>
        <w:t xml:space="preserve"> </w:t>
      </w:r>
      <w:r>
        <w:t xml:space="preserve">come from a regression of drift on quintile dummies with</w:t>
      </w:r>
      <w:r>
        <w:t xml:space="preserve"> </w:t>
      </w:r>
      <w:r>
        <w:rPr>
          <w:i/>
          <w:iCs/>
        </w:rPr>
        <w:t xml:space="preserve">shock fixed effects</w:t>
      </w:r>
      <w:r>
        <w:t xml:space="preserve"> </w:t>
      </w:r>
      <w:r>
        <w:t xml:space="preserve">and standard errors</w:t>
      </w:r>
      <w:r>
        <w:t xml:space="preserve"> </w:t>
      </w:r>
      <w:r>
        <w:rPr>
          <w:i/>
          <w:iCs/>
        </w:rPr>
        <w:t xml:space="preserve">clustered by firm</w:t>
      </w:r>
      <w:r>
        <w:t xml:space="preserve">. The monotone pattern and positive spread indicate</w:t>
      </w:r>
      <w:r>
        <w:t xml:space="preserve"> </w:t>
      </w:r>
      <w:r>
        <w:t xml:space="preserve">modest</w:t>
      </w:r>
      <w:r>
        <w:t xml:space="preserve"> </w:t>
      </w:r>
      <w:r>
        <w:rPr>
          <w:i/>
          <w:iCs/>
        </w:rPr>
        <w:t xml:space="preserve">continuation</w:t>
      </w:r>
      <w:r>
        <w:t xml:space="preserve"> </w:t>
      </w:r>
      <w:r>
        <w:t xml:space="preserve">(under-reaction), not reversal.</w:t>
      </w:r>
    </w:p>
    <w:bookmarkStart w:id="51" w:name="tab:sizesplit"/>
    <w:p>
      <w:pPr>
        <w:pStyle w:val="TableCaption"/>
      </w:pPr>
      <w:r>
        <w:t xml:space="preserve">Size-tercile subsamples: dispersion, drift, and reversal</w:t>
      </w:r>
    </w:p>
    <w:tbl>
      <w:tblPr>
        <w:tblStyle w:val="Table"/>
        <w:tblW w:type="auto" w:w="0"/>
        <w:tblLook w:firstRow="1" w:lastRow="0" w:firstColumn="0" w:lastColumn="0" w:noHBand="0" w:noVBand="0" w:val="0020"/>
        <w:tblCaption w:val="Size-tercile subsamples: dispersion, drift, and reversal"/>
      </w:tblPr>
      <w:tblGrid>
        <w:gridCol w:w="1584"/>
        <w:gridCol w:w="1584"/>
        <w:gridCol w:w="1584"/>
        <w:gridCol w:w="1584"/>
        <w:gridCol w:w="1584"/>
      </w:tblGrid>
      <w:tr>
        <w:trPr>
          <w:tblHeader w:val="on"/>
        </w:trPr>
        <w:tc>
          <w:tcPr/>
          <w:p>
            <w:pPr>
              <w:pStyle w:val="Compact"/>
              <w:jc w:val="left"/>
            </w:pPr>
            <w:r>
              <w:t xml:space="preserve">Size tercile</w:t>
            </w:r>
          </w:p>
        </w:tc>
        <w:tc>
          <w:tcPr/>
          <w:p>
            <w:pPr>
              <w:pStyle w:val="Compact"/>
              <w:jc w:val="center"/>
            </w:pPr>
            <m:oMath>
              <m:r>
                <m:t>N</m:t>
              </m:r>
            </m:oMath>
          </w:p>
        </w:tc>
        <w:tc>
          <w:tcPr/>
          <w:p>
            <w:pPr>
              <w:pStyle w:val="Compact"/>
              <w:jc w:val="center"/>
            </w:pPr>
            <w:r>
              <w:t xml:space="preserve">Dispersion</w:t>
            </w:r>
          </w:p>
        </w:tc>
        <w:tc>
          <w:tcPr/>
          <w:p>
            <w:pPr>
              <w:pStyle w:val="Compact"/>
              <w:jc w:val="center"/>
            </w:pPr>
            <w:r>
              <w:t xml:space="preserve">Mean drift</w:t>
            </w:r>
          </w:p>
        </w:tc>
        <w:tc>
          <w:tcPr/>
          <w:p>
            <w:pPr>
              <w:pStyle w:val="Compact"/>
              <w:jc w:val="center"/>
            </w:pPr>
            <w:r>
              <w:t xml:space="preserve">Reversal</w:t>
            </w:r>
          </w:p>
        </w:tc>
      </w:tr>
      <w:tr>
        <w:tc>
          <w:tcPr/>
          <w:p>
            <w:pPr>
              <w:pStyle w:val="Compact"/>
              <w:jc w:val="left"/>
            </w:pPr>
            <w:r>
              <w:t xml:space="preserve">Small</w:t>
            </w:r>
          </w:p>
        </w:tc>
        <w:tc>
          <w:tcPr/>
          <w:p>
            <w:pPr>
              <w:pStyle w:val="Compact"/>
              <w:jc w:val="center"/>
            </w:pPr>
            <w:r>
              <w:t xml:space="preserve">6,475</w:t>
            </w:r>
          </w:p>
        </w:tc>
        <w:tc>
          <w:tcPr/>
          <w:p>
            <w:pPr>
              <w:pStyle w:val="Compact"/>
              <w:jc w:val="center"/>
            </w:pPr>
            <w:r>
              <w:t xml:space="preserve">3.91</w:t>
            </w:r>
          </w:p>
        </w:tc>
        <w:tc>
          <w:tcPr/>
          <w:p>
            <w:pPr>
              <w:pStyle w:val="Compact"/>
              <w:jc w:val="center"/>
            </w:pPr>
            <w:r>
              <w:t xml:space="preserve">-0.23</w:t>
            </w:r>
          </w:p>
        </w:tc>
        <w:tc>
          <w:tcPr/>
          <w:p>
            <w:pPr>
              <w:pStyle w:val="Compact"/>
              <w:jc w:val="center"/>
            </w:pPr>
            <w:r>
              <w:t xml:space="preserve">+0.02</w:t>
            </w:r>
          </w:p>
        </w:tc>
      </w:tr>
      <w:tr>
        <w:tc>
          <w:tcPr/>
          <w:p>
            <w:pPr>
              <w:pStyle w:val="Compact"/>
              <w:jc w:val="left"/>
            </w:pPr>
            <w:r>
              <w:t xml:space="preserve">Mid</w:t>
            </w:r>
          </w:p>
        </w:tc>
        <w:tc>
          <w:tcPr/>
          <w:p>
            <w:pPr>
              <w:pStyle w:val="Compact"/>
              <w:jc w:val="center"/>
            </w:pPr>
            <w:r>
              <w:t xml:space="preserve">6,469</w:t>
            </w:r>
          </w:p>
        </w:tc>
        <w:tc>
          <w:tcPr/>
          <w:p>
            <w:pPr>
              <w:pStyle w:val="Compact"/>
              <w:jc w:val="center"/>
            </w:pPr>
            <w:r>
              <w:t xml:space="preserve">4.33</w:t>
            </w:r>
          </w:p>
        </w:tc>
        <w:tc>
          <w:tcPr/>
          <w:p>
            <w:pPr>
              <w:pStyle w:val="Compact"/>
              <w:jc w:val="center"/>
            </w:pPr>
            <w:r>
              <w:t xml:space="preserve">-0.06</w:t>
            </w:r>
          </w:p>
        </w:tc>
        <w:tc>
          <w:tcPr/>
          <w:p>
            <w:pPr>
              <w:pStyle w:val="Compact"/>
              <w:jc w:val="center"/>
            </w:pPr>
            <w:r>
              <w:t xml:space="preserve">+0.05</w:t>
            </w:r>
          </w:p>
        </w:tc>
      </w:tr>
      <w:tr>
        <w:tc>
          <w:tcPr/>
          <w:p>
            <w:pPr>
              <w:pStyle w:val="Compact"/>
              <w:jc w:val="left"/>
            </w:pPr>
            <w:r>
              <w:t xml:space="preserve">Large</w:t>
            </w:r>
          </w:p>
        </w:tc>
        <w:tc>
          <w:tcPr/>
          <w:p>
            <w:pPr>
              <w:pStyle w:val="Compact"/>
              <w:jc w:val="center"/>
            </w:pPr>
            <w:r>
              <w:t xml:space="preserve">6,473</w:t>
            </w:r>
          </w:p>
        </w:tc>
        <w:tc>
          <w:tcPr/>
          <w:p>
            <w:pPr>
              <w:pStyle w:val="Compact"/>
              <w:jc w:val="center"/>
            </w:pPr>
            <w:r>
              <w:t xml:space="preserve">2.92</w:t>
            </w:r>
          </w:p>
        </w:tc>
        <w:tc>
          <w:tcPr/>
          <w:p>
            <w:pPr>
              <w:pStyle w:val="Compact"/>
              <w:jc w:val="center"/>
            </w:pPr>
            <w:r>
              <w:t xml:space="preserve">+0.20</w:t>
            </w:r>
          </w:p>
        </w:tc>
        <w:tc>
          <w:tcPr/>
          <w:p>
            <w:pPr>
              <w:pStyle w:val="Compact"/>
              <w:jc w:val="center"/>
            </w:pPr>
            <w:r>
              <w:t xml:space="preserve">+0.04</w:t>
            </w:r>
          </w:p>
        </w:tc>
      </w:tr>
    </w:tbl>
    <w:bookmarkEnd w:id="51"/>
    <w:p>
      <w:pPr>
        <w:pStyle w:val="BodyText"/>
      </w:pPr>
      <w:r>
        <w:rPr>
          <w:i/>
          <w:iCs/>
        </w:rPr>
        <w:t xml:space="preserve">Notes:</w:t>
      </w:r>
      <w:r>
        <w:t xml:space="preserve"> </w:t>
      </w:r>
      <w:r>
        <w:t xml:space="preserve">Firms are split into within-shock terciles of log</w:t>
      </w:r>
      <w:r>
        <w:t xml:space="preserve"> </w:t>
      </w:r>
      <w:r>
        <w:t xml:space="preserve">market cap and pooled across shocks. Dispersion</w:t>
      </w:r>
      <w:r>
        <w:t xml:space="preserve"> </w:t>
      </w:r>
      <m:oMath>
        <m:r>
          <m:rPr>
            <m:sty m:val="p"/>
          </m:rPr>
          <m:t>=</m:t>
        </m:r>
      </m:oMath>
      <w:r>
        <w:t xml:space="preserve"> </w:t>
      </w:r>
      <w:r>
        <w:t xml:space="preserve">SD of CAR</w:t>
      </w:r>
      <m:oMath>
        <m:r>
          <m:rPr>
            <m:sty m:val="p"/>
          </m:rPr>
          <m:t>[</m:t>
        </m:r>
        <m:r>
          <m:t>0</m:t>
        </m:r>
        <m:r>
          <m:rPr>
            <m:sty m:val="p"/>
          </m:rPr>
          <m:t>,</m:t>
        </m:r>
        <m:r>
          <m:rPr>
            <m:sty m:val="p"/>
          </m:rPr>
          <m:t>+</m:t>
        </m:r>
        <m:r>
          <m:t>1</m:t>
        </m:r>
        <m:r>
          <m:rPr>
            <m:sty m:val="p"/>
          </m:rPr>
          <m:t>]</m:t>
        </m:r>
      </m:oMath>
      <w:r>
        <w:t xml:space="preserve"> </w:t>
      </w:r>
      <w:r>
        <w:t xml:space="preserve">(%); Mean drift</w:t>
      </w:r>
      <w:r>
        <w:t xml:space="preserve"> </w:t>
      </w:r>
      <m:oMath>
        <m:r>
          <m:rPr>
            <m:sty m:val="p"/>
          </m:rPr>
          <m:t>=</m:t>
        </m:r>
      </m:oMath>
      <w:r>
        <w:t xml:space="preserve"> </w:t>
      </w:r>
      <w:r>
        <w:t xml:space="preserve">mean CAR</w:t>
      </w:r>
      <w:r>
        <w:t xml:space="preserve"> </w:t>
      </w:r>
      <m:oMath>
        <m:r>
          <m:rPr>
            <m:sty m:val="p"/>
          </m:rPr>
          <m:t>[</m:t>
        </m:r>
        <m:r>
          <m:rPr>
            <m:sty m:val="p"/>
          </m:rPr>
          <m:t>+</m:t>
        </m:r>
        <m:r>
          <m:t>2</m:t>
        </m:r>
        <m:r>
          <m:rPr>
            <m:sty m:val="p"/>
          </m:rPr>
          <m:t>,</m:t>
        </m:r>
        <m:r>
          <m:rPr>
            <m:sty m:val="p"/>
          </m:rPr>
          <m:t>+</m:t>
        </m:r>
        <m:r>
          <m:t>10</m:t>
        </m:r>
        <m:r>
          <m:rPr>
            <m:sty m:val="p"/>
          </m:rPr>
          <m:t>]</m:t>
        </m:r>
      </m:oMath>
      <w:r>
        <w:t xml:space="preserve"> </w:t>
      </w:r>
      <w:r>
        <w:t xml:space="preserve">(%); Reversal</w:t>
      </w:r>
      <w:r>
        <w:t xml:space="preserve"> </w:t>
      </w:r>
      <m:oMath>
        <m:r>
          <m:rPr>
            <m:sty m:val="p"/>
          </m:rPr>
          <m:t>=</m:t>
        </m:r>
      </m:oMath>
      <w:r>
        <w:t xml:space="preserve"> </w:t>
      </w:r>
      <w:r>
        <w:t xml:space="preserve">cross-firm corr(CAR</w:t>
      </w:r>
      <m:oMath>
        <m:r>
          <m:rPr>
            <m:sty m:val="p"/>
          </m:rPr>
          <m:t>[</m:t>
        </m:r>
        <m:r>
          <m:t>0</m:t>
        </m:r>
        <m:r>
          <m:rPr>
            <m:sty m:val="p"/>
          </m:rPr>
          <m:t>,</m:t>
        </m:r>
        <m:r>
          <m:rPr>
            <m:sty m:val="p"/>
          </m:rPr>
          <m:t>+</m:t>
        </m:r>
        <m:r>
          <m:t>1</m:t>
        </m:r>
        <m:r>
          <m:rPr>
            <m:sty m:val="p"/>
          </m:rPr>
          <m:t>]</m:t>
        </m:r>
      </m:oMath>
      <w:r>
        <w:t xml:space="preserve">, CAR</w:t>
      </w:r>
      <m:oMath>
        <m:r>
          <m:rPr>
            <m:sty m:val="p"/>
          </m:rPr>
          <m:t>[</m:t>
        </m:r>
        <m:r>
          <m:rPr>
            <m:sty m:val="p"/>
          </m:rPr>
          <m:t>+</m:t>
        </m:r>
        <m:r>
          <m:t>2</m:t>
        </m:r>
        <m:r>
          <m:rPr>
            <m:sty m:val="p"/>
          </m:rPr>
          <m:t>,</m:t>
        </m:r>
        <m:r>
          <m:rPr>
            <m:sty m:val="p"/>
          </m:rPr>
          <m:t>+</m:t>
        </m:r>
        <m:r>
          <m:t>10</m:t>
        </m:r>
        <m:r>
          <m:rPr>
            <m:sty m:val="p"/>
          </m:rPr>
          <m:t>]</m:t>
        </m:r>
      </m:oMath>
      <w:r>
        <w:t xml:space="preserve">).</w:t>
      </w:r>
    </w:p>
    <w:bookmarkStart w:id="52" w:name="tab:typebucket"/>
    <w:p>
      <w:pPr>
        <w:pStyle w:val="TableCaption"/>
      </w:pPr>
      <w:r>
        <w:t xml:space="preserve">Cross-shock comparison by coarse family (descriptive)</w:t>
      </w:r>
    </w:p>
    <w:tbl>
      <w:tblPr>
        <w:tblStyle w:val="Table"/>
        <w:tblW w:type="auto" w:w="0"/>
        <w:tblLook w:firstRow="1" w:lastRow="0" w:firstColumn="0" w:lastColumn="0" w:noHBand="0" w:noVBand="0" w:val="0020"/>
        <w:tblCaption w:val="Cross-shock comparison by coarse family (descriptive)"/>
      </w:tblPr>
      <w:tblGrid>
        <w:gridCol w:w="1320"/>
        <w:gridCol w:w="1320"/>
        <w:gridCol w:w="1320"/>
        <w:gridCol w:w="1320"/>
        <w:gridCol w:w="1320"/>
        <w:gridCol w:w="1320"/>
      </w:tblGrid>
      <w:tr>
        <w:trPr>
          <w:tblHeader w:val="on"/>
        </w:trPr>
        <w:tc>
          <w:tcPr/>
          <w:p>
            <w:pPr>
              <w:pStyle w:val="Compact"/>
              <w:jc w:val="left"/>
            </w:pPr>
            <w:r>
              <w:t xml:space="preserve">Shock family</w:t>
            </w:r>
          </w:p>
        </w:tc>
        <w:tc>
          <w:tcPr/>
          <w:p>
            <w:pPr>
              <w:pStyle w:val="Compact"/>
              <w:jc w:val="center"/>
            </w:pPr>
            <w:r>
              <w:t xml:space="preserve">#</w:t>
            </w:r>
          </w:p>
        </w:tc>
        <w:tc>
          <w:tcPr/>
          <w:p>
            <w:pPr>
              <w:pStyle w:val="Compact"/>
              <w:jc w:val="center"/>
            </w:pPr>
            <m:oMath>
              <m:r>
                <m:rPr>
                  <m:sty m:val="p"/>
                </m:rPr>
                <m:t>|</m:t>
              </m:r>
              <m:r>
                <m:rPr>
                  <m:nor/>
                  <m:sty m:val="p"/>
                </m:rPr>
                <m:t>Mkt</m:t>
              </m:r>
              <m:r>
                <m:rPr>
                  <m:sty m:val="p"/>
                </m:rPr>
                <m:t>|</m:t>
              </m:r>
            </m:oMath>
          </w:p>
        </w:tc>
        <w:tc>
          <w:tcPr/>
          <w:p>
            <w:pPr>
              <w:pStyle w:val="Compact"/>
              <w:jc w:val="center"/>
            </w:pPr>
            <w:r>
              <w:t xml:space="preserve">Dispersion</w:t>
            </w:r>
          </w:p>
        </w:tc>
        <w:tc>
          <w:tcPr/>
          <w:p>
            <w:pPr>
              <w:pStyle w:val="Compact"/>
              <w:jc w:val="center"/>
            </w:pPr>
            <w:r>
              <w:t xml:space="preserve">Drift</w:t>
            </w:r>
          </w:p>
        </w:tc>
        <w:tc>
          <w:tcPr/>
          <w:p>
            <w:pPr>
              <w:pStyle w:val="Compact"/>
              <w:jc w:val="center"/>
            </w:pPr>
            <w:r>
              <w:t xml:space="preserve">Reversal</w:t>
            </w:r>
          </w:p>
        </w:tc>
      </w:tr>
      <w:tr>
        <w:tc>
          <w:tcPr/>
          <w:p>
            <w:pPr>
              <w:pStyle w:val="Compact"/>
              <w:jc w:val="left"/>
            </w:pPr>
            <w:r>
              <w:t xml:space="preserve">Trade</w:t>
            </w:r>
          </w:p>
        </w:tc>
        <w:tc>
          <w:tcPr/>
          <w:p>
            <w:pPr>
              <w:pStyle w:val="Compact"/>
              <w:jc w:val="center"/>
            </w:pPr>
            <w:r>
              <w:t xml:space="preserve">2</w:t>
            </w:r>
          </w:p>
        </w:tc>
        <w:tc>
          <w:tcPr/>
          <w:p>
            <w:pPr>
              <w:pStyle w:val="Compact"/>
              <w:jc w:val="center"/>
            </w:pPr>
            <w:r>
              <w:t xml:space="preserve">8.58</w:t>
            </w:r>
          </w:p>
        </w:tc>
        <w:tc>
          <w:tcPr/>
          <w:p>
            <w:pPr>
              <w:pStyle w:val="Compact"/>
              <w:jc w:val="center"/>
            </w:pPr>
            <w:r>
              <w:t xml:space="preserve">4.65</w:t>
            </w:r>
          </w:p>
        </w:tc>
        <w:tc>
          <w:tcPr/>
          <w:p>
            <w:pPr>
              <w:pStyle w:val="Compact"/>
              <w:jc w:val="center"/>
            </w:pPr>
            <w:r>
              <w:t xml:space="preserve">+1.41</w:t>
            </w:r>
          </w:p>
        </w:tc>
        <w:tc>
          <w:tcPr/>
          <w:p>
            <w:pPr>
              <w:pStyle w:val="Compact"/>
              <w:jc w:val="center"/>
            </w:pPr>
            <w:r>
              <w:t xml:space="preserve">-0.10</w:t>
            </w:r>
          </w:p>
        </w:tc>
      </w:tr>
      <w:tr>
        <w:tc>
          <w:tcPr/>
          <w:p>
            <w:pPr>
              <w:pStyle w:val="Compact"/>
              <w:jc w:val="left"/>
            </w:pPr>
            <w:r>
              <w:t xml:space="preserve">Micro/Disclosure</w:t>
            </w:r>
          </w:p>
        </w:tc>
        <w:tc>
          <w:tcPr/>
          <w:p>
            <w:pPr>
              <w:pStyle w:val="Compact"/>
              <w:jc w:val="center"/>
            </w:pPr>
            <w:r>
              <w:t xml:space="preserve">2</w:t>
            </w:r>
          </w:p>
        </w:tc>
        <w:tc>
          <w:tcPr/>
          <w:p>
            <w:pPr>
              <w:pStyle w:val="Compact"/>
              <w:jc w:val="center"/>
            </w:pPr>
            <w:r>
              <w:t xml:space="preserve">0.61</w:t>
            </w:r>
          </w:p>
        </w:tc>
        <w:tc>
          <w:tcPr/>
          <w:p>
            <w:pPr>
              <w:pStyle w:val="Compact"/>
              <w:jc w:val="center"/>
            </w:pPr>
            <w:r>
              <w:t xml:space="preserve">4.01</w:t>
            </w:r>
          </w:p>
        </w:tc>
        <w:tc>
          <w:tcPr/>
          <w:p>
            <w:pPr>
              <w:pStyle w:val="Compact"/>
              <w:jc w:val="center"/>
            </w:pPr>
            <w:r>
              <w:t xml:space="preserve">+0.77</w:t>
            </w:r>
          </w:p>
        </w:tc>
        <w:tc>
          <w:tcPr/>
          <w:p>
            <w:pPr>
              <w:pStyle w:val="Compact"/>
              <w:jc w:val="center"/>
            </w:pPr>
            <w:r>
              <w:t xml:space="preserve">+0.02</w:t>
            </w:r>
          </w:p>
        </w:tc>
      </w:tr>
      <w:tr>
        <w:tc>
          <w:tcPr/>
          <w:p>
            <w:pPr>
              <w:pStyle w:val="Compact"/>
              <w:jc w:val="left"/>
            </w:pPr>
            <w:r>
              <w:t xml:space="preserve">Financial</w:t>
            </w:r>
          </w:p>
        </w:tc>
        <w:tc>
          <w:tcPr/>
          <w:p>
            <w:pPr>
              <w:pStyle w:val="Compact"/>
              <w:jc w:val="center"/>
            </w:pPr>
            <w:r>
              <w:t xml:space="preserve">2</w:t>
            </w:r>
          </w:p>
        </w:tc>
        <w:tc>
          <w:tcPr/>
          <w:p>
            <w:pPr>
              <w:pStyle w:val="Compact"/>
              <w:jc w:val="center"/>
            </w:pPr>
            <w:r>
              <w:t xml:space="preserve">1.86</w:t>
            </w:r>
          </w:p>
        </w:tc>
        <w:tc>
          <w:tcPr/>
          <w:p>
            <w:pPr>
              <w:pStyle w:val="Compact"/>
              <w:jc w:val="center"/>
            </w:pPr>
            <w:r>
              <w:t xml:space="preserve">3.46</w:t>
            </w:r>
          </w:p>
        </w:tc>
        <w:tc>
          <w:tcPr/>
          <w:p>
            <w:pPr>
              <w:pStyle w:val="Compact"/>
              <w:jc w:val="center"/>
            </w:pPr>
            <w:r>
              <w:t xml:space="preserve">-2.14</w:t>
            </w:r>
          </w:p>
        </w:tc>
        <w:tc>
          <w:tcPr/>
          <w:p>
            <w:pPr>
              <w:pStyle w:val="Compact"/>
              <w:jc w:val="center"/>
            </w:pPr>
            <w:r>
              <w:t xml:space="preserve">+0.16</w:t>
            </w:r>
          </w:p>
        </w:tc>
      </w:tr>
      <w:tr>
        <w:tc>
          <w:tcPr/>
          <w:p>
            <w:pPr>
              <w:pStyle w:val="Compact"/>
              <w:jc w:val="left"/>
            </w:pPr>
            <w:r>
              <w:t xml:space="preserve">Technology</w:t>
            </w:r>
          </w:p>
        </w:tc>
        <w:tc>
          <w:tcPr/>
          <w:p>
            <w:pPr>
              <w:pStyle w:val="Compact"/>
              <w:jc w:val="center"/>
            </w:pPr>
            <w:r>
              <w:t xml:space="preserve">2</w:t>
            </w:r>
          </w:p>
        </w:tc>
        <w:tc>
          <w:tcPr/>
          <w:p>
            <w:pPr>
              <w:pStyle w:val="Compact"/>
              <w:jc w:val="center"/>
            </w:pPr>
            <w:r>
              <w:t xml:space="preserve">2.05</w:t>
            </w:r>
          </w:p>
        </w:tc>
        <w:tc>
          <w:tcPr/>
          <w:p>
            <w:pPr>
              <w:pStyle w:val="Compact"/>
              <w:jc w:val="center"/>
            </w:pPr>
            <w:r>
              <w:t xml:space="preserve">3.18</w:t>
            </w:r>
          </w:p>
        </w:tc>
        <w:tc>
          <w:tcPr/>
          <w:p>
            <w:pPr>
              <w:pStyle w:val="Compact"/>
              <w:jc w:val="center"/>
            </w:pPr>
            <w:r>
              <w:t xml:space="preserve">-0.23</w:t>
            </w:r>
          </w:p>
        </w:tc>
        <w:tc>
          <w:tcPr/>
          <w:p>
            <w:pPr>
              <w:pStyle w:val="Compact"/>
              <w:jc w:val="center"/>
            </w:pPr>
            <w:r>
              <w:t xml:space="preserve">+0.05</w:t>
            </w:r>
          </w:p>
        </w:tc>
      </w:tr>
      <w:tr>
        <w:tc>
          <w:tcPr/>
          <w:p>
            <w:pPr>
              <w:pStyle w:val="Compact"/>
              <w:jc w:val="left"/>
            </w:pPr>
            <w:r>
              <w:t xml:space="preserve">Industrial/Tax</w:t>
            </w:r>
          </w:p>
        </w:tc>
        <w:tc>
          <w:tcPr/>
          <w:p>
            <w:pPr>
              <w:pStyle w:val="Compact"/>
              <w:jc w:val="center"/>
            </w:pPr>
            <w:r>
              <w:t xml:space="preserve">2</w:t>
            </w:r>
          </w:p>
        </w:tc>
        <w:tc>
          <w:tcPr/>
          <w:p>
            <w:pPr>
              <w:pStyle w:val="Compact"/>
              <w:jc w:val="center"/>
            </w:pPr>
            <w:r>
              <w:t xml:space="preserve">1.21</w:t>
            </w:r>
          </w:p>
        </w:tc>
        <w:tc>
          <w:tcPr/>
          <w:p>
            <w:pPr>
              <w:pStyle w:val="Compact"/>
              <w:jc w:val="center"/>
            </w:pPr>
            <w:r>
              <w:t xml:space="preserve">2.69</w:t>
            </w:r>
          </w:p>
        </w:tc>
        <w:tc>
          <w:tcPr/>
          <w:p>
            <w:pPr>
              <w:pStyle w:val="Compact"/>
              <w:jc w:val="center"/>
            </w:pPr>
            <w:r>
              <w:t xml:space="preserve">+0.12</w:t>
            </w:r>
          </w:p>
        </w:tc>
        <w:tc>
          <w:tcPr/>
          <w:p>
            <w:pPr>
              <w:pStyle w:val="Compact"/>
              <w:jc w:val="center"/>
            </w:pPr>
            <w:r>
              <w:t xml:space="preserve">-0.05</w:t>
            </w:r>
          </w:p>
        </w:tc>
      </w:tr>
    </w:tbl>
    <w:bookmarkEnd w:id="52"/>
    <w:p>
      <w:pPr>
        <w:pStyle w:val="BodyText"/>
      </w:pPr>
      <w:r>
        <w:rPr>
          <w:i/>
          <w:iCs/>
        </w:rPr>
        <w:t xml:space="preserve">Notes:</w:t>
      </w:r>
      <w:r>
        <w:t xml:space="preserve"> </w:t>
      </w:r>
      <w:r>
        <w:t xml:space="preserve">Shocks grouped into coarse families (two each);</w:t>
      </w:r>
      <w:r>
        <w:t xml:space="preserve"> </w:t>
      </w:r>
      <w:r>
        <w:rPr>
          <w:i/>
          <w:iCs/>
        </w:rPr>
        <w:t xml:space="preserve">descriptive only</w:t>
      </w:r>
      <w:r>
        <w:t xml:space="preserve"> </w:t>
      </w:r>
      <w:r>
        <w:t xml:space="preserve">given the tiny cells.</w:t>
      </w:r>
      <w:r>
        <w:t xml:space="preserve"> </w:t>
      </w:r>
      <m:oMath>
        <m:r>
          <m:rPr>
            <m:sty m:val="p"/>
          </m:rPr>
          <m:t>|</m:t>
        </m:r>
      </m:oMath>
      <w:r>
        <w:t xml:space="preserve">Mkt</w:t>
      </w:r>
      <m:oMath>
        <m:r>
          <m:rPr>
            <m:sty m:val="p"/>
          </m:rPr>
          <m:t>|</m:t>
        </m:r>
      </m:oMath>
      <w:r>
        <w:t xml:space="preserve"> </w:t>
      </w:r>
      <w:r>
        <w:t xml:space="preserve">is the mean absolute market move; Dispersion,</w:t>
      </w:r>
      <w:r>
        <w:t xml:space="preserve"> </w:t>
      </w:r>
      <w:r>
        <w:t xml:space="preserve">Drift, and Reversal are averaged across the family’s shocks.</w:t>
      </w:r>
    </w:p>
    <w:bookmarkStart w:id="53" w:name="tab:boot"/>
    <w:p>
      <w:pPr>
        <w:pStyle w:val="TableCaption"/>
      </w:pPr>
      <w:r>
        <w:t xml:space="preserve">Fragility of the size–differentiation correlation</w:t>
      </w:r>
    </w:p>
    <w:tbl>
      <w:tblPr>
        <w:tblStyle w:val="Table"/>
        <w:tblW w:type="auto" w:w="0"/>
        <w:tblLook w:firstRow="1" w:lastRow="0" w:firstColumn="0" w:lastColumn="0" w:noHBand="0" w:noVBand="0" w:val="0020"/>
        <w:tblCaption w:val="Fragility of the size–differentiation correlation"/>
      </w:tblPr>
      <w:tblGrid>
        <w:gridCol w:w="3960"/>
        <w:gridCol w:w="3960"/>
      </w:tblGrid>
      <w:tr>
        <w:trPr>
          <w:tblHeader w:val="on"/>
        </w:trPr>
        <w:tc>
          <w:tcPr/>
          <w:p>
            <w:pPr>
              <w:pStyle w:val="Compact"/>
              <w:jc w:val="left"/>
            </w:pPr>
            <w:r>
              <w:t xml:space="preserve">corr(</w:t>
            </w:r>
            <m:oMath>
              <m:r>
                <m:rPr>
                  <m:sty m:val="p"/>
                </m:rPr>
                <m:t>|</m:t>
              </m:r>
            </m:oMath>
            <w:r>
              <w:t xml:space="preserve">market move</w:t>
            </w:r>
            <m:oMath>
              <m:r>
                <m:rPr>
                  <m:sty m:val="p"/>
                </m:rPr>
                <m:t>|</m:t>
              </m:r>
            </m:oMath>
            <w:r>
              <w:t xml:space="preserve">, dispersion),</w:t>
            </w:r>
            <w:r>
              <w:t xml:space="preserve"> </w:t>
            </w:r>
            <m:oMath>
              <m:r>
                <m:t>n</m:t>
              </m:r>
              <m:r>
                <m:rPr>
                  <m:sty m:val="p"/>
                </m:rPr>
                <m:t>=</m:t>
              </m:r>
              <m:r>
                <m:t>10</m:t>
              </m:r>
            </m:oMath>
          </w:p>
        </w:tc>
        <w:tc>
          <w:tcPr/>
          <w:p>
            <w:pPr>
              <w:pStyle w:val="Compact"/>
              <w:jc w:val="center"/>
            </w:pPr>
            <w:r>
              <w:t xml:space="preserve">Value</w:t>
            </w:r>
          </w:p>
        </w:tc>
      </w:tr>
      <w:tr>
        <w:tc>
          <w:tcPr/>
          <w:p>
            <w:pPr>
              <w:pStyle w:val="Compact"/>
              <w:jc w:val="left"/>
            </w:pPr>
            <w:r>
              <w:t xml:space="preserve">Point estimate</w:t>
            </w:r>
          </w:p>
        </w:tc>
        <w:tc>
          <w:tcPr/>
          <w:p>
            <w:pPr>
              <w:pStyle w:val="Compact"/>
              <w:jc w:val="center"/>
            </w:pPr>
            <w:r>
              <w:t xml:space="preserve">0.686</w:t>
            </w:r>
          </w:p>
        </w:tc>
      </w:tr>
      <w:tr>
        <w:tc>
          <w:tcPr/>
          <w:p>
            <w:pPr>
              <w:pStyle w:val="Compact"/>
              <w:jc w:val="left"/>
            </w:pPr>
            <w:r>
              <w:t xml:space="preserve">Bootstrap 95% CI (5000 reps)</w:t>
            </w:r>
          </w:p>
        </w:tc>
        <w:tc>
          <w:tcPr/>
          <w:p>
            <w:pPr>
              <w:pStyle w:val="Compact"/>
              <w:jc w:val="center"/>
            </w:pPr>
            <w:r>
              <w:t xml:space="preserve">[-0.042, 0.973]</w:t>
            </w:r>
          </w:p>
        </w:tc>
      </w:tr>
      <w:tr>
        <w:tc>
          <w:tcPr/>
          <w:p>
            <w:pPr>
              <w:pStyle w:val="Compact"/>
              <w:jc w:val="left"/>
            </w:pPr>
            <w:r>
              <w:t xml:space="preserve">Leave-one-shock-out range</w:t>
            </w:r>
          </w:p>
        </w:tc>
        <w:tc>
          <w:tcPr/>
          <w:p>
            <w:pPr>
              <w:pStyle w:val="Compact"/>
              <w:jc w:val="center"/>
            </w:pPr>
            <w:r>
              <w:t xml:space="preserve">[0.261, 0.909]</w:t>
            </w:r>
          </w:p>
        </w:tc>
      </w:tr>
      <w:tr>
        <w:tc>
          <w:tcPr/>
          <w:p>
            <w:pPr>
              <w:pStyle w:val="Compact"/>
              <w:jc w:val="left"/>
            </w:pPr>
            <w:r>
              <w:t xml:space="preserve">Most influential shock (drop)</w:t>
            </w:r>
          </w:p>
        </w:tc>
        <w:tc>
          <w:tcPr/>
          <w:p>
            <w:pPr>
              <w:pStyle w:val="Compact"/>
              <w:jc w:val="center"/>
            </w:pPr>
            <w:r>
              <w:t xml:space="preserve">Reciprocal tariff shock (</w:t>
            </w:r>
            <m:oMath>
              <m:r>
                <m:t>ρ</m:t>
              </m:r>
              <m:r>
                <m:t>​</m:t>
              </m:r>
              <m:r>
                <m:rPr>
                  <m:sty m:val="p"/>
                </m:rPr>
                <m:t>→</m:t>
              </m:r>
              <m:r>
                <m:t>​</m:t>
              </m:r>
              <m:r>
                <m:t>0.261</m:t>
              </m:r>
            </m:oMath>
            <w:r>
              <w:t xml:space="preserve">)</w:t>
            </w:r>
          </w:p>
        </w:tc>
      </w:tr>
    </w:tbl>
    <w:bookmarkEnd w:id="53"/>
    <w:p>
      <w:pPr>
        <w:pStyle w:val="BodyText"/>
      </w:pPr>
      <w:r>
        <w:rPr>
          <w:i/>
          <w:iCs/>
        </w:rPr>
        <w:t xml:space="preserve">Notes:</w:t>
      </w:r>
      <w:r>
        <w:t xml:space="preserve"> </w:t>
      </w:r>
      <w:r>
        <w:t xml:space="preserve">The headline correlation between</w:t>
      </w:r>
      <w:r>
        <w:t xml:space="preserve"> </w:t>
      </w:r>
      <m:oMath>
        <m:r>
          <m:rPr>
            <m:sty m:val="p"/>
          </m:rPr>
          <m:t>|</m:t>
        </m:r>
      </m:oMath>
      <w:r>
        <w:t xml:space="preserve">market move</w:t>
      </w:r>
      <m:oMath>
        <m:r>
          <m:rPr>
            <m:sty m:val="p"/>
          </m:rPr>
          <m:t>|</m:t>
        </m:r>
      </m:oMath>
      <w:r>
        <w:t xml:space="preserve"> </w:t>
      </w:r>
      <w:r>
        <w:t xml:space="preserve">and</w:t>
      </w:r>
      <w:r>
        <w:t xml:space="preserve"> </w:t>
      </w:r>
      <w:r>
        <w:t xml:space="preserve">cross-sectional dispersion across the ten shocks, with a nonparametric bootstrap</w:t>
      </w:r>
      <w:r>
        <w:t xml:space="preserve"> </w:t>
      </w:r>
      <m:oMath>
        <m:r>
          <m:t>95</m:t>
        </m:r>
        <m:r>
          <m:rPr>
            <m:sty m:val="p"/>
          </m:rPr>
          <m:t>%</m:t>
        </m:r>
      </m:oMath>
      <w:r>
        <w:t xml:space="preserve"> </w:t>
      </w:r>
      <w:r>
        <w:t xml:space="preserve">interval and</w:t>
      </w:r>
      <w:r>
        <w:t xml:space="preserve"> </w:t>
      </w:r>
      <w:r>
        <w:t xml:space="preserve">a leave-one-shock-out (jackknife) range. Dropping the tariff shock alone collapses the correlation to</w:t>
      </w:r>
      <w:r>
        <w:t xml:space="preserve"> </w:t>
      </w:r>
      <m:oMath>
        <m:r>
          <m:t>0.26</m:t>
        </m:r>
      </m:oMath>
      <w:r>
        <w:t xml:space="preserve">. See Figure </w:t>
      </w:r>
      <w:hyperlink w:anchor="fig:bootstrap">
        <w:r>
          <w:rPr>
            <w:rStyle w:val="Hyperlink"/>
          </w:rPr>
          <w:t xml:space="preserve">4</w:t>
        </w:r>
      </w:hyperlink>
      <w:r>
        <w:t xml:space="preserve"> </w:t>
      </w:r>
      <w:r>
        <w:t xml:space="preserve">and the power analysis in Table </w:t>
      </w:r>
      <w:hyperlink w:anchor="tab:power">
        <w:r>
          <w:rPr>
            <w:rStyle w:val="Hyperlink"/>
          </w:rPr>
          <w:t xml:space="preserve">13</w:t>
        </w:r>
      </w:hyperlink>
      <w:r>
        <w:t xml:space="preserve">.</w:t>
      </w:r>
    </w:p>
    <w:bookmarkStart w:id="54" w:name="tab:power"/>
    <w:p>
      <w:pPr>
        <w:pStyle w:val="TableCaption"/>
      </w:pPr>
      <w:r>
        <w:t xml:space="preserve">Power and minimum detectable effects</w:t>
      </w:r>
    </w:p>
    <w:tbl>
      <w:tblPr>
        <w:tblStyle w:val="Table"/>
        <w:tblW w:type="auto" w:w="0"/>
        <w:tblLook w:firstRow="1" w:lastRow="0" w:firstColumn="0" w:lastColumn="0" w:noHBand="0" w:noVBand="0" w:val="0020"/>
        <w:tblCaption w:val="Power and minimum detectable effects"/>
      </w:tblPr>
      <w:tblGrid>
        <w:gridCol w:w="1584"/>
        <w:gridCol w:w="1584"/>
        <w:gridCol w:w="1584"/>
        <w:gridCol w:w="1584"/>
        <w:gridCol w:w="1584"/>
      </w:tblGrid>
      <w:tr>
        <w:trPr>
          <w:tblHeader w:val="on"/>
        </w:trPr>
        <w:tc>
          <w:tcPr/>
          <w:p>
            <w:pPr>
              <w:pStyle w:val="Compact"/>
              <w:jc w:val="left"/>
            </w:pPr>
            <w:r>
              <w:t xml:space="preserve">Shock</w:t>
            </w:r>
          </w:p>
        </w:tc>
        <w:tc>
          <w:tcPr/>
          <w:p>
            <w:pPr>
              <w:pStyle w:val="Compact"/>
              <w:jc w:val="center"/>
            </w:pPr>
            <m:oMath>
              <m:r>
                <m:t>N</m:t>
              </m:r>
            </m:oMath>
          </w:p>
        </w:tc>
        <w:tc>
          <w:tcPr/>
          <w:p>
            <w:pPr>
              <w:pStyle w:val="Compact"/>
              <w:jc w:val="center"/>
            </w:pPr>
            <w:r>
              <w:t xml:space="preserve">SD CAR[0,+1]</w:t>
            </w:r>
          </w:p>
        </w:tc>
        <w:tc>
          <w:tcPr/>
          <w:p>
            <w:pPr>
              <w:pStyle w:val="Compact"/>
              <w:jc w:val="center"/>
            </w:pPr>
            <w:r>
              <w:t xml:space="preserve">SE(mean)</w:t>
            </w:r>
          </w:p>
        </w:tc>
        <w:tc>
          <w:tcPr/>
          <w:p>
            <w:pPr>
              <w:pStyle w:val="Compact"/>
              <w:jc w:val="center"/>
            </w:pPr>
            <w:r>
              <w:t xml:space="preserve">MDE</w:t>
            </w:r>
            <m:oMath>
              <m:sSub>
                <m:e>
                  <m:r>
                    <m:t>​</m:t>
                  </m:r>
                </m:e>
                <m:sub>
                  <m:r>
                    <m:t>80</m:t>
                  </m:r>
                  <m:r>
                    <m:rPr>
                      <m:sty m:val="p"/>
                    </m:rPr>
                    <m:t>%</m:t>
                  </m:r>
                </m:sub>
              </m:sSub>
            </m:oMath>
          </w:p>
        </w:tc>
      </w:tr>
      <w:tr>
        <w:tc>
          <w:tcPr/>
          <w:p>
            <w:pPr>
              <w:pStyle w:val="Compact"/>
              <w:jc w:val="left"/>
            </w:pPr>
            <w:r>
              <w:t xml:space="preserve">CHIPS Act signed</w:t>
            </w:r>
          </w:p>
        </w:tc>
        <w:tc>
          <w:tcPr/>
          <w:p>
            <w:pPr>
              <w:pStyle w:val="Compact"/>
              <w:jc w:val="center"/>
            </w:pPr>
            <w:r>
              <w:t xml:space="preserve">1,967</w:t>
            </w:r>
          </w:p>
        </w:tc>
        <w:tc>
          <w:tcPr/>
          <w:p>
            <w:pPr>
              <w:pStyle w:val="Compact"/>
              <w:jc w:val="center"/>
            </w:pPr>
            <w:r>
              <w:t xml:space="preserve">2.90</w:t>
            </w:r>
          </w:p>
        </w:tc>
        <w:tc>
          <w:tcPr/>
          <w:p>
            <w:pPr>
              <w:pStyle w:val="Compact"/>
              <w:jc w:val="center"/>
            </w:pPr>
            <w:r>
              <w:t xml:space="preserve">0.065</w:t>
            </w:r>
          </w:p>
        </w:tc>
        <w:tc>
          <w:tcPr/>
          <w:p>
            <w:pPr>
              <w:pStyle w:val="Compact"/>
              <w:jc w:val="center"/>
            </w:pPr>
            <w:r>
              <w:t xml:space="preserve">0.183</w:t>
            </w:r>
          </w:p>
        </w:tc>
      </w:tr>
      <w:tr>
        <w:tc>
          <w:tcPr/>
          <w:p>
            <w:pPr>
              <w:pStyle w:val="Compact"/>
              <w:jc w:val="left"/>
            </w:pPr>
            <w:r>
              <w:t xml:space="preserve">ChatGPT release</w:t>
            </w:r>
          </w:p>
        </w:tc>
        <w:tc>
          <w:tcPr/>
          <w:p>
            <w:pPr>
              <w:pStyle w:val="Compact"/>
              <w:jc w:val="center"/>
            </w:pPr>
            <w:r>
              <w:t xml:space="preserve">1,969</w:t>
            </w:r>
          </w:p>
        </w:tc>
        <w:tc>
          <w:tcPr/>
          <w:p>
            <w:pPr>
              <w:pStyle w:val="Compact"/>
              <w:jc w:val="center"/>
            </w:pPr>
            <w:r>
              <w:t xml:space="preserve">3.12</w:t>
            </w:r>
          </w:p>
        </w:tc>
        <w:tc>
          <w:tcPr/>
          <w:p>
            <w:pPr>
              <w:pStyle w:val="Compact"/>
              <w:jc w:val="center"/>
            </w:pPr>
            <w:r>
              <w:t xml:space="preserve">0.070</w:t>
            </w:r>
          </w:p>
        </w:tc>
        <w:tc>
          <w:tcPr/>
          <w:p>
            <w:pPr>
              <w:pStyle w:val="Compact"/>
              <w:jc w:val="center"/>
            </w:pPr>
            <w:r>
              <w:t xml:space="preserve">0.197</w:t>
            </w:r>
          </w:p>
        </w:tc>
      </w:tr>
      <w:tr>
        <w:tc>
          <w:tcPr/>
          <w:p>
            <w:pPr>
              <w:pStyle w:val="Compact"/>
              <w:jc w:val="left"/>
            </w:pPr>
            <w:r>
              <w:t xml:space="preserve">GENIUS Act signed</w:t>
            </w:r>
          </w:p>
        </w:tc>
        <w:tc>
          <w:tcPr/>
          <w:p>
            <w:pPr>
              <w:pStyle w:val="Compact"/>
              <w:jc w:val="center"/>
            </w:pPr>
            <w:r>
              <w:t xml:space="preserve">1,895</w:t>
            </w:r>
          </w:p>
        </w:tc>
        <w:tc>
          <w:tcPr/>
          <w:p>
            <w:pPr>
              <w:pStyle w:val="Compact"/>
              <w:jc w:val="center"/>
            </w:pPr>
            <w:r>
              <w:t xml:space="preserve">2.72</w:t>
            </w:r>
          </w:p>
        </w:tc>
        <w:tc>
          <w:tcPr/>
          <w:p>
            <w:pPr>
              <w:pStyle w:val="Compact"/>
              <w:jc w:val="center"/>
            </w:pPr>
            <w:r>
              <w:t xml:space="preserve">0.062</w:t>
            </w:r>
          </w:p>
        </w:tc>
        <w:tc>
          <w:tcPr/>
          <w:p>
            <w:pPr>
              <w:pStyle w:val="Compact"/>
              <w:jc w:val="center"/>
            </w:pPr>
            <w:r>
              <w:t xml:space="preserve">0.175</w:t>
            </w:r>
          </w:p>
        </w:tc>
      </w:tr>
      <w:tr>
        <w:tc>
          <w:tcPr/>
          <w:p>
            <w:pPr>
              <w:pStyle w:val="Compact"/>
              <w:jc w:val="left"/>
            </w:pPr>
            <w:r>
              <w:t xml:space="preserve">GPT-4 release</w:t>
            </w:r>
          </w:p>
        </w:tc>
        <w:tc>
          <w:tcPr/>
          <w:p>
            <w:pPr>
              <w:pStyle w:val="Compact"/>
              <w:jc w:val="center"/>
            </w:pPr>
            <w:r>
              <w:t xml:space="preserve">1,977</w:t>
            </w:r>
          </w:p>
        </w:tc>
        <w:tc>
          <w:tcPr/>
          <w:p>
            <w:pPr>
              <w:pStyle w:val="Compact"/>
              <w:jc w:val="center"/>
            </w:pPr>
            <w:r>
              <w:t xml:space="preserve">3.23</w:t>
            </w:r>
          </w:p>
        </w:tc>
        <w:tc>
          <w:tcPr/>
          <w:p>
            <w:pPr>
              <w:pStyle w:val="Compact"/>
              <w:jc w:val="center"/>
            </w:pPr>
            <w:r>
              <w:t xml:space="preserve">0.073</w:t>
            </w:r>
          </w:p>
        </w:tc>
        <w:tc>
          <w:tcPr/>
          <w:p>
            <w:pPr>
              <w:pStyle w:val="Compact"/>
              <w:jc w:val="center"/>
            </w:pPr>
            <w:r>
              <w:t xml:space="preserve">0.204</w:t>
            </w:r>
          </w:p>
        </w:tc>
      </w:tr>
      <w:tr>
        <w:tc>
          <w:tcPr/>
          <w:p>
            <w:pPr>
              <w:pStyle w:val="Compact"/>
              <w:jc w:val="left"/>
            </w:pPr>
            <w:r>
              <w:t xml:space="preserve">IRA / buyback excise tax</w:t>
            </w:r>
          </w:p>
        </w:tc>
        <w:tc>
          <w:tcPr/>
          <w:p>
            <w:pPr>
              <w:pStyle w:val="Compact"/>
              <w:jc w:val="center"/>
            </w:pPr>
            <w:r>
              <w:t xml:space="preserve">1,968</w:t>
            </w:r>
          </w:p>
        </w:tc>
        <w:tc>
          <w:tcPr/>
          <w:p>
            <w:pPr>
              <w:pStyle w:val="Compact"/>
              <w:jc w:val="center"/>
            </w:pPr>
            <w:r>
              <w:t xml:space="preserve">2.49</w:t>
            </w:r>
          </w:p>
        </w:tc>
        <w:tc>
          <w:tcPr/>
          <w:p>
            <w:pPr>
              <w:pStyle w:val="Compact"/>
              <w:jc w:val="center"/>
            </w:pPr>
            <w:r>
              <w:t xml:space="preserve">0.056</w:t>
            </w:r>
          </w:p>
        </w:tc>
        <w:tc>
          <w:tcPr/>
          <w:p>
            <w:pPr>
              <w:pStyle w:val="Compact"/>
              <w:jc w:val="center"/>
            </w:pPr>
            <w:r>
              <w:t xml:space="preserve">0.157</w:t>
            </w:r>
          </w:p>
        </w:tc>
      </w:tr>
      <w:tr>
        <w:tc>
          <w:tcPr/>
          <w:p>
            <w:pPr>
              <w:pStyle w:val="Compact"/>
              <w:jc w:val="left"/>
            </w:pPr>
            <w:r>
              <w:t xml:space="preserve">Reciprocal tariff shock</w:t>
            </w:r>
          </w:p>
        </w:tc>
        <w:tc>
          <w:tcPr/>
          <w:p>
            <w:pPr>
              <w:pStyle w:val="Compact"/>
              <w:jc w:val="center"/>
            </w:pPr>
            <w:r>
              <w:t xml:space="preserve">1,913</w:t>
            </w:r>
          </w:p>
        </w:tc>
        <w:tc>
          <w:tcPr/>
          <w:p>
            <w:pPr>
              <w:pStyle w:val="Compact"/>
              <w:jc w:val="center"/>
            </w:pPr>
            <w:r>
              <w:t xml:space="preserve">5.84</w:t>
            </w:r>
          </w:p>
        </w:tc>
        <w:tc>
          <w:tcPr/>
          <w:p>
            <w:pPr>
              <w:pStyle w:val="Compact"/>
              <w:jc w:val="center"/>
            </w:pPr>
            <w:r>
              <w:t xml:space="preserve">0.134</w:t>
            </w:r>
          </w:p>
        </w:tc>
        <w:tc>
          <w:tcPr/>
          <w:p>
            <w:pPr>
              <w:pStyle w:val="Compact"/>
              <w:jc w:val="center"/>
            </w:pPr>
            <w:r>
              <w:t xml:space="preserve">0.374</w:t>
            </w:r>
          </w:p>
        </w:tc>
      </w:tr>
      <w:tr>
        <w:tc>
          <w:tcPr/>
          <w:p>
            <w:pPr>
              <w:pStyle w:val="Compact"/>
              <w:jc w:val="left"/>
            </w:pPr>
            <w:r>
              <w:t xml:space="preserve">Reg NMS half-cent tick</w:t>
            </w:r>
          </w:p>
        </w:tc>
        <w:tc>
          <w:tcPr/>
          <w:p>
            <w:pPr>
              <w:pStyle w:val="Compact"/>
              <w:jc w:val="center"/>
            </w:pPr>
            <w:r>
              <w:t xml:space="preserve">1,881</w:t>
            </w:r>
          </w:p>
        </w:tc>
        <w:tc>
          <w:tcPr/>
          <w:p>
            <w:pPr>
              <w:pStyle w:val="Compact"/>
              <w:jc w:val="center"/>
            </w:pPr>
            <w:r>
              <w:t xml:space="preserve">5.20</w:t>
            </w:r>
          </w:p>
        </w:tc>
        <w:tc>
          <w:tcPr/>
          <w:p>
            <w:pPr>
              <w:pStyle w:val="Compact"/>
              <w:jc w:val="center"/>
            </w:pPr>
            <w:r>
              <w:t xml:space="preserve">0.120</w:t>
            </w:r>
          </w:p>
        </w:tc>
        <w:tc>
          <w:tcPr/>
          <w:p>
            <w:pPr>
              <w:pStyle w:val="Compact"/>
              <w:jc w:val="center"/>
            </w:pPr>
            <w:r>
              <w:t xml:space="preserve">0.336</w:t>
            </w:r>
          </w:p>
        </w:tc>
      </w:tr>
      <w:tr>
        <w:tc>
          <w:tcPr/>
          <w:p>
            <w:pPr>
              <w:pStyle w:val="Compact"/>
              <w:jc w:val="left"/>
            </w:pPr>
            <w:r>
              <w:t xml:space="preserve">SEC 5-day 13D rule</w:t>
            </w:r>
          </w:p>
        </w:tc>
        <w:tc>
          <w:tcPr/>
          <w:p>
            <w:pPr>
              <w:pStyle w:val="Compact"/>
              <w:jc w:val="center"/>
            </w:pPr>
            <w:r>
              <w:t xml:space="preserve">1,957</w:t>
            </w:r>
          </w:p>
        </w:tc>
        <w:tc>
          <w:tcPr/>
          <w:p>
            <w:pPr>
              <w:pStyle w:val="Compact"/>
              <w:jc w:val="center"/>
            </w:pPr>
            <w:r>
              <w:t xml:space="preserve">2.82</w:t>
            </w:r>
          </w:p>
        </w:tc>
        <w:tc>
          <w:tcPr/>
          <w:p>
            <w:pPr>
              <w:pStyle w:val="Compact"/>
              <w:jc w:val="center"/>
            </w:pPr>
            <w:r>
              <w:t xml:space="preserve">0.064</w:t>
            </w:r>
          </w:p>
        </w:tc>
        <w:tc>
          <w:tcPr/>
          <w:p>
            <w:pPr>
              <w:pStyle w:val="Compact"/>
              <w:jc w:val="center"/>
            </w:pPr>
            <w:r>
              <w:t xml:space="preserve">0.179</w:t>
            </w:r>
          </w:p>
        </w:tc>
      </w:tr>
      <w:tr>
        <w:tc>
          <w:tcPr/>
          <w:p>
            <w:pPr>
              <w:pStyle w:val="Compact"/>
              <w:jc w:val="left"/>
            </w:pPr>
            <w:r>
              <w:t xml:space="preserve">SVB collapse</w:t>
            </w:r>
          </w:p>
        </w:tc>
        <w:tc>
          <w:tcPr/>
          <w:p>
            <w:pPr>
              <w:pStyle w:val="Compact"/>
              <w:jc w:val="center"/>
            </w:pPr>
            <w:r>
              <w:t xml:space="preserve">1,977</w:t>
            </w:r>
          </w:p>
        </w:tc>
        <w:tc>
          <w:tcPr/>
          <w:p>
            <w:pPr>
              <w:pStyle w:val="Compact"/>
              <w:jc w:val="center"/>
            </w:pPr>
            <w:r>
              <w:t xml:space="preserve">4.21</w:t>
            </w:r>
          </w:p>
        </w:tc>
        <w:tc>
          <w:tcPr/>
          <w:p>
            <w:pPr>
              <w:pStyle w:val="Compact"/>
              <w:jc w:val="center"/>
            </w:pPr>
            <w:r>
              <w:t xml:space="preserve">0.095</w:t>
            </w:r>
          </w:p>
        </w:tc>
        <w:tc>
          <w:tcPr/>
          <w:p>
            <w:pPr>
              <w:pStyle w:val="Compact"/>
              <w:jc w:val="center"/>
            </w:pPr>
            <w:r>
              <w:t xml:space="preserve">0.265</w:t>
            </w:r>
          </w:p>
        </w:tc>
      </w:tr>
      <w:tr>
        <w:tc>
          <w:tcPr/>
          <w:p>
            <w:pPr>
              <w:pStyle w:val="Compact"/>
              <w:jc w:val="left"/>
            </w:pPr>
            <w:r>
              <w:t xml:space="preserve">Tariff pause</w:t>
            </w:r>
          </w:p>
        </w:tc>
        <w:tc>
          <w:tcPr/>
          <w:p>
            <w:pPr>
              <w:pStyle w:val="Compact"/>
              <w:jc w:val="center"/>
            </w:pPr>
            <w:r>
              <w:t xml:space="preserve">1,913</w:t>
            </w:r>
          </w:p>
        </w:tc>
        <w:tc>
          <w:tcPr/>
          <w:p>
            <w:pPr>
              <w:pStyle w:val="Compact"/>
              <w:jc w:val="center"/>
            </w:pPr>
            <w:r>
              <w:t xml:space="preserve">3.47</w:t>
            </w:r>
          </w:p>
        </w:tc>
        <w:tc>
          <w:tcPr/>
          <w:p>
            <w:pPr>
              <w:pStyle w:val="Compact"/>
              <w:jc w:val="center"/>
            </w:pPr>
            <w:r>
              <w:t xml:space="preserve">0.079</w:t>
            </w:r>
          </w:p>
        </w:tc>
        <w:tc>
          <w:tcPr/>
          <w:p>
            <w:pPr>
              <w:pStyle w:val="Compact"/>
              <w:jc w:val="center"/>
            </w:pPr>
            <w:r>
              <w:t xml:space="preserve">0.222</w:t>
            </w:r>
          </w:p>
        </w:tc>
      </w:tr>
      <w:tr>
        <w:tc>
          <w:tcPr>
            <w:gridSpan w:val="5"/>
          </w:tcPr>
          <w:p>
            <w:pPr>
              <w:pStyle w:val="Compact"/>
              <w:jc w:val="left"/>
            </w:pPr>
            <w:r>
              <w:rPr>
                <w:i/>
                <w:iCs/>
              </w:rPr>
              <w:t xml:space="preserve">Cross-shock correlation (n=10):</w:t>
            </w:r>
            <w:r>
              <w:t xml:space="preserve"> </w:t>
            </w:r>
            <w:r>
              <w:t xml:space="preserve">point</w:t>
            </w:r>
            <w:r>
              <w:t xml:space="preserve"> </w:t>
            </w:r>
            <m:oMath>
              <m:r>
                <m:rPr>
                  <m:sty m:val="p"/>
                </m:rPr>
                <m:t>=</m:t>
              </m:r>
              <m:r>
                <m:t>0.69</m:t>
              </m:r>
            </m:oMath>
            <w:r>
              <w:t xml:space="preserve">; MDE at 80% power</w:t>
            </w:r>
            <w:r>
              <w:t xml:space="preserve"> </w:t>
            </w:r>
            <m:oMath>
              <m:r>
                <m:rPr>
                  <m:sty m:val="p"/>
                </m:rPr>
                <m:t>=</m:t>
              </m:r>
              <m:r>
                <m:t>0.79</m:t>
              </m:r>
            </m:oMath>
          </w:p>
        </w:tc>
      </w:tr>
    </w:tbl>
    <w:bookmarkEnd w:id="54"/>
    <w:p>
      <w:pPr>
        <w:pStyle w:val="BodyText"/>
      </w:pPr>
      <w:r>
        <w:rPr>
          <w:i/>
          <w:iCs/>
        </w:rPr>
        <w:t xml:space="preserve">Notes:</w:t>
      </w:r>
      <w:r>
        <w:t xml:space="preserve"> </w:t>
      </w:r>
      <w:r>
        <w:t xml:space="preserve">Per shock, the minimum detectable mean CAR at</w:t>
      </w:r>
      <w:r>
        <w:t xml:space="preserve"> </w:t>
      </w:r>
      <m:oMath>
        <m:r>
          <m:t>80</m:t>
        </m:r>
        <m:r>
          <m:rPr>
            <m:sty m:val="p"/>
          </m:rPr>
          <m:t>%</m:t>
        </m:r>
      </m:oMath>
      <w:r>
        <w:t xml:space="preserve"> </w:t>
      </w:r>
      <w:r>
        <w:t xml:space="preserve">power, MDE</w:t>
      </w:r>
      <w:r>
        <w:t xml:space="preserve"> </w:t>
      </w:r>
      <m:oMath>
        <m:r>
          <m:rPr>
            <m:sty m:val="p"/>
          </m:rPr>
          <m:t>=</m:t>
        </m:r>
        <m:r>
          <m:rPr>
            <m:sty m:val="p"/>
          </m:rPr>
          <m:t>(</m:t>
        </m:r>
        <m:sSub>
          <m:e>
            <m:r>
              <m:t>z</m:t>
            </m:r>
          </m:e>
          <m:sub>
            <m:r>
              <m:t>0.975</m:t>
            </m:r>
          </m:sub>
        </m:sSub>
        <m:r>
          <m:rPr>
            <m:sty m:val="p"/>
          </m:rPr>
          <m:t>+</m:t>
        </m:r>
        <m:sSub>
          <m:e>
            <m:r>
              <m:t>z</m:t>
            </m:r>
          </m:e>
          <m:sub>
            <m:r>
              <m:t>0.80</m:t>
            </m:r>
          </m:sub>
        </m:sSub>
        <m:r>
          <m:rPr>
            <m:sty m:val="p"/>
          </m:rPr>
          <m:t>)</m:t>
        </m:r>
        <m:r>
          <m:rPr>
            <m:sty m:val="p"/>
          </m:rPr>
          <m:t>×</m:t>
        </m:r>
        <m:r>
          <m:rPr>
            <m:nor/>
            <m:sty m:val="p"/>
          </m:rPr>
          <m:t>SE(mean)</m:t>
        </m:r>
        <m:r>
          <m:rPr>
            <m:sty m:val="p"/>
          </m:rPr>
          <m:t>≈</m:t>
        </m:r>
        <m:r>
          <m:t>2.80</m:t>
        </m:r>
        <m:r>
          <m:rPr>
            <m:sty m:val="p"/>
          </m:rPr>
          <m:t>×</m:t>
        </m:r>
        <m:r>
          <m:rPr>
            <m:nor/>
            <m:sty m:val="p"/>
          </m:rPr>
          <m:t>SD</m:t>
        </m:r>
        <m:r>
          <m:rPr>
            <m:sty m:val="p"/>
          </m:rPr>
          <m:t>/</m:t>
        </m:r>
        <m:rad>
          <m:radPr>
            <m:degHide m:val="on"/>
          </m:radPr>
          <m:deg/>
          <m:e>
            <m:r>
              <m:t>n</m:t>
            </m:r>
          </m:e>
        </m:rad>
      </m:oMath>
      <w:r>
        <w:t xml:space="preserve">, in</w:t>
      </w:r>
      <w:r>
        <w:t xml:space="preserve"> </w:t>
      </w:r>
      <w:r>
        <w:t xml:space="preserve">percentage points—the design is well powered at the firm level. The final row reports the</w:t>
      </w:r>
      <w:r>
        <w:t xml:space="preserve"> </w:t>
      </w:r>
      <w:r>
        <w:t xml:space="preserve">cross-shock correlation detectable at</w:t>
      </w:r>
      <w:r>
        <w:t xml:space="preserve"> </w:t>
      </w:r>
      <m:oMath>
        <m:r>
          <m:t>80</m:t>
        </m:r>
        <m:r>
          <m:rPr>
            <m:sty m:val="p"/>
          </m:rPr>
          <m:t>%</m:t>
        </m:r>
      </m:oMath>
      <w:r>
        <w:t xml:space="preserve"> </w:t>
      </w:r>
      <w:r>
        <w:t xml:space="preserve">power with</w:t>
      </w:r>
      <w:r>
        <w:t xml:space="preserve"> </w:t>
      </w:r>
      <m:oMath>
        <m:r>
          <m:t>n</m:t>
        </m:r>
        <m:r>
          <m:rPr>
            <m:sty m:val="p"/>
          </m:rPr>
          <m:t>=</m:t>
        </m:r>
        <m:r>
          <m:t>10</m:t>
        </m:r>
      </m:oMath>
      <w:r>
        <w:t xml:space="preserve"> </w:t>
      </w:r>
      <w:r>
        <w:t xml:space="preserve">(via Fisher’s</w:t>
      </w:r>
      <w:r>
        <w:t xml:space="preserve"> </w:t>
      </w:r>
      <m:oMath>
        <m:r>
          <m:t>z</m:t>
        </m:r>
      </m:oMath>
      <w:r>
        <w:t xml:space="preserve">): only correlations</w:t>
      </w:r>
      <w:r>
        <w:t xml:space="preserve"> </w:t>
      </w:r>
      <w:r>
        <w:t xml:space="preserve">above</w:t>
      </w:r>
      <w:r>
        <w:t xml:space="preserve"> </w:t>
      </w:r>
      <m:oMath>
        <m:r>
          <m:t>0.78</m:t>
        </m:r>
      </m:oMath>
      <w:r>
        <w:t xml:space="preserve"> </w:t>
      </w:r>
      <w:r>
        <w:t xml:space="preserve">are reliably detectable, so the</w:t>
      </w:r>
      <w:r>
        <w:t xml:space="preserve"> </w:t>
      </w:r>
      <m:oMath>
        <m:r>
          <m:t>0.69</m:t>
        </m:r>
      </m:oMath>
      <w:r>
        <w:t xml:space="preserve"> </w:t>
      </w:r>
      <w:r>
        <w:t xml:space="preserve">scaling correlation is underpowered.</w:t>
      </w:r>
    </w:p>
    <w:bookmarkStart w:id="58" w:name="fig:atlas"/>
    <w:p>
      <w:pPr>
        <w:pStyle w:val="CaptionedFigure"/>
      </w:pPr>
      <w:r>
        <w:drawing>
          <wp:inline>
            <wp:extent cx="4800600" cy="3159444"/>
            <wp:effectExtent b="0" l="0" r="0" t="0"/>
            <wp:docPr descr="" title="" id="56" name="Picture"/>
            <a:graphic>
              <a:graphicData uri="http://schemas.openxmlformats.org/drawingml/2006/picture">
                <pic:pic>
                  <pic:nvPicPr>
                    <pic:cNvPr descr="fig1_atlas.pdf" id="57" name="Picture"/>
                    <pic:cNvPicPr>
                      <a:picLocks noChangeArrowheads="1" noChangeAspect="1"/>
                    </pic:cNvPicPr>
                  </pic:nvPicPr>
                  <pic:blipFill>
                    <a:blip r:embed="rId55"/>
                    <a:stretch>
                      <a:fillRect/>
                    </a:stretch>
                  </pic:blipFill>
                  <pic:spPr bwMode="auto">
                    <a:xfrm>
                      <a:off x="0" y="0"/>
                      <a:ext cx="4800600" cy="3159444"/>
                    </a:xfrm>
                    <a:prstGeom prst="rect">
                      <a:avLst/>
                    </a:prstGeom>
                    <a:noFill/>
                    <a:ln w="9525">
                      <a:noFill/>
                      <a:headEnd/>
                      <a:tailEnd/>
                    </a:ln>
                  </pic:spPr>
                </pic:pic>
              </a:graphicData>
            </a:graphic>
          </wp:inline>
        </w:drawing>
      </w:r>
    </w:p>
    <w:p>
      <w:pPr>
        <w:pStyle w:val="ImageCaption"/>
      </w:pPr>
      <w:r>
        <w:t xml:space="preserve">The atlas: raw market move (red) and mean firm CAR</w:t>
      </w:r>
      <m:oMath>
        <m:r>
          <m:rPr>
            <m:sty m:val="p"/>
          </m:rPr>
          <m:t>[</m:t>
        </m:r>
        <m:r>
          <m:t>0</m:t>
        </m:r>
        <m:r>
          <m:rPr>
            <m:sty m:val="p"/>
          </m:rPr>
          <m:t>,</m:t>
        </m:r>
        <m:r>
          <m:rPr>
            <m:sty m:val="p"/>
          </m:rPr>
          <m:t>+</m:t>
        </m:r>
        <m:r>
          <m:t>1</m:t>
        </m:r>
        <m:r>
          <m:rPr>
            <m:sty m:val="p"/>
          </m:rPr>
          <m:t>]</m:t>
        </m:r>
      </m:oMath>
      <w:r>
        <w:t xml:space="preserve"> </w:t>
      </w:r>
      <m:oMath>
        <m:r>
          <m:rPr>
            <m:sty m:val="p"/>
          </m:rPr>
          <m:t>±</m:t>
        </m:r>
      </m:oMath>
      <w:r>
        <w:t xml:space="preserve"> </w:t>
      </w:r>
      <w:r>
        <w:t xml:space="preserve">cross-sectional SD (blue)</w:t>
      </w:r>
      <w:r>
        <w:t xml:space="preserve"> </w:t>
      </w:r>
      <w:r>
        <w:t xml:space="preserve">for each shock. Dispersion is largest for the tariff, the Reg-NMS tick, and SVB.</w:t>
      </w:r>
    </w:p>
    <w:bookmarkEnd w:id="58"/>
    <w:bookmarkStart w:id="62" w:name="fig:placebo"/>
    <w:p>
      <w:pPr>
        <w:pStyle w:val="CaptionedFigure"/>
      </w:pPr>
      <w:r>
        <w:drawing>
          <wp:inline>
            <wp:extent cx="4373880" cy="2609129"/>
            <wp:effectExtent b="0" l="0" r="0" t="0"/>
            <wp:docPr descr="" title="" id="60" name="Picture"/>
            <a:graphic>
              <a:graphicData uri="http://schemas.openxmlformats.org/drawingml/2006/picture">
                <pic:pic>
                  <pic:nvPicPr>
                    <pic:cNvPr descr="fig3_placebo.pdf" id="61" name="Picture"/>
                    <pic:cNvPicPr>
                      <a:picLocks noChangeArrowheads="1" noChangeAspect="1"/>
                    </pic:cNvPicPr>
                  </pic:nvPicPr>
                  <pic:blipFill>
                    <a:blip r:embed="rId59"/>
                    <a:stretch>
                      <a:fillRect/>
                    </a:stretch>
                  </pic:blipFill>
                  <pic:spPr bwMode="auto">
                    <a:xfrm>
                      <a:off x="0" y="0"/>
                      <a:ext cx="4373880" cy="2609129"/>
                    </a:xfrm>
                    <a:prstGeom prst="rect">
                      <a:avLst/>
                    </a:prstGeom>
                    <a:noFill/>
                    <a:ln w="9525">
                      <a:noFill/>
                      <a:headEnd/>
                      <a:tailEnd/>
                    </a:ln>
                  </pic:spPr>
                </pic:pic>
              </a:graphicData>
            </a:graphic>
          </wp:inline>
        </w:drawing>
      </w:r>
    </w:p>
    <w:p>
      <w:pPr>
        <w:pStyle w:val="ImageCaption"/>
      </w:pPr>
      <w:r>
        <w:t xml:space="preserve">Real event-window differentiation vs. placebo. Histogram: cross-sectional dispersion of</w:t>
      </w:r>
      <w:r>
        <w:t xml:space="preserve"> </w:t>
      </w:r>
      <w:r>
        <w:t xml:space="preserve">two-day CARs over</w:t>
      </w:r>
      <w:r>
        <w:t xml:space="preserve"> </w:t>
      </w:r>
      <m:oMath>
        <m:r>
          <m:t>600</m:t>
        </m:r>
      </m:oMath>
      <w:r>
        <w:t xml:space="preserve"> </w:t>
      </w:r>
      <w:r>
        <w:t xml:space="preserve">pseudo-event dates. The tariff shock (red) is deep in the right tail; the</w:t>
      </w:r>
      <w:r>
        <w:t xml:space="preserve"> </w:t>
      </w:r>
      <w:r>
        <w:t xml:space="preserve">procedural 13D rule (navy dashed) sits at the placebo mode. See Table </w:t>
      </w:r>
      <w:hyperlink w:anchor="tab:diff">
        <w:r>
          <w:rPr>
            <w:rStyle w:val="Hyperlink"/>
          </w:rPr>
          <w:t xml:space="preserve">4</w:t>
        </w:r>
      </w:hyperlink>
      <w:r>
        <w:t xml:space="preserve">.</w:t>
      </w:r>
    </w:p>
    <w:bookmarkEnd w:id="62"/>
    <w:bookmarkStart w:id="66" w:name="fig:forest"/>
    <w:p>
      <w:pPr>
        <w:pStyle w:val="CaptionedFigure"/>
      </w:pPr>
      <w:r>
        <w:drawing>
          <wp:inline>
            <wp:extent cx="4533900" cy="3150972"/>
            <wp:effectExtent b="0" l="0" r="0" t="0"/>
            <wp:docPr descr="" title="" id="64" name="Picture"/>
            <a:graphic>
              <a:graphicData uri="http://schemas.openxmlformats.org/drawingml/2006/picture">
                <pic:pic>
                  <pic:nvPicPr>
                    <pic:cNvPr descr="fig4_forest.pdf" id="65" name="Picture"/>
                    <pic:cNvPicPr>
                      <a:picLocks noChangeArrowheads="1" noChangeAspect="1"/>
                    </pic:cNvPicPr>
                  </pic:nvPicPr>
                  <pic:blipFill>
                    <a:blip r:embed="rId63"/>
                    <a:stretch>
                      <a:fillRect/>
                    </a:stretch>
                  </pic:blipFill>
                  <pic:spPr bwMode="auto">
                    <a:xfrm>
                      <a:off x="0" y="0"/>
                      <a:ext cx="4533900" cy="3150972"/>
                    </a:xfrm>
                    <a:prstGeom prst="rect">
                      <a:avLst/>
                    </a:prstGeom>
                    <a:noFill/>
                    <a:ln w="9525">
                      <a:noFill/>
                      <a:headEnd/>
                      <a:tailEnd/>
                    </a:ln>
                  </pic:spPr>
                </pic:pic>
              </a:graphicData>
            </a:graphic>
          </wp:inline>
        </w:drawing>
      </w:r>
    </w:p>
    <w:p>
      <w:pPr>
        <w:pStyle w:val="ImageCaption"/>
      </w:pPr>
      <w:r>
        <w:t xml:space="preserve">Forest plot of mean post-event drift CAR</w:t>
      </w:r>
      <m:oMath>
        <m:r>
          <m:rPr>
            <m:sty m:val="p"/>
          </m:rPr>
          <m:t>[</m:t>
        </m:r>
        <m:r>
          <m:rPr>
            <m:sty m:val="p"/>
          </m:rPr>
          <m:t>+</m:t>
        </m:r>
        <m:r>
          <m:t>2</m:t>
        </m:r>
        <m:r>
          <m:rPr>
            <m:sty m:val="p"/>
          </m:rPr>
          <m:t>,</m:t>
        </m:r>
        <m:r>
          <m:rPr>
            <m:sty m:val="p"/>
          </m:rPr>
          <m:t>+</m:t>
        </m:r>
        <m:r>
          <m:t>10</m:t>
        </m:r>
        <m:r>
          <m:rPr>
            <m:sty m:val="p"/>
          </m:rPr>
          <m:t>]</m:t>
        </m:r>
      </m:oMath>
      <w:r>
        <w:t xml:space="preserve"> </w:t>
      </w:r>
      <w:r>
        <w:t xml:space="preserve">across shocks, with</w:t>
      </w:r>
      <w:r>
        <w:t xml:space="preserve"> </w:t>
      </w:r>
      <m:oMath>
        <m:r>
          <m:t>95</m:t>
        </m:r>
        <m:r>
          <m:rPr>
            <m:sty m:val="p"/>
          </m:rPr>
          <m:t>%</m:t>
        </m:r>
      </m:oMath>
      <w:r>
        <w:t xml:space="preserve"> </w:t>
      </w:r>
      <w:r>
        <w:t xml:space="preserve">CIs and the</w:t>
      </w:r>
      <w:r>
        <w:t xml:space="preserve"> </w:t>
      </w:r>
      <w:r>
        <w:t xml:space="preserve">DerSimonian–Laird random-effects pooled estimate (red band). SVB is the negative-drift outlier;</w:t>
      </w:r>
      <w:r>
        <w:t xml:space="preserve"> </w:t>
      </w:r>
      <w:r>
        <w:t xml:space="preserve">between-shock heterogeneity is extreme (</w:t>
      </w:r>
      <m:oMath>
        <m:sSup>
          <m:e>
            <m:r>
              <m:t>I</m:t>
            </m:r>
          </m:e>
          <m:sup>
            <m:r>
              <m:t>2</m:t>
            </m:r>
          </m:sup>
        </m:sSup>
        <m:r>
          <m:rPr>
            <m:sty m:val="p"/>
          </m:rPr>
          <m:t>=</m:t>
        </m:r>
        <m:r>
          <m:t>99</m:t>
        </m:r>
        <m:r>
          <m:rPr>
            <m:sty m:val="p"/>
          </m:rPr>
          <m:t>%</m:t>
        </m:r>
      </m:oMath>
      <w:r>
        <w:t xml:space="preserve">).</w:t>
      </w:r>
    </w:p>
    <w:bookmarkEnd w:id="66"/>
    <w:bookmarkStart w:id="70" w:name="fig:bootstrap"/>
    <w:p>
      <w:pPr>
        <w:pStyle w:val="CaptionedFigure"/>
      </w:pPr>
      <w:r>
        <w:drawing>
          <wp:inline>
            <wp:extent cx="4373880" cy="2609129"/>
            <wp:effectExtent b="0" l="0" r="0" t="0"/>
            <wp:docPr descr="" title="" id="68" name="Picture"/>
            <a:graphic>
              <a:graphicData uri="http://schemas.openxmlformats.org/drawingml/2006/picture">
                <pic:pic>
                  <pic:nvPicPr>
                    <pic:cNvPr descr="fig5_bootstrap.pdf" id="69" name="Picture"/>
                    <pic:cNvPicPr>
                      <a:picLocks noChangeArrowheads="1" noChangeAspect="1"/>
                    </pic:cNvPicPr>
                  </pic:nvPicPr>
                  <pic:blipFill>
                    <a:blip r:embed="rId67"/>
                    <a:stretch>
                      <a:fillRect/>
                    </a:stretch>
                  </pic:blipFill>
                  <pic:spPr bwMode="auto">
                    <a:xfrm>
                      <a:off x="0" y="0"/>
                      <a:ext cx="4373880" cy="2609129"/>
                    </a:xfrm>
                    <a:prstGeom prst="rect">
                      <a:avLst/>
                    </a:prstGeom>
                    <a:noFill/>
                    <a:ln w="9525">
                      <a:noFill/>
                      <a:headEnd/>
                      <a:tailEnd/>
                    </a:ln>
                  </pic:spPr>
                </pic:pic>
              </a:graphicData>
            </a:graphic>
          </wp:inline>
        </w:drawing>
      </w:r>
    </w:p>
    <w:p>
      <w:pPr>
        <w:pStyle w:val="ImageCaption"/>
      </w:pPr>
      <w:r>
        <w:t xml:space="preserve">Bootstrap distribution of the size–differentiation correlation over the ten shocks. The</w:t>
      </w:r>
      <w:r>
        <w:t xml:space="preserve"> </w:t>
      </w:r>
      <w:r>
        <w:t xml:space="preserve">point estimate (</w:t>
      </w:r>
      <m:oMath>
        <m:r>
          <m:t>0.69</m:t>
        </m:r>
      </m:oMath>
      <w:r>
        <w:t xml:space="preserve">, red) sits inside a</w:t>
      </w:r>
      <w:r>
        <w:t xml:space="preserve"> </w:t>
      </w:r>
      <m:oMath>
        <m:r>
          <m:t>95</m:t>
        </m:r>
        <m:r>
          <m:rPr>
            <m:sty m:val="p"/>
          </m:rPr>
          <m:t>%</m:t>
        </m:r>
      </m:oMath>
      <w:r>
        <w:t xml:space="preserve"> </w:t>
      </w:r>
      <w:r>
        <w:t xml:space="preserve">interval (navy dashed) that includes zero: with</w:t>
      </w:r>
      <w:r>
        <w:t xml:space="preserve"> </w:t>
      </w:r>
      <m:oMath>
        <m:r>
          <m:t>n</m:t>
        </m:r>
        <m:r>
          <m:rPr>
            <m:sty m:val="p"/>
          </m:rPr>
          <m:t>=</m:t>
        </m:r>
        <m:r>
          <m:t>10</m:t>
        </m:r>
      </m:oMath>
      <w:r>
        <w:t xml:space="preserve"> </w:t>
      </w:r>
      <w:r>
        <w:t xml:space="preserve">the scaling claim is fragile.</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Gao (corresponding author):</w:t>
      </w:r>
      <w:r>
        <w:t xml:space="preserve"> </w:t>
      </w:r>
      <w:r>
        <w:t xml:space="preserve">Costello College of Business, George Mason University,</w:t>
      </w:r>
      <w:r>
        <w:t xml:space="preserve"> </w:t>
      </w:r>
      <w:r>
        <w:rPr>
          <w:rStyle w:val="VerbatimChar"/>
        </w:rPr>
        <w:t xml:space="preserve">lgao9@gmu.edu</w:t>
      </w:r>
      <w:r>
        <w:t xml:space="preserve">. This is a</w:t>
      </w:r>
      <w:r>
        <w:t xml:space="preserve"> </w:t>
      </w:r>
      <w:r>
        <w:t xml:space="preserve">student–faculty working paper prepared in the ASSIP 2026 Empirical Finance research group. Cohort coauthorship is provisional: each member is listed as a coauthor and authorship is confirmed upon completing that member’s own project contribution. In finance and economics, published author order is conventionally alphabetical, and all authorship here is tentative and specific to the ASSIP 2026 program at this stage.</w:t>
      </w:r>
      <w:r>
        <w:t xml:space="preserve"> </w:t>
      </w:r>
      <w:r>
        <w:t xml:space="preserve">The ASSIP 2026 Cohort comprises Michael Philipov, Michael Yucheng Zhou, Aiden Shanyu Chen,</w:t>
      </w:r>
      <w:r>
        <w:t xml:space="preserve"> </w:t>
      </w:r>
      <w:r>
        <w:t xml:space="preserve">Christopher Abhi Dadoo, Deniz Yaveroglu, Mateo Eduardo Stine, Rakshana Damodaran, Lasya</w:t>
      </w:r>
      <w:r>
        <w:t xml:space="preserve"> </w:t>
      </w:r>
      <w:r>
        <w:t xml:space="preserve">Yellamagari, Nam Bao Ngo, Aaron Lu Zhang, Alexander Li Tang, Kushal Borra, Dildora</w:t>
      </w:r>
      <w:r>
        <w:t xml:space="preserve"> </w:t>
      </w:r>
      <w:r>
        <w:t xml:space="preserve">Joŕabekova, and Andy Pham; each of the ten dated shocks is</w:t>
      </w:r>
      <w:r>
        <w:t xml:space="preserve"> </w:t>
      </w:r>
      <w:r>
        <w:t xml:space="preserve">“owned”</w:t>
      </w:r>
      <w:r>
        <w:t xml:space="preserve"> </w:t>
      </w:r>
      <w:r>
        <w:t xml:space="preserve">by the student whose</w:t>
      </w:r>
      <w:r>
        <w:t xml:space="preserve"> </w:t>
      </w:r>
      <w:r>
        <w:t xml:space="preserve">individual paper studies it (see STUDENT_TASKS). All data are from WRDS (CRSP daily returns,</w:t>
      </w:r>
      <w:r>
        <w:t xml:space="preserve"> </w:t>
      </w:r>
      <w:r>
        <w:t xml:space="preserve">including</w:t>
      </w:r>
      <w:r>
        <w:t xml:space="preserve"> </w:t>
      </w:r>
      <w:r>
        <w:rPr>
          <w:rStyle w:val="VerbatimChar"/>
        </w:rPr>
        <w:t xml:space="preserve">dsf_v2</w:t>
      </w:r>
      <w:r>
        <w:t xml:space="preserve"> </w:t>
      </w:r>
      <w:r>
        <w:t xml:space="preserve">for 2025, and Fama-French factors) and shared Compustat firm</w:t>
      </w:r>
      <w:r>
        <w:t xml:space="preserve"> </w:t>
      </w:r>
      <w:r>
        <w:t xml:space="preserve">characteristics; every number in the paper traces to a CSV in</w:t>
      </w:r>
      <w:r>
        <w:t xml:space="preserve"> </w:t>
      </w:r>
      <w:r>
        <w:rPr>
          <w:rStyle w:val="VerbatimChar"/>
        </w:rPr>
        <w:t xml:space="preserve">output/tables/</w:t>
      </w:r>
      <w:r>
        <w:t xml:space="preserve"> </w:t>
      </w:r>
      <w:r>
        <w:t xml:space="preserve">and is</w:t>
      </w:r>
      <w:r>
        <w:t xml:space="preserve"> </w:t>
      </w:r>
      <w:r>
        <w:t xml:space="preserve">reproduced by the code in</w:t>
      </w:r>
      <w:r>
        <w:t xml:space="preserve"> </w:t>
      </w:r>
      <w:r>
        <w:rPr>
          <w:rStyle w:val="VerbatimChar"/>
        </w:rPr>
        <w:t xml:space="preserve">code/</w:t>
      </w:r>
      <w:r>
        <w:t xml:space="preserve">. Any errors are our own.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df" /><Relationship Type="http://schemas.openxmlformats.org/officeDocument/2006/relationships/image" Id="rId59" Target="media/rId59.pdf" /><Relationship Type="http://schemas.openxmlformats.org/officeDocument/2006/relationships/image" Id="rId63" Target="media/rId63.pdf" /><Relationship Type="http://schemas.openxmlformats.org/officeDocument/2006/relationships/image" Id="rId67" Target="media/rId67.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All Policy Shocks Are Alike: A Cohort Event-Study Atlas of the 2022–2025 U.S. Shock Wave</dc:title>
  <dc:creator>Lei Gao; The ASSIP 2026 Cohort</dc:creator>
  <cp:keywords/>
  <dcterms:created xsi:type="dcterms:W3CDTF">2026-07-25T07:11:26Z</dcterms:created>
  <dcterms:modified xsi:type="dcterms:W3CDTF">2026-07-25T07:11:26Z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years 2022–2025 delivered an unusually dense sequence of dated U.S. policy and technology shocks—from the CHIPS Act and ChatGPT to Silicon Valley Bank, the 2025 reciprocal tariffs, and the Reg-NMS half-cent tick. We assemble them into a single, uniformly measured event-study atlas across about 2,000 large firms and ask how the shocks differ along three axes: how much the market moves, how much it differentiates firms, and how it propagates. Three findings survive formal testing. First, cross-sectional differentiation is real: for the tariff shock, the Reg-NMS tick, and the SVB collapse, the event-window dispersion of firm CARs exceeds a placebo distribution of pseudo-event dispersions (ratios 1.5–1.9, empirical p&lt;0.05), and shock rankings by dispersion are stable across windows and dispersion measures (Spearman 0.72–0.83). Second, this differentiation is overwhelmingly idiosyncratic: market beta explains at most 14\% of the cross-sectional CAR variance and usually far less, so the dispersion is firm-specific repricing—exactly what a firm-level exposure measure should capture. A pooled firm\timesshock regression on observable traits (size, beta, idiosyncratic volatility) explains 21\% of |\text{CAR}|; the rest is the space reserved for the cohort’s hand-collected exposure test. Third, we are honest about what the small cross-section of shocks cannot support: the widely quoted claim that differentiation “scales with shock size” rests on a correlation of 0.69 whose bootstrap 95\% interval is [-0.04,0.97] and which falls to 0.26 when the tariff shock is dropped—with n=10 shocks the design can only reliably detect correlations above 0.78, so we report this as suggestive, not established. Propagation is heterogeneous (I^2=99\% across shocks; SVB the negative-drift outlier), but a high-powered pooled test detects modest post-event continuation (within-shock, firm-clustered top-minus-bottom announcement-quintile drift +0.73\%, t=4.0). The atlas is a reusable scaffold; its completion is each student’s exposure measure. JEL: G14, G18, E44. Keywords: event study, market efficiency, policy shocks, cross-sectional dispersion, randomization inference, meta-analysis.</vt:lpwstr>
  </property>
  <property fmtid="{D5CDD505-2E9C-101B-9397-08002B2CF9AE}" pid="3" name="date">
    <vt:lpwstr>July 2026</vt:lpwstr>
  </property>
</Properties>
</file>