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df" ContentType="application/pdf"/>
  <Override PartName="/word/media/rId42.pdf" ContentType="application/pdf"/>
  <Override PartName="/word/media/rId50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Priced In? Stock-Market Reactions to</w:t>
      </w:r>
      <w:r>
        <w:br/>
      </w:r>
      <w:r>
        <w:rPr>
          <w:b/>
          <w:bCs/>
        </w:rPr>
        <w:t xml:space="preserve">CHIPS Act Award Announcements</w:t>
      </w:r>
    </w:p>
    <w:p>
      <w:pPr>
        <w:pStyle w:val="Author"/>
      </w:pPr>
      <w:r>
        <w:t xml:space="preserve">Alexander Li Tang</w:t>
      </w:r>
      <w:r>
        <w:rPr>
          <w:rStyle w:val="FootnoteReference"/>
        </w:rPr>
        <w:footnoteReference w:id="9"/>
      </w:r>
    </w:p>
    <w:p>
      <w:pPr>
        <w:pStyle w:val="Author"/>
      </w:pPr>
      <w:r>
        <w:t xml:space="preserve">Lei Gao</w:t>
      </w:r>
      <w:r>
        <w:rPr>
          <w:rStyle w:val="FootnoteReference"/>
        </w:rPr>
        <w:footnoteReference w:id="10"/>
      </w:r>
    </w:p>
    <w:p>
      <w:pPr>
        <w:pStyle w:val="Date"/>
      </w:pPr>
      <w:r>
        <w:t xml:space="preserve">July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The 2022 CHIPS and Science Act directed tens of billions of dollars in</w:t>
      </w:r>
      <w:r>
        <w:t xml:space="preserve"> </w:t>
      </w:r>
      <w:r>
        <w:t xml:space="preserve">manufacturing subsidies to semiconductor firms, disbursed through a sequence of</w:t>
      </w:r>
      <w:r>
        <w:t xml:space="preserve"> </w:t>
      </w:r>
      <w:r>
        <w:t xml:space="preserve">company-specific award announcements in 2024. We ask whether these announcements moved the</w:t>
      </w:r>
      <w:r>
        <w:t xml:space="preserve"> </w:t>
      </w:r>
      <w:r>
        <w:t xml:space="preserve">awardees’ stock prices, and whether the reaction scaled with award size. Using a</w:t>
      </w:r>
      <w:r>
        <w:t xml:space="preserve"> </w:t>
      </w:r>
      <w:r>
        <w:t xml:space="preserve">market-model event study on 15 publicly-traded U.S. awardees, we find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statistically significant average abnormal return around the first (</w:t>
      </w:r>
      <w:r>
        <w:t xml:space="preserve">“preliminary terms”</w:t>
      </w:r>
      <w:r>
        <w:t xml:space="preserve">)</w:t>
      </w:r>
      <w:r>
        <w:t xml:space="preserve"> </w:t>
      </w:r>
      <w:r>
        <w:t xml:space="preserve">announcement: the mean cumulative abnormal return over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+</m:t>
        </m:r>
        <m:r>
          <m:t>2.6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0.99</m:t>
        </m:r>
      </m:oMath>
      <w:r>
        <w:t xml:space="preserve">),</w:t>
      </w:r>
      <w:r>
        <w:t xml:space="preserve"> </w:t>
      </w:r>
      <w:r>
        <w:t xml:space="preserve">the median is</w:t>
      </w:r>
      <w:r>
        <w:t xml:space="preserve"> </w:t>
      </w:r>
      <m:oMath>
        <m:r>
          <m:rPr>
            <m:sty m:val="p"/>
          </m:rPr>
          <m:t>+</m:t>
        </m:r>
        <m:r>
          <m:t>0.5</m:t>
        </m:r>
        <m:r>
          <m:rPr>
            <m:sty m:val="p"/>
          </m:rPr>
          <m:t>%</m:t>
        </m:r>
      </m:oMath>
      <w:r>
        <w:t xml:space="preserve">, only 8 of 15 reactions are positive, and a pre-event placebo window</w:t>
      </w:r>
      <w:r>
        <w:t xml:space="preserve"> </w:t>
      </w:r>
      <w:r>
        <w:t xml:space="preserve">is if anything negative. The null is invariant to the abnormal-return model (market model,</w:t>
      </w:r>
      <w:r>
        <w:t xml:space="preserve"> </w:t>
      </w:r>
      <w:r>
        <w:t xml:space="preserve">market-adjusted, mean-adjusted) and to a battery of standardized and nonparametric test</w:t>
      </w:r>
      <w:r>
        <w:t xml:space="preserve"> </w:t>
      </w:r>
      <w:r>
        <w:t xml:space="preserve">statistics (Patell, Boehmer–Musumeci–Poulsen, generalized sign). A naive cross-sectional</w:t>
      </w:r>
      <w:r>
        <w:t xml:space="preserve"> </w:t>
      </w:r>
      <w:r>
        <w:t xml:space="preserve">regression suggests the announcement return rises steeply with the award’s size relative to</w:t>
      </w:r>
      <w:r>
        <w:t xml:space="preserve"> </w:t>
      </w:r>
      <w:r>
        <w:t xml:space="preserve">firm market capitalization (OLS slope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32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0.80</m:t>
        </m:r>
      </m:oMath>
      <w:r>
        <w:t xml:space="preserve">), but this is entirely an artifact of</w:t>
      </w:r>
      <w:r>
        <w:t xml:space="preserve"> </w:t>
      </w:r>
      <w:r>
        <w:t xml:space="preserve">a single distressed micro-cap, Wolfspeed, whose $750M award equalled 52% of its market value:</w:t>
      </w:r>
      <w:r>
        <w:t xml:space="preserve"> </w:t>
      </w:r>
      <w:r>
        <w:t xml:space="preserve">dropping it collapses the slope to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0.04</m:t>
        </m:r>
      </m:oMath>
      <w:r>
        <w:t xml:space="preserve">), and the outlier-robust Spearman rank</w:t>
      </w:r>
      <w:r>
        <w:t xml:space="preserve"> </w:t>
      </w:r>
      <w:r>
        <w:t xml:space="preserve">correlation is only</w:t>
      </w:r>
      <w:r>
        <w:t xml:space="preserve"> </w:t>
      </w:r>
      <m:oMath>
        <m:r>
          <m:t>0.37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0.18</m:t>
        </m:r>
      </m:oMath>
      <w:r>
        <w:t xml:space="preserve">). Two additions push past the usual</w:t>
      </w:r>
      <w:r>
        <w:t xml:space="preserve"> </w:t>
      </w:r>
      <w:r>
        <w:t xml:space="preserve">“we found nothing”</w:t>
      </w:r>
      <w:r>
        <w:t xml:space="preserve"> </w:t>
      </w:r>
      <w:r>
        <w:t xml:space="preserve">event study. First,</w:t>
      </w:r>
      <w:r>
        <w:t xml:space="preserve"> </w:t>
      </w:r>
      <w:r>
        <w:rPr>
          <w:i/>
          <w:iCs/>
        </w:rPr>
        <w:t xml:space="preserve">randomization inference</w:t>
      </w:r>
      <w:r>
        <w:t xml:space="preserve">—2</w:t>
      </w:r>
      <w:r>
        <w:t xml:space="preserve">,</w:t>
      </w:r>
      <w:r>
        <w:t xml:space="preserve">000 placebo event dates and 2</w:t>
      </w:r>
      <w:r>
        <w:t xml:space="preserve">,</w:t>
      </w:r>
      <w:r>
        <w:t xml:space="preserve">000</w:t>
      </w:r>
      <w:r>
        <w:t xml:space="preserve"> </w:t>
      </w:r>
      <w:r>
        <w:t xml:space="preserve">permutations of the award-size vector—confirms both halves of the story from a design-based</w:t>
      </w:r>
      <w:r>
        <w:t xml:space="preserve"> </w:t>
      </w:r>
      <w:r>
        <w:t xml:space="preserve">standpoint: the mean CAR sits comfortably inside the placebo distribution (design-based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0.14</m:t>
        </m:r>
      </m:oMath>
      <w:r>
        <w:t xml:space="preserve">), and the only statistic that flags the</w:t>
      </w:r>
      <w:r>
        <w:t xml:space="preserve"> </w:t>
      </w:r>
      <w:r>
        <w:t xml:space="preserve">“scaling”</w:t>
      </w:r>
      <w:r>
        <w:t xml:space="preserve"> </w:t>
      </w:r>
      <w:r>
        <w:t xml:space="preserve">effect is the non-robust OLS slope,</w:t>
      </w:r>
      <w:r>
        <w:t xml:space="preserve"> </w:t>
      </w:r>
      <w:r>
        <w:t xml:space="preserve">which inherits the single Wolfspeed alignment (</w:t>
      </w:r>
      <m:oMath>
        <m:r>
          <m:t>p</m:t>
        </m:r>
        <m:r>
          <m:rPr>
            <m:sty m:val="p"/>
          </m:rPr>
          <m:t>=</m:t>
        </m:r>
        <m:r>
          <m:t>0.02</m:t>
        </m:r>
      </m:oMath>
      <w:r>
        <w:t xml:space="preserve">) while the outlier-robust rank</w:t>
      </w:r>
      <w:r>
        <w:t xml:space="preserve"> </w:t>
      </w:r>
      <w:r>
        <w:t xml:space="preserve">permutation cannot reject the null (</w:t>
      </w:r>
      <m:oMath>
        <m:r>
          <m:t>p</m:t>
        </m:r>
        <m:r>
          <m:rPr>
            <m:sty m:val="p"/>
          </m:rPr>
          <m:t>=</m:t>
        </m:r>
        <m:r>
          <m:t>0.18</m:t>
        </m:r>
      </m:oMath>
      <w:r>
        <w:t xml:space="preserve">). Second, a</w:t>
      </w:r>
      <w:r>
        <w:t xml:space="preserve"> </w:t>
      </w:r>
      <w:r>
        <w:rPr>
          <w:i/>
          <w:iCs/>
        </w:rPr>
        <w:t xml:space="preserve">minimum-detectable-effect</w:t>
      </w:r>
      <w:r>
        <w:t xml:space="preserve"> </w:t>
      </w:r>
      <w:r>
        <w:t xml:space="preserve">analysis makes the small-sample limitation precise: a full-windfall benchmark implies an average</w:t>
      </w:r>
      <w:r>
        <w:t xml:space="preserve"> </w:t>
      </w:r>
      <w:r>
        <w:t xml:space="preserve">reaction equal to the mean award-to-market-cap ratio (</w:t>
      </w:r>
      <m:oMath>
        <m:r>
          <m:t>5.9</m:t>
        </m:r>
        <m:r>
          <m:rPr>
            <m:sty m:val="p"/>
          </m:rPr>
          <m:t>%</m:t>
        </m:r>
      </m:oMath>
      <w:r>
        <w:t xml:space="preserve"> </w:t>
      </w:r>
      <w:r>
        <w:t xml:space="preserve">across all firms,</w:t>
      </w:r>
      <w:r>
        <w:t xml:space="preserve"> </w:t>
      </w:r>
      <m:oMath>
        <m:r>
          <m:t>2.6</m:t>
        </m:r>
        <m:r>
          <m:rPr>
            <m:sty m:val="p"/>
          </m:rPr>
          <m:t>%</m:t>
        </m:r>
      </m:oMath>
      <w:r>
        <w:t xml:space="preserve"> </w:t>
      </w:r>
      <w:r>
        <w:t xml:space="preserve">excluding</w:t>
      </w:r>
      <w:r>
        <w:t xml:space="preserve"> </w:t>
      </w:r>
      <w:r>
        <w:t xml:space="preserve">Wolfspeed), and both lie below our 80%-power MDE of</w:t>
      </w:r>
      <w:r>
        <w:t xml:space="preserve"> </w:t>
      </w:r>
      <m:oMath>
        <m:r>
          <m:t>7.5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3.7</m:t>
        </m:r>
        <m:r>
          <m:rPr>
            <m:sty m:val="p"/>
          </m:rPr>
          <m:t>%</m:t>
        </m:r>
      </m:oMath>
      <w:r>
        <w:t xml:space="preserve"> </w:t>
      </w:r>
      <w:r>
        <w:t xml:space="preserve">excluding Wolfspeed), so we</w:t>
      </w:r>
      <w:r>
        <w:t xml:space="preserve"> </w:t>
      </w:r>
      <w:r>
        <w:t xml:space="preserve">do not claim to reject a windfall average on power alone. The evidence for</w:t>
      </w:r>
      <w:r>
        <w:t xml:space="preserve"> </w:t>
      </w:r>
      <w:r>
        <w:t xml:space="preserve">“priced in”</w:t>
      </w:r>
      <w:r>
        <w:t xml:space="preserve"> </w:t>
      </w:r>
      <w:r>
        <w:t xml:space="preserve">is instead</w:t>
      </w:r>
      <w:r>
        <w:t xml:space="preserve"> </w:t>
      </w:r>
      <w:r>
        <w:t xml:space="preserve">the configuration of the point estimates—excluding the single distressed leverage point the mean</w:t>
      </w:r>
      <w:r>
        <w:t xml:space="preserve"> </w:t>
      </w:r>
      <w:r>
        <w:t xml:space="preserve">reaction is</w:t>
      </w:r>
      <w:r>
        <w:t xml:space="preserve"> </w:t>
      </w:r>
      <m:oMath>
        <m:r>
          <m:t>0.3</m:t>
        </m:r>
        <m:r>
          <m:rPr>
            <m:sty m:val="p"/>
          </m:rPr>
          <m:t>%</m:t>
        </m:r>
      </m:oMath>
      <w:r>
        <w:t xml:space="preserve">, and no firm but Wolfspeed shows the one-for-one pass-through a windfall</w:t>
      </w:r>
      <w:r>
        <w:t xml:space="preserve"> </w:t>
      </w:r>
      <w:r>
        <w:t xml:space="preserve">requires. We conclude that CHIPS awards were, on the evidence, largely anticipated and priced in,</w:t>
      </w:r>
      <w:r>
        <w:t xml:space="preserve"> </w:t>
      </w:r>
      <w:r>
        <w:t xml:space="preserve">and that a cost-share grant tied to mandatory private co-investment need not be a windfall for</w:t>
      </w:r>
      <w:r>
        <w:t xml:space="preserve"> </w:t>
      </w:r>
      <w:r>
        <w:t xml:space="preserve">equity holders—while being explicit that 15 events cannot decisively exclude a modest windfall.</w:t>
      </w:r>
      <w:r>
        <w:br/>
      </w:r>
      <w:r>
        <w:rPr>
          <w:b/>
          <w:bCs/>
        </w:rPr>
        <w:t xml:space="preserve">JEL:</w:t>
      </w:r>
      <w:r>
        <w:t xml:space="preserve"> </w:t>
      </w:r>
      <w:r>
        <w:t xml:space="preserve">G14, G12, G38, H81, L52, O25.</w:t>
      </w:r>
      <w:r>
        <w:t xml:space="preserve"> </w:t>
      </w:r>
      <w:r>
        <w:rPr>
          <w:b/>
          <w:bCs/>
        </w:rPr>
        <w:t xml:space="preserve">Keywords:</w:t>
      </w:r>
      <w:r>
        <w:t xml:space="preserve"> </w:t>
      </w:r>
      <w:r>
        <w:t xml:space="preserve">event study, CHIPS Act, industrial policy, government subsidies,</w:t>
      </w:r>
      <w:r>
        <w:t xml:space="preserve"> </w:t>
      </w:r>
      <w:r>
        <w:t xml:space="preserve">semiconductors, market efficiency, anticipation, randomization inference, statistical power.</w:t>
      </w:r>
    </w:p>
    <w:bookmarkStart w:id="11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Between January and December 2024 the U.S. Department of Commerce announced a rapid</w:t>
      </w:r>
      <w:r>
        <w:t xml:space="preserve"> </w:t>
      </w:r>
      <w:r>
        <w:t xml:space="preserve">sequence of subsidy awards under the 2022 CHIPS and Science Act—non-binding</w:t>
      </w:r>
      <w:r>
        <w:t xml:space="preserve"> </w:t>
      </w:r>
      <w:r>
        <w:t xml:space="preserve">“preliminary memoranda of terms”</w:t>
      </w:r>
      <w:r>
        <w:t xml:space="preserve"> </w:t>
      </w:r>
      <w:r>
        <w:t xml:space="preserve">(PMTs) committing federal grants (and, for the largest</w:t>
      </w:r>
      <w:r>
        <w:t xml:space="preserve"> </w:t>
      </w:r>
      <w:r>
        <w:t xml:space="preserve">projects, loans) to specific semiconductor manufacturers. The headline numbers were large:</w:t>
      </w:r>
      <w:r>
        <w:t xml:space="preserve"> </w:t>
      </w:r>
      <w:r>
        <w:t xml:space="preserve">$8.5 billion to Intel, $6.6 billion to TSMC’s Arizona subsidiary, $6.1 billion to</w:t>
      </w:r>
      <w:r>
        <w:t xml:space="preserve"> </w:t>
      </w:r>
      <w:r>
        <w:t xml:space="preserve">Micron, $1.5 billion to GlobalFoundries, and dozens of smaller awards. A natural question</w:t>
      </w:r>
      <w:r>
        <w:t xml:space="preserve"> </w:t>
      </w:r>
      <w:r>
        <w:t xml:space="preserve">for a financial economist is whether these announcements were</w:t>
      </w:r>
      <w:r>
        <w:t xml:space="preserve"> </w:t>
      </w:r>
      <w:r>
        <w:rPr>
          <w:i/>
          <w:iCs/>
        </w:rPr>
        <w:t xml:space="preserve">news</w:t>
      </w:r>
      <w:r>
        <w:t xml:space="preserve"> </w:t>
      </w:r>
      <w:r>
        <w:t xml:space="preserve">to equity</w:t>
      </w:r>
      <w:r>
        <w:t xml:space="preserve"> </w:t>
      </w:r>
      <w:r>
        <w:t xml:space="preserve">investors. If capital markets are efficient and the awards were anticipated—the CHIPS</w:t>
      </w:r>
      <w:r>
        <w:t xml:space="preserve"> </w:t>
      </w:r>
      <w:r>
        <w:t xml:space="preserve">program had been law since August 2022, and companies had publicly staged their U.S. fab plans for years—then the announcement-day abnormal return should be small. If instead</w:t>
      </w:r>
      <w:r>
        <w:t xml:space="preserve"> </w:t>
      </w:r>
      <w:r>
        <w:t xml:space="preserve">the awards resolved genuine uncertainty about which firms would receive how much, and how</w:t>
      </w:r>
      <w:r>
        <w:t xml:space="preserve"> </w:t>
      </w:r>
      <w:r>
        <w:t xml:space="preserve">value-accretive the subsidies were net of the required private co-investment, then stock</w:t>
      </w:r>
      <w:r>
        <w:t xml:space="preserve"> </w:t>
      </w:r>
      <w:r>
        <w:t xml:space="preserve">prices should jump, and by more for firms where the award is large relative to firm value.</w:t>
      </w:r>
    </w:p>
    <w:p>
      <w:pPr>
        <w:pStyle w:val="BodyText"/>
      </w:pPr>
      <w:r>
        <w:t xml:space="preserve">This paper runs that test. We hand-collect, from Commerce and NIST CHIPS Program Office</w:t>
      </w:r>
      <w:r>
        <w:t xml:space="preserve"> </w:t>
      </w:r>
      <w:r>
        <w:t xml:space="preserve">press releases, the first-announcement date and dollar amount of every CHIPS award to a</w:t>
      </w:r>
      <w:r>
        <w:t xml:space="preserve"> </w:t>
      </w:r>
      <w:r>
        <w:t xml:space="preserve">firm with a listed U.S. equity, and we estimate market-model cumulative abnormal returns</w:t>
      </w:r>
      <w:r>
        <w:t xml:space="preserve"> </w:t>
      </w:r>
      <w:r>
        <w:t xml:space="preserve">(CARs) around each award’s PMT date using CRSP daily data. We then ask, in the</w:t>
      </w:r>
      <w:r>
        <w:t xml:space="preserve"> </w:t>
      </w:r>
      <w:r>
        <w:t xml:space="preserve">cross-section, whether the announcement return scales with award size—both in absolute</w:t>
      </w:r>
      <w:r>
        <w:t xml:space="preserve"> </w:t>
      </w:r>
      <w:r>
        <w:t xml:space="preserve">terms ($ millions) and relative to the firm’s market capitalization. Because each awardee</w:t>
      </w:r>
      <w:r>
        <w:t xml:space="preserve"> </w:t>
      </w:r>
      <w:r>
        <w:t xml:space="preserve">has its own event date, the design is a multi-event study in which the right-hand-side</w:t>
      </w:r>
      <w:r>
        <w:t xml:space="preserve"> </w:t>
      </w:r>
      <w:r>
        <w:t xml:space="preserve">variable of the cross-sectional test (award size) is set by the government rather than by the</w:t>
      </w:r>
      <w:r>
        <w:t xml:space="preserve"> </w:t>
      </w:r>
      <w:r>
        <w:t xml:space="preserve">stock, so the horse race between market efficiency and a priced-in transfer is unusually</w:t>
      </w:r>
      <w:r>
        <w:t xml:space="preserve"> </w:t>
      </w:r>
      <w:r>
        <w:t xml:space="preserve">clean; what it lacks, with only 15 events, is statistical power, which we confront directly</w:t>
      </w:r>
      <w:r>
        <w:t xml:space="preserve"> </w:t>
      </w:r>
      <w:r>
        <w:t xml:space="preserve">rather than paper over.</w:t>
      </w:r>
    </w:p>
    <w:p>
      <w:pPr>
        <w:pStyle w:val="BodyText"/>
      </w:pPr>
      <w:r>
        <w:t xml:space="preserve">Our findings are, we think, a clean and instructive null. First,</w:t>
      </w:r>
      <w:r>
        <w:t xml:space="preserve"> </w:t>
      </w:r>
      <w:r>
        <w:rPr>
          <w:i/>
          <w:iCs/>
        </w:rPr>
        <w:t xml:space="preserve">on average, CHIPS</w:t>
      </w:r>
      <w:r>
        <w:rPr>
          <w:i/>
          <w:iCs/>
        </w:rPr>
        <w:t xml:space="preserve"> </w:t>
      </w:r>
      <w:r>
        <w:rPr>
          <w:i/>
          <w:iCs/>
        </w:rPr>
        <w:t xml:space="preserve">award announcements did not move awardee stocks.</w:t>
      </w:r>
      <w:r>
        <w:t xml:space="preserve"> </w:t>
      </w:r>
      <w:r>
        <w:t xml:space="preserve">The mean CAR over the three-day window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+</m:t>
        </m:r>
        <m:r>
          <m:t>2.6</m:t>
        </m:r>
        <m:r>
          <m:rPr>
            <m:sty m:val="p"/>
          </m:rPr>
          <m:t>%</m:t>
        </m:r>
      </m:oMath>
      <w:r>
        <w:t xml:space="preserve"> </w:t>
      </w:r>
      <w:r>
        <w:t xml:space="preserve">with a</w:t>
      </w:r>
      <w:r>
        <w:t xml:space="preserve"> </w:t>
      </w:r>
      <m:oMath>
        <m:r>
          <m:t>t</m:t>
        </m:r>
      </m:oMath>
      <w:r>
        <w:t xml:space="preserve">-statistic of</w:t>
      </w:r>
      <w:r>
        <w:t xml:space="preserve"> </w:t>
      </w:r>
      <m:oMath>
        <m:r>
          <m:t>0.99</m:t>
        </m:r>
      </m:oMath>
      <w:r>
        <w:t xml:space="preserve">; the median is</w:t>
      </w:r>
      <w:r>
        <w:t xml:space="preserve"> </w:t>
      </w:r>
      <m:oMath>
        <m:r>
          <m:rPr>
            <m:sty m:val="p"/>
          </m:rPr>
          <m:t>+</m:t>
        </m:r>
        <m:r>
          <m:t>0.5</m:t>
        </m:r>
        <m:r>
          <m:rPr>
            <m:sty m:val="p"/>
          </m:rPr>
          <m:t>%</m:t>
        </m:r>
      </m:oMath>
      <w:r>
        <w:t xml:space="preserve">; only 8 of 15</w:t>
      </w:r>
      <w:r>
        <w:t xml:space="preserve"> </w:t>
      </w:r>
      <w:r>
        <w:t xml:space="preserve">awardees had a positive reaction (a sign test cannot reject a coin flip); and the result is</w:t>
      </w:r>
      <w:r>
        <w:t xml:space="preserve"> </w:t>
      </w:r>
      <w:r>
        <w:t xml:space="preserve">statistically indistinguishable from zero in every window we examine</w:t>
      </w:r>
      <w:r>
        <w:t xml:space="preserve"> </w:t>
      </w:r>
      <w:r>
        <w:t xml:space="preserve">(Table </w:t>
      </w:r>
      <w:hyperlink w:anchor="tab:cars">
        <w:r>
          <w:rPr>
            <w:rStyle w:val="Hyperlink"/>
          </w:rPr>
          <w:t xml:space="preserve">2</w:t>
        </w:r>
      </w:hyperlink>
      <w:r>
        <w:t xml:space="preserve">). A pre-announcement placebo window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, so the</w:t>
      </w:r>
      <w:r>
        <w:t xml:space="preserve"> </w:t>
      </w:r>
      <w:r>
        <w:t xml:space="preserve">event window is not obviously contaminated by a run-up. The null is not an artifact of a</w:t>
      </w:r>
      <w:r>
        <w:t xml:space="preserve"> </w:t>
      </w:r>
      <w:r>
        <w:t xml:space="preserve">particular benchmark or test: it survives the market-adjusted and mean-adjusted models, two</w:t>
      </w:r>
      <w:r>
        <w:t xml:space="preserve"> </w:t>
      </w:r>
      <w:r>
        <w:t xml:space="preserve">alternative estimation windows, and the standardized Patell and Boehmer–Musumeci–Poulsen</w:t>
      </w:r>
      <w:r>
        <w:t xml:space="preserve"> </w:t>
      </w:r>
      <w:r>
        <w:t xml:space="preserve">(BMP) tests as well as the nonparametric generalized-sign test (Table </w:t>
      </w:r>
      <w:hyperlink w:anchor="tab:altmodels">
        <w:r>
          <w:rPr>
            <w:rStyle w:val="Hyperlink"/>
          </w:rPr>
          <w:t xml:space="preserve">7</w:t>
        </w:r>
      </w:hyperlink>
      <w:r>
        <w:t xml:space="preserve">).</w:t>
      </w:r>
      <w:r>
        <w:t xml:space="preserve"> </w:t>
      </w:r>
      <w:r>
        <w:t xml:space="preserve">This is the pattern one expects when awards are anticipated and priced in well before the</w:t>
      </w:r>
      <w:r>
        <w:t xml:space="preserve"> </w:t>
      </w:r>
      <w:r>
        <w:t xml:space="preserve">government’s formal announcement.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i/>
          <w:iCs/>
        </w:rPr>
        <w:t xml:space="preserve">the apparent</w:t>
      </w:r>
      <w:r>
        <w:rPr>
          <w:i/>
          <w:iCs/>
        </w:rPr>
        <w:t xml:space="preserve"> </w:t>
      </w:r>
      <w:r>
        <w:rPr>
          <w:i/>
          <w:iCs/>
        </w:rPr>
        <w:t xml:space="preserve">“scaling with size”</w:t>
      </w:r>
      <w:r>
        <w:rPr>
          <w:i/>
          <w:iCs/>
        </w:rPr>
        <w:t xml:space="preserve"> </w:t>
      </w:r>
      <w:r>
        <w:rPr>
          <w:i/>
          <w:iCs/>
        </w:rPr>
        <w:t xml:space="preserve">relationship is a single-observation</w:t>
      </w:r>
      <w:r>
        <w:rPr>
          <w:i/>
          <w:iCs/>
        </w:rPr>
        <w:t xml:space="preserve"> </w:t>
      </w:r>
      <w:r>
        <w:rPr>
          <w:i/>
          <w:iCs/>
        </w:rPr>
        <w:t xml:space="preserve">artifact.</w:t>
      </w:r>
      <w:r>
        <w:t xml:space="preserve"> </w:t>
      </w:r>
      <w:r>
        <w:t xml:space="preserve">A cross-sectional OLS of CAR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on the award-to-market-cap ratio produces</w:t>
      </w:r>
      <w:r>
        <w:t xml:space="preserve"> </w:t>
      </w:r>
      <w:r>
        <w:t xml:space="preserve">a spectacular-looking slope (</w:t>
      </w:r>
      <m:oMath>
        <m:r>
          <m:t>t</m:t>
        </m:r>
        <m:r>
          <m:rPr>
            <m:sty m:val="p"/>
          </m:rPr>
          <m:t>=</m:t>
        </m:r>
        <m:r>
          <m:t>32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0.80</m:t>
        </m:r>
      </m:oMath>
      <w:r>
        <w:t xml:space="preserve">; Table </w:t>
      </w:r>
      <w:hyperlink w:anchor="tab:crosssec">
        <w:r>
          <w:rPr>
            <w:rStyle w:val="Hyperlink"/>
          </w:rPr>
          <w:t xml:space="preserve">3</w:t>
        </w:r>
      </w:hyperlink>
      <w:r>
        <w:t xml:space="preserve">, column 2). But</w:t>
      </w:r>
      <w:r>
        <w:t xml:space="preserve"> </w:t>
      </w:r>
      <w:r>
        <w:t xml:space="preserve">the fit is driven entirely by one point: Wolfspeed, a financially distressed</w:t>
      </w:r>
      <w:r>
        <w:t xml:space="preserve"> </w:t>
      </w:r>
      <w:r>
        <w:t xml:space="preserve">silicon-carbide maker whose $750M award equalled 52% of its $1.4B market</w:t>
      </w:r>
      <w:r>
        <w:t xml:space="preserve"> </w:t>
      </w:r>
      <w:r>
        <w:t xml:space="preserve">capitalization and whose stock rose 36% around the announcement. Dropping Wolfspeed</w:t>
      </w:r>
      <w:r>
        <w:t xml:space="preserve"> </w:t>
      </w:r>
      <w:r>
        <w:t xml:space="preserve">collapses the slope from</w:t>
      </w:r>
      <w:r>
        <w:t xml:space="preserve"> </w:t>
      </w:r>
      <m:oMath>
        <m:r>
          <m:t>0.0071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0.0046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-statistic from 32 to</w:t>
      </w:r>
      <w:r>
        <w:t xml:space="preserve"> </w:t>
      </w:r>
      <w:r>
        <w:rPr>
          <w:i/>
          <w:iCs/>
        </w:rPr>
        <w:t xml:space="preserve">one</w:t>
      </w:r>
      <w:r>
        <w:t xml:space="preserve">,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falling from 0.80 to 0.04 (column 4). The outlier-robust Spearman</w:t>
      </w:r>
      <w:r>
        <w:t xml:space="preserve"> </w:t>
      </w:r>
      <w:r>
        <w:t xml:space="preserve">rank correlation between CAR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award-to-market-cap ratio is only</w:t>
      </w:r>
      <w:r>
        <w:t xml:space="preserve"> </w:t>
      </w:r>
      <m:oMath>
        <m:r>
          <m:t>0.37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0.18</m:t>
        </m:r>
      </m:oMath>
      <w:r>
        <w:t xml:space="preserve">) across all 15 firms and</w:t>
      </w:r>
      <w:r>
        <w:t xml:space="preserve"> </w:t>
      </w:r>
      <m:oMath>
        <m:r>
          <m:t>0.22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0.45</m:t>
        </m:r>
      </m:oMath>
      <w:r>
        <w:t xml:space="preserve">) once Wolfspeed is removed</w:t>
      </w:r>
      <w:r>
        <w:t xml:space="preserve"> </w:t>
      </w:r>
      <w:r>
        <w:t xml:space="preserve">(Table </w:t>
      </w:r>
      <w:hyperlink w:anchor="tab:robust">
        <w:r>
          <w:rPr>
            <w:rStyle w:val="Hyperlink"/>
          </w:rPr>
          <w:t xml:space="preserve">4</w:t>
        </w:r>
      </w:hyperlink>
      <w:r>
        <w:t xml:space="preserve">). Absolute award size—ln(award $)—is unrelated to the reaction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0.22</m:t>
        </m:r>
      </m:oMath>
      <w:r>
        <w:t xml:space="preserve">), because the largest awards went to the largest firms, for whom even a</w:t>
      </w:r>
      <w:r>
        <w:t xml:space="preserve"> </w:t>
      </w:r>
      <w:r>
        <w:t xml:space="preserve">multi-billion-dollar subsidy is a few percent of market value. We therefore find</w:t>
      </w:r>
      <w:r>
        <w:t xml:space="preserve"> </w:t>
      </w:r>
      <w:r>
        <w:rPr>
          <w:i/>
          <w:iCs/>
        </w:rPr>
        <w:t xml:space="preserve">no</w:t>
      </w:r>
      <w:r>
        <w:rPr>
          <w:i/>
          <w:iCs/>
        </w:rPr>
        <w:t xml:space="preserve"> </w:t>
      </w:r>
      <w:r>
        <w:rPr>
          <w:i/>
          <w:iCs/>
        </w:rPr>
        <w:t xml:space="preserve">robust evidence</w:t>
      </w:r>
      <w:r>
        <w:t xml:space="preserve"> </w:t>
      </w:r>
      <w:r>
        <w:t xml:space="preserve">that announcement returns scale with award size.</w:t>
      </w:r>
    </w:p>
    <w:p>
      <w:pPr>
        <w:pStyle w:val="BodyText"/>
      </w:pPr>
      <w:r>
        <w:t xml:space="preserve">We then do two things a paper that simply reports a coefficient near zero and stops would</w:t>
      </w:r>
      <w:r>
        <w:t xml:space="preserve"> </w:t>
      </w:r>
      <w:r>
        <w:t xml:space="preserve">not. First, we subject both hypotheses to</w:t>
      </w:r>
      <w:r>
        <w:t xml:space="preserve"> </w:t>
      </w:r>
      <w:r>
        <w:rPr>
          <w:i/>
          <w:iCs/>
        </w:rPr>
        <w:t xml:space="preserve">design-based (randomization) inference</w:t>
      </w:r>
      <w:r>
        <w:t xml:space="preserve">, which</w:t>
      </w:r>
      <w:r>
        <w:t xml:space="preserve"> </w:t>
      </w:r>
      <w:r>
        <w:t xml:space="preserve">does not lean on the small-sample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asymptotics that a 15-firm cross-section strains</w:t>
      </w:r>
      <w:r>
        <w:t xml:space="preserve"> </w:t>
      </w:r>
      <w:r>
        <w:t xml:space="preserve">(Section </w:t>
      </w:r>
      <w:hyperlink w:anchor="sec:randinf">
        <w:r>
          <w:rPr>
            <w:rStyle w:val="Hyperlink"/>
          </w:rPr>
          <w:t xml:space="preserve">8</w:t>
        </w:r>
      </w:hyperlink>
      <w:r>
        <w:t xml:space="preserve">, Table </w:t>
      </w:r>
      <w:hyperlink w:anchor="tab:randinf">
        <w:r>
          <w:rPr>
            <w:rStyle w:val="Hyperlink"/>
          </w:rPr>
          <w:t xml:space="preserve">8</w:t>
        </w:r>
      </w:hyperlink>
      <w:r>
        <w:t xml:space="preserve">, Figure </w:t>
      </w:r>
      <w:hyperlink w:anchor="fig:randinf">
        <w:r>
          <w:rPr>
            <w:rStyle w:val="Hyperlink"/>
          </w:rPr>
          <w:t xml:space="preserve">3</w:t>
        </w:r>
      </w:hyperlink>
      <w:r>
        <w:t xml:space="preserve">). We reassign</w:t>
      </w:r>
      <w:r>
        <w:t xml:space="preserve"> </w:t>
      </w:r>
      <w:r>
        <w:t xml:space="preserve">each firm 2</w:t>
      </w:r>
      <w:r>
        <w:t xml:space="preserve">,</w:t>
      </w:r>
      <w:r>
        <w:t xml:space="preserve">000 placebo event dates—drawn so that the full estimation and event windows</w:t>
      </w:r>
      <w:r>
        <w:t xml:space="preserve"> </w:t>
      </w:r>
      <w:r>
        <w:t xml:space="preserve">still fit the CRSP calendar and avoid the true event—and rebuild the mean CAR each time; the</w:t>
      </w:r>
      <w:r>
        <w:t xml:space="preserve"> </w:t>
      </w:r>
      <w:r>
        <w:t xml:space="preserve">actual</w:t>
      </w:r>
      <w:r>
        <w:t xml:space="preserve"> </w:t>
      </w:r>
      <m:oMath>
        <m:r>
          <m:rPr>
            <m:sty m:val="p"/>
          </m:rPr>
          <m:t>+</m:t>
        </m:r>
        <m:r>
          <m:t>2.6</m:t>
        </m:r>
        <m:r>
          <m:rPr>
            <m:sty m:val="p"/>
          </m:rPr>
          <m:t>%</m:t>
        </m:r>
      </m:oMath>
      <w:r>
        <w:t xml:space="preserve"> </w:t>
      </w:r>
      <w:r>
        <w:t xml:space="preserve">sits comfortably inside the placebo distribution (design-based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0.14</m:t>
        </m:r>
      </m:oMath>
      <w:r>
        <w:t xml:space="preserve">), so the</w:t>
      </w:r>
      <w:r>
        <w:t xml:space="preserve"> </w:t>
      </w:r>
      <w:r>
        <w:t xml:space="preserve">average-effect null is not an artifact of the parametric test. We also permute the award-size</w:t>
      </w:r>
      <w:r>
        <w:t xml:space="preserve"> </w:t>
      </w:r>
      <w:r>
        <w:t xml:space="preserve">vector 2</w:t>
      </w:r>
      <w:r>
        <w:t xml:space="preserve">,</w:t>
      </w:r>
      <w:r>
        <w:t xml:space="preserve">000 times while holding the CARs fixed. The result is itself a lesson in why we</w:t>
      </w:r>
      <w:r>
        <w:t xml:space="preserve"> </w:t>
      </w:r>
      <w:r>
        <w:t xml:space="preserve">distrust the naive regression: the only statistic that registers</w:t>
      </w:r>
      <w:r>
        <w:t xml:space="preserve"> </w:t>
      </w:r>
      <w:r>
        <w:t xml:space="preserve">“scaling”</w:t>
      </w:r>
      <w:r>
        <w:t xml:space="preserve"> </w:t>
      </w:r>
      <w:r>
        <w:t xml:space="preserve">is the OLS slope,</w:t>
      </w:r>
      <w:r>
        <w:t xml:space="preserve"> </w:t>
      </w:r>
      <w:r>
        <w:t xml:space="preserve">which by construction is inflated by the single Wolfspeed alignment and so returns a marginal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</m:t>
        </m:r>
      </m:oMath>
      <w:r>
        <w:t xml:space="preserve">, whereas the appropriate outlier-robust statistic—the rank permutation—cannot reject</w:t>
      </w:r>
      <w:r>
        <w:t xml:space="preserve"> </w:t>
      </w:r>
      <w:r>
        <w:t xml:space="preserve">the null (</w:t>
      </w:r>
      <m:oMath>
        <m:r>
          <m:t>p</m:t>
        </m:r>
        <m:r>
          <m:rPr>
            <m:sty m:val="p"/>
          </m:rPr>
          <m:t>=</m:t>
        </m:r>
        <m:r>
          <m:t>0.18</m:t>
        </m:r>
      </m:oMath>
      <w:r>
        <w:t xml:space="preserve">). A design-based test applied to a non-robust statistic inherits the very</w:t>
      </w:r>
      <w:r>
        <w:t xml:space="preserve"> </w:t>
      </w:r>
      <w:r>
        <w:t xml:space="preserve">leverage problem it was meant to guard against; the rank-based version is the honest one.</w:t>
      </w:r>
    </w:p>
    <w:p>
      <w:pPr>
        <w:pStyle w:val="BodyText"/>
      </w:pPr>
      <w:r>
        <w:t xml:space="preserve">Second, we ask what our null can and cannot rule out</w:t>
      </w:r>
      <w:r>
        <w:t xml:space="preserve"> </w:t>
      </w:r>
      <w:r>
        <w:t xml:space="preserve">(Section </w:t>
      </w:r>
      <w:hyperlink w:anchor="sec:power">
        <w:r>
          <w:rPr>
            <w:rStyle w:val="Hyperlink"/>
          </w:rPr>
          <w:t xml:space="preserve">9</w:t>
        </w:r>
      </w:hyperlink>
      <w:r>
        <w:t xml:space="preserve">, Table </w:t>
      </w:r>
      <w:hyperlink w:anchor="tab:power">
        <w:r>
          <w:rPr>
            <w:rStyle w:val="Hyperlink"/>
          </w:rPr>
          <w:t xml:space="preserve">9</w:t>
        </w:r>
      </w:hyperlink>
      <w:r>
        <w:t xml:space="preserve">). A minimum-detectable-effect (MDE) calculation</w:t>
      </w:r>
      <w:r>
        <w:t xml:space="preserve"> </w:t>
      </w:r>
      <w:r>
        <w:t xml:space="preserve">shows that at 80% power our design could have detected a three-day announcement reaction of</w:t>
      </w:r>
      <w:r>
        <w:t xml:space="preserve"> </w:t>
      </w:r>
      <w:r>
        <w:t xml:space="preserve">about</w:t>
      </w:r>
      <w:r>
        <w:t xml:space="preserve"> </w:t>
      </w:r>
      <m:oMath>
        <m:r>
          <m:t>7.5</m:t>
        </m:r>
        <m:r>
          <m:rPr>
            <m:sty m:val="p"/>
          </m:rPr>
          <m:t>%</m:t>
        </m:r>
      </m:oMath>
      <w:r>
        <w:t xml:space="preserve">—and, once Wolfspeed’s return variance is excluded,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. This is an honest</w:t>
      </w:r>
      <w:r>
        <w:t xml:space="preserve"> </w:t>
      </w:r>
      <w:r>
        <w:t xml:space="preserve">limitation, not a triumph: a CHIPS award treated as a pure equity windfall would capitalize the</w:t>
      </w:r>
      <w:r>
        <w:t xml:space="preserve"> </w:t>
      </w:r>
      <w:r>
        <w:t xml:space="preserve">grant into firm value one-for-one, implying an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reaction equal to the mean</w:t>
      </w:r>
      <w:r>
        <w:t xml:space="preserve"> </w:t>
      </w:r>
      <w:r>
        <w:t xml:space="preserve">award-to-market-cap ratio of</w:t>
      </w:r>
      <w:r>
        <w:t xml:space="preserve"> </w:t>
      </w:r>
      <m:oMath>
        <m:r>
          <m:t>5.9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2.6</m:t>
        </m:r>
        <m:r>
          <m:rPr>
            <m:sty m:val="p"/>
          </m:rPr>
          <m:t>%</m:t>
        </m:r>
      </m:oMath>
      <w:r>
        <w:t xml:space="preserve"> </w:t>
      </w:r>
      <w:r>
        <w:t xml:space="preserve">excluding Wolfspeed)—both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our MDE, so</w:t>
      </w:r>
      <w:r>
        <w:t xml:space="preserve"> </w:t>
      </w:r>
      <w:r>
        <w:t xml:space="preserve">the mean test is underpowered to reject a full-windfall average on statistical power alone. What</w:t>
      </w:r>
      <w:r>
        <w:t xml:space="preserve"> </w:t>
      </w:r>
      <w:r>
        <w:t xml:space="preserve">the data do support is a pattern in the point estimates: excluding the single distressed leverage</w:t>
      </w:r>
      <w:r>
        <w:t xml:space="preserve"> </w:t>
      </w:r>
      <w:r>
        <w:t xml:space="preserve">point the mean reaction is</w:t>
      </w:r>
      <w:r>
        <w:t xml:space="preserve"> </w:t>
      </w:r>
      <m:oMath>
        <m:r>
          <m:t>0.3</m:t>
        </m:r>
        <m:r>
          <m:rPr>
            <m:sty m:val="p"/>
          </m:rPr>
          <m:t>%</m:t>
        </m:r>
      </m:oMath>
      <w:r>
        <w:t xml:space="preserve">, far from the</w:t>
      </w:r>
      <w:r>
        <w:t xml:space="preserve"> </w:t>
      </w:r>
      <m:oMath>
        <m:r>
          <m:t>2.6</m:t>
        </m:r>
        <m:r>
          <m:rPr>
            <m:sty m:val="p"/>
          </m:rPr>
          <m:t>%</m:t>
        </m:r>
      </m:oMath>
      <w:r>
        <w:t xml:space="preserve"> </w:t>
      </w:r>
      <w:r>
        <w:t xml:space="preserve">a windfall implies, and no firm but</w:t>
      </w:r>
      <w:r>
        <w:t xml:space="preserve"> </w:t>
      </w:r>
      <w:r>
        <w:t xml:space="preserve">Wolfspeed shows anything near the one-for-one pass-through of award size that a windfall requires.</w:t>
      </w:r>
      <w:r>
        <w:t xml:space="preserve"> </w:t>
      </w:r>
      <w:r>
        <w:t xml:space="preserve">The</w:t>
      </w:r>
      <w:r>
        <w:t xml:space="preserve"> </w:t>
      </w:r>
      <w:r>
        <w:t xml:space="preserve">“priced in”</w:t>
      </w:r>
      <w:r>
        <w:t xml:space="preserve"> </w:t>
      </w:r>
      <w:r>
        <w:t xml:space="preserve">reading rests on that configuration, and we state plainly that 15 events cannot</w:t>
      </w:r>
      <w:r>
        <w:t xml:space="preserve"> </w:t>
      </w:r>
      <w:r>
        <w:t xml:space="preserve">decisively exclude a modest windfall.</w:t>
      </w:r>
    </w:p>
    <w:p>
      <w:pPr>
        <w:pStyle w:val="BodyText"/>
      </w:pPr>
      <w:r>
        <w:t xml:space="preserve">Two economic forces plausibly explain the null. Anticipation is the first: the CHIPS</w:t>
      </w:r>
      <w:r>
        <w:t xml:space="preserve"> </w:t>
      </w:r>
      <w:r>
        <w:t xml:space="preserve">program’s beneficiaries and rough allocations were widely reported before the formal PMTs,</w:t>
      </w:r>
      <w:r>
        <w:t xml:space="preserve"> </w:t>
      </w:r>
      <w:r>
        <w:t xml:space="preserve">so the announcements carried little surprise. The second is that a CHIPS grant is not a pure</w:t>
      </w:r>
      <w:r>
        <w:t xml:space="preserve"> </w:t>
      </w:r>
      <w:r>
        <w:t xml:space="preserve">windfall—it is a cost-share that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large private capital expenditure and is</w:t>
      </w:r>
      <w:r>
        <w:t xml:space="preserve"> </w:t>
      </w:r>
      <w:r>
        <w:t xml:space="preserve">tied to build-out and workforce conditions, so the net present value to equity holders of</w:t>
      </w:r>
      <w:r>
        <w:t xml:space="preserve"> </w:t>
      </w:r>
      <w:r>
        <w:t xml:space="preserve">“winning”</w:t>
      </w:r>
      <w:r>
        <w:t xml:space="preserve"> </w:t>
      </w:r>
      <w:r>
        <w:t xml:space="preserve">can be close to zero even for a multi-billion-dollar headline. Both forces push</w:t>
      </w:r>
      <w:r>
        <w:t xml:space="preserve"> </w:t>
      </w:r>
      <w:r>
        <w:t xml:space="preserve">announcement returns toward zero, and both are consistent with what we observe. Separating</w:t>
      </w:r>
      <w:r>
        <w:t xml:space="preserve"> </w:t>
      </w:r>
      <w:r>
        <w:t xml:space="preserve">them—and, in particular, quantifying the required private co-investment behind each</w:t>
      </w:r>
      <w:r>
        <w:t xml:space="preserve"> </w:t>
      </w:r>
      <w:r>
        <w:t xml:space="preserve">award—is reserved for the companion hand-collection task and is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attempted with the observable data used here.</w:t>
      </w:r>
    </w:p>
    <w:p>
      <w:pPr>
        <w:pStyle w:val="BodyText"/>
      </w:pPr>
      <w:r>
        <w:t xml:space="preserve">We make four contributions. First, we provide a clean, transparent event-study application to</w:t>
      </w:r>
      <w:r>
        <w:t xml:space="preserve"> </w:t>
      </w:r>
      <w:r>
        <w:t xml:space="preserve">a salient recent industrial-policy episode, and an object lesson in how a single leverage point</w:t>
      </w:r>
      <w:r>
        <w:t xml:space="preserve"> </w:t>
      </w:r>
      <w:r>
        <w:t xml:space="preserve">can manufacture apparent significance—which is why we lean on nonparametric rank tests</w:t>
      </w:r>
      <w:r>
        <w:t xml:space="preserve"> </w:t>
      </w:r>
      <w:r>
        <w:t xml:space="preserve"> </w:t>
      </w:r>
      <w:r>
        <w:t xml:space="preserve">and drop-one robustness. Second, relative to the literature on the</w:t>
      </w:r>
      <w:r>
        <w:t xml:space="preserve"> </w:t>
      </w:r>
      <w:r>
        <w:t xml:space="preserve">market value of government policy and political connections</w:t>
      </w:r>
      <w:r>
        <w:t xml:space="preserve"> </w:t>
      </w:r>
      <w:r>
        <w:t xml:space="preserve">, we add the CHIPS Act as a case in</w:t>
      </w:r>
      <w:r>
        <w:t xml:space="preserve"> </w:t>
      </w:r>
      <w:r>
        <w:t xml:space="preserve">which large, targeted federal transfers were substantially</w:t>
      </w:r>
      <w:r>
        <w:t xml:space="preserve"> </w:t>
      </w:r>
      <w:r>
        <w:rPr>
          <w:i/>
          <w:iCs/>
        </w:rPr>
        <w:t xml:space="preserve">priced in</w:t>
      </w:r>
      <w:r>
        <w:t xml:space="preserve"> </w:t>
      </w:r>
      <w:r>
        <w:t xml:space="preserve">before their formal</w:t>
      </w:r>
      <w:r>
        <w:t xml:space="preserve"> </w:t>
      </w:r>
      <w:r>
        <w:t xml:space="preserve">announcement. Third, relative to the revived economics of industrial policy</w:t>
      </w:r>
      <w:r>
        <w:t xml:space="preserve"> </w:t>
      </w:r>
      <w:r>
        <w:t xml:space="preserve">, we show that the stock market’s ex-ante assessment</w:t>
      </w:r>
      <w:r>
        <w:t xml:space="preserve"> </w:t>
      </w:r>
      <w:r>
        <w:t xml:space="preserve">of the CHIPS subsidies’ incremental value to recipients was, on average, muted. Fourth, we treat</w:t>
      </w:r>
      <w:r>
        <w:t xml:space="preserve"> </w:t>
      </w:r>
      <w:r>
        <w:t xml:space="preserve">a small-sample null as a quantitative object: we buttress it with design-based inference</w:t>
      </w:r>
      <w:r>
        <w:t xml:space="preserve"> </w:t>
      </w:r>
      <w:r>
        <w:t xml:space="preserve"> </w:t>
      </w:r>
      <w:r>
        <w:t xml:space="preserve">and report its minimum detectable effect</w:t>
      </w:r>
      <w:r>
        <w:t xml:space="preserve"> </w:t>
      </w:r>
      <w:r>
        <w:t xml:space="preserve">, so readers can see</w:t>
      </w:r>
      <w:r>
        <w:t xml:space="preserve"> </w:t>
      </w:r>
      <w:r>
        <w:t xml:space="preserve">what a 15-event study can and cannot rule out. Section </w:t>
      </w:r>
      <w:hyperlink w:anchor="sec:bg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gives institutional background</w:t>
      </w:r>
      <w:r>
        <w:t xml:space="preserve"> </w:t>
      </w:r>
      <w:r>
        <w:t xml:space="preserve">and hypotheses; Section </w:t>
      </w:r>
      <w:hyperlink w:anchor="sec:li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places the paper in the literature; Section </w:t>
      </w:r>
      <w:hyperlink w:anchor="sec:data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describes the data, variables, and design-based tools; Section </w:t>
      </w:r>
      <w:hyperlink w:anchor="sec:re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presents the main</w:t>
      </w:r>
      <w:r>
        <w:t xml:space="preserve"> </w:t>
      </w:r>
      <w:r>
        <w:t xml:space="preserve">results; Section </w:t>
      </w:r>
      <w:hyperlink w:anchor="sec:het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examines observable heterogeneity; Section </w:t>
      </w:r>
      <w:hyperlink w:anchor="sec:robust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reports</w:t>
      </w:r>
      <w:r>
        <w:t xml:space="preserve"> </w:t>
      </w:r>
      <w:r>
        <w:t xml:space="preserve">robustness to model and test choice; Section </w:t>
      </w:r>
      <w:hyperlink w:anchor="sec:randinf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the randomization inference;</w:t>
      </w:r>
      <w:r>
        <w:t xml:space="preserve"> </w:t>
      </w:r>
      <w:r>
        <w:t xml:space="preserve">Section </w:t>
      </w:r>
      <w:hyperlink w:anchor="sec:power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the power analysis; and Section </w:t>
      </w:r>
      <w:hyperlink w:anchor="sec:concl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concludes.</w:t>
      </w:r>
    </w:p>
    <w:bookmarkEnd w:id="11"/>
    <w:bookmarkStart w:id="15" w:name="sec:bg"/>
    <w:p>
      <w:pPr>
        <w:pStyle w:val="Heading1"/>
      </w:pPr>
      <w:r>
        <w:t xml:space="preserve">Institutional Background and Hypotheses</w:t>
      </w:r>
    </w:p>
    <w:bookmarkStart w:id="12" w:name="the-program."/>
    <w:p>
      <w:pPr>
        <w:pStyle w:val="Heading4"/>
      </w:pPr>
      <w:r>
        <w:t xml:space="preserve">The program.</w:t>
      </w:r>
    </w:p>
    <w:p>
      <w:pPr>
        <w:pStyle w:val="FirstParagraph"/>
      </w:pPr>
      <w:r>
        <w:t xml:space="preserve">The CHIPS and Science Act, signed in August 2022, appropriated</w:t>
      </w:r>
      <w:r>
        <w:t xml:space="preserve"> </w:t>
      </w:r>
      <w:r>
        <w:t xml:space="preserve">$52.7 billion for domestic semiconductor research and manufacturing, of which roughly</w:t>
      </w:r>
      <w:r>
        <w:t xml:space="preserve"> </w:t>
      </w:r>
      <w:r>
        <w:t xml:space="preserve">$39 billion was earmarked for manufacturing incentives administered by the Department of</w:t>
      </w:r>
      <w:r>
        <w:t xml:space="preserve"> </w:t>
      </w:r>
      <w:r>
        <w:t xml:space="preserve">Commerce through the NIST CHIPS Program Office. Commerce solicited applications and, through</w:t>
      </w:r>
      <w:r>
        <w:t xml:space="preserve"> </w:t>
      </w:r>
      <w:r>
        <w:t xml:space="preserve">2024, negotiated project-specific awards. The first public, company-specific commitment for a</w:t>
      </w:r>
      <w:r>
        <w:t xml:space="preserve"> </w:t>
      </w:r>
      <w:r>
        <w:t xml:space="preserve">project is the</w:t>
      </w:r>
      <w:r>
        <w:t xml:space="preserve"> </w:t>
      </w:r>
      <w:r>
        <w:rPr>
          <w:i/>
          <w:iCs/>
        </w:rPr>
        <w:t xml:space="preserve">Preliminary Memorandum of Terms</w:t>
      </w:r>
      <w:r>
        <w:t xml:space="preserve"> </w:t>
      </w:r>
      <w:r>
        <w:t xml:space="preserve">(PMT): a non-binding term sheet stating a</w:t>
      </w:r>
      <w:r>
        <w:t xml:space="preserve"> </w:t>
      </w:r>
      <w:r>
        <w:t xml:space="preserve">proposed direct-funding amount (and, for the largest capital projects, a proposed loan). A PMT is</w:t>
      </w:r>
      <w:r>
        <w:t xml:space="preserve"> </w:t>
      </w:r>
      <w:r>
        <w:t xml:space="preserve">later converted into a binding</w:t>
      </w:r>
      <w:r>
        <w:t xml:space="preserve"> </w:t>
      </w:r>
      <w:r>
        <w:t xml:space="preserve">“CHIPS Incentives Award”</w:t>
      </w:r>
      <w:r>
        <w:t xml:space="preserve"> </w:t>
      </w:r>
      <w:r>
        <w:t xml:space="preserve">once due diligence and milestones are</w:t>
      </w:r>
      <w:r>
        <w:t xml:space="preserve"> </w:t>
      </w:r>
      <w:r>
        <w:t xml:space="preserve">settled. We take the PMT as the event because it is the first moment at which the market learns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firm will receive</w:t>
      </w:r>
      <w:r>
        <w:t xml:space="preserve"> </w:t>
      </w:r>
      <w:r>
        <w:rPr>
          <w:i/>
          <w:iCs/>
        </w:rPr>
        <w:t xml:space="preserve">how much</w:t>
      </w:r>
      <w:r>
        <w:t xml:space="preserve">; the later finalized award is more anticipated</w:t>
      </w:r>
      <w:r>
        <w:t xml:space="preserve"> </w:t>
      </w:r>
      <w:r>
        <w:t xml:space="preserve">still, and dating it is one of the hand-collection tasks reserved for the student.</w:t>
      </w:r>
    </w:p>
    <w:bookmarkEnd w:id="12"/>
    <w:bookmarkStart w:id="13" w:name="why-an-award-might-move-the-stock."/>
    <w:p>
      <w:pPr>
        <w:pStyle w:val="Heading4"/>
      </w:pPr>
      <w:r>
        <w:t xml:space="preserve">Why an award might move the stock.</w:t>
      </w:r>
    </w:p>
    <w:p>
      <w:pPr>
        <w:pStyle w:val="FirstParagraph"/>
      </w:pPr>
      <w:r>
        <w:t xml:space="preserve">A federal grant is a transfer of resources to the</w:t>
      </w:r>
      <w:r>
        <w:t xml:space="preserve"> </w:t>
      </w:r>
      <w:r>
        <w:t xml:space="preserve">firm. Under the simplest view it raises the net present value of the recipient’s U.S. fab</w:t>
      </w:r>
      <w:r>
        <w:t xml:space="preserve"> </w:t>
      </w:r>
      <w:r>
        <w:t xml:space="preserve">investment and should be capitalized into the equity price on the day the transfer becomes known,</w:t>
      </w:r>
      <w:r>
        <w:t xml:space="preserve"> </w:t>
      </w:r>
      <w:r>
        <w:t xml:space="preserve">by more when the transfer is large relative to firm value. This motivates a deliberately nullable</w:t>
      </w:r>
      <w:r>
        <w:t xml:space="preserve"> </w:t>
      </w:r>
      <w:r>
        <w:t xml:space="preserve">hypothesis.</w:t>
      </w:r>
    </w:p>
    <w:p>
      <w:pPr>
        <w:pStyle w:val="BlockText"/>
      </w:pPr>
      <w:r>
        <w:rPr>
          <w:b/>
          <w:bCs/>
        </w:rPr>
        <w:t xml:space="preserve">H1 (Announcement effect).</w:t>
      </w:r>
      <w:r>
        <w:t xml:space="preserve"> </w:t>
      </w:r>
      <w:r>
        <w:t xml:space="preserve">Awardee stocks earn a positive abnormal return around the</w:t>
      </w:r>
      <w:r>
        <w:t xml:space="preserve"> </w:t>
      </w:r>
      <w:r>
        <w:t xml:space="preserve">first CHIPS award announcement.</w:t>
      </w:r>
    </w:p>
    <w:p>
      <w:pPr>
        <w:pStyle w:val="FirstParagraph"/>
      </w:pPr>
      <w:r>
        <w:t xml:space="preserve">A subsidy is more likely to be material—and less likely to have been fully anticipated in the</w:t>
      </w:r>
      <w:r>
        <w:t xml:space="preserve"> </w:t>
      </w:r>
      <w:r>
        <w:t xml:space="preserve">price—when it is large relative to the firm. A $16M award to a $400M company is a different</w:t>
      </w:r>
      <w:r>
        <w:t xml:space="preserve"> </w:t>
      </w:r>
      <w:r>
        <w:t xml:space="preserve">event from a $32M award to a $41B company. If the market prices the incremental transfer, the</w:t>
      </w:r>
      <w:r>
        <w:t xml:space="preserve"> </w:t>
      </w:r>
      <w:r>
        <w:t xml:space="preserve">reaction should rise with the award-to-market-cap ratio.</w:t>
      </w:r>
    </w:p>
    <w:p>
      <w:pPr>
        <w:pStyle w:val="BlockText"/>
      </w:pPr>
      <w:r>
        <w:rPr>
          <w:b/>
          <w:bCs/>
        </w:rPr>
        <w:t xml:space="preserve">H2 (Scaling with relative size).</w:t>
      </w:r>
      <w:r>
        <w:t xml:space="preserve"> </w:t>
      </w:r>
      <w:r>
        <w:t xml:space="preserve">The announcement CAR is increasing in the ratio of</w:t>
      </w:r>
      <w:r>
        <w:t xml:space="preserve"> </w:t>
      </w:r>
      <w:r>
        <w:t xml:space="preserve">award dollars to firm market capitalization.</w:t>
      </w:r>
    </w:p>
    <w:bookmarkEnd w:id="13"/>
    <w:bookmarkStart w:id="14" w:name="why-an-award-might-do-nothing."/>
    <w:p>
      <w:pPr>
        <w:pStyle w:val="Heading4"/>
      </w:pPr>
      <w:r>
        <w:t xml:space="preserve">Why an award might do nothing.</w:t>
      </w:r>
    </w:p>
    <w:p>
      <w:pPr>
        <w:pStyle w:val="FirstParagraph"/>
      </w:pPr>
      <w:r>
        <w:t xml:space="preserve">Two forces push toward a null. First, under</w:t>
      </w:r>
      <w:r>
        <w:t xml:space="preserve"> </w:t>
      </w:r>
      <w:r>
        <w:t xml:space="preserve">semi-strong-form market efficiency</w:t>
      </w:r>
      <w:r>
        <w:t xml:space="preserve"> </w:t>
      </w:r>
      <w:r>
        <w:t xml:space="preserve"> </w:t>
      </w:r>
      <w:r>
        <w:t xml:space="preserve">prices already reflect public</w:t>
      </w:r>
      <w:r>
        <w:t xml:space="preserve"> </w:t>
      </w:r>
      <w:r>
        <w:t xml:space="preserve">information, and a subsidy announcement moves the stock only to the extent it is a surprise. The</w:t>
      </w:r>
      <w:r>
        <w:t xml:space="preserve"> </w:t>
      </w:r>
      <w:r>
        <w:t xml:space="preserve">CHIPS awards were preceded by years of public fab announcements and by the statutory allocation of</w:t>
      </w:r>
      <w:r>
        <w:t xml:space="preserve"> </w:t>
      </w:r>
      <w:r>
        <w:t xml:space="preserve">$39 billion in manufacturing incentives, so the surprise component of any individual PMT may be</w:t>
      </w:r>
      <w:r>
        <w:t xml:space="preserve"> </w:t>
      </w:r>
      <w:r>
        <w:t xml:space="preserve">small. Second, a CHIPS grant is a</w:t>
      </w:r>
      <w:r>
        <w:t xml:space="preserve"> </w:t>
      </w:r>
      <w:r>
        <w:rPr>
          <w:i/>
          <w:iCs/>
        </w:rPr>
        <w:t xml:space="preserve">cost-share</w:t>
      </w:r>
      <w:r>
        <w:t xml:space="preserve">: the direct funding is tied to a much larger</w:t>
      </w:r>
      <w:r>
        <w:t xml:space="preserve"> </w:t>
      </w:r>
      <w:r>
        <w:t xml:space="preserve">mandatory private capital expenditure and to build-out, sourcing, and workforce conditions, and it</w:t>
      </w:r>
      <w:r>
        <w:t xml:space="preserve"> </w:t>
      </w:r>
      <w:r>
        <w:t xml:space="preserve">arrives in tranches contingent on milestones.</w:t>
      </w:r>
      <w:r>
        <w:t xml:space="preserve"> </w:t>
      </w:r>
      <w:r>
        <w:t xml:space="preserve">“Winning”</w:t>
      </w:r>
      <w:r>
        <w:t xml:space="preserve"> </w:t>
      </w:r>
      <w:r>
        <w:t xml:space="preserve">therefore need not raise equity value</w:t>
      </w:r>
      <w:r>
        <w:t xml:space="preserve"> </w:t>
      </w:r>
      <w:r>
        <w:t xml:space="preserve">even when the headline runs to billions, because the grant offsets spending the firm was often</w:t>
      </w:r>
      <w:r>
        <w:t xml:space="preserve"> </w:t>
      </w:r>
      <w:r>
        <w:t xml:space="preserve">already committed to. Under this view both H1 and H2 fail.</w:t>
      </w:r>
    </w:p>
    <w:p>
      <w:pPr>
        <w:pStyle w:val="BlockText"/>
      </w:pPr>
      <w:r>
        <w:rPr>
          <w:b/>
          <w:bCs/>
        </w:rPr>
        <w:t xml:space="preserve">H2</w:t>
      </w:r>
      <m:oMath>
        <m:r>
          <m:rPr>
            <m:sty m:val="p"/>
          </m:rPr>
          <m:t>′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(Priced-in cost-share).</w:t>
      </w:r>
      <w:r>
        <w:t xml:space="preserve"> </w:t>
      </w:r>
      <w:r>
        <w:t xml:space="preserve">Because awards are anticipated and are cost-shares rather</w:t>
      </w:r>
      <w:r>
        <w:t xml:space="preserve"> </w:t>
      </w:r>
      <w:r>
        <w:t xml:space="preserve">than windfalls, neither the average CAR nor its cross-sectional relation to award size is</w:t>
      </w:r>
      <w:r>
        <w:t xml:space="preserve"> </w:t>
      </w:r>
      <w:r>
        <w:t xml:space="preserve">distinguishable from zero.</w:t>
      </w:r>
    </w:p>
    <w:p>
      <w:pPr>
        <w:pStyle w:val="FirstParagraph"/>
      </w:pPr>
      <w:r>
        <w:t xml:space="preserve">Our evidence favors H2</w:t>
      </w:r>
      <m:oMath>
        <m:r>
          <m:rPr>
            <m:sty m:val="p"/>
          </m:rPr>
          <m:t>′</m:t>
        </m:r>
      </m:oMath>
      <w:r>
        <w:t xml:space="preserve">. Quantifying the co-investment channel directly—collecting, for each</w:t>
      </w:r>
      <w:r>
        <w:t xml:space="preserve"> </w:t>
      </w:r>
      <w:r>
        <w:t xml:space="preserve">award, the required private capital expenditure from the recipient’s own 8-K—is the sharpest way</w:t>
      </w:r>
      <w:r>
        <w:t xml:space="preserve"> </w:t>
      </w:r>
      <w:r>
        <w:t xml:space="preserve">to test the cost-share mechanism, and it is precisely the hand-collection reserved for the student;</w:t>
      </w:r>
      <w:r>
        <w:t xml:space="preserve"> </w:t>
      </w:r>
      <w:r>
        <w:t xml:space="preserve">we do not attempt it with the observable data here, and the heterogeneity we do report</w:t>
      </w:r>
      <w:r>
        <w:t xml:space="preserve"> </w:t>
      </w:r>
      <w:r>
        <w:t xml:space="preserve">(Section </w:t>
      </w:r>
      <w:hyperlink w:anchor="sec:het">
        <w:r>
          <w:rPr>
            <w:rStyle w:val="Hyperlink"/>
          </w:rPr>
          <w:t xml:space="preserve">6</w:t>
        </w:r>
      </w:hyperlink>
      <w:r>
        <w:t xml:space="preserve">) is deliberately built from firm characteristics orthogonal to it.</w:t>
      </w:r>
    </w:p>
    <w:bookmarkEnd w:id="14"/>
    <w:bookmarkEnd w:id="15"/>
    <w:bookmarkStart w:id="16" w:name="sec:lit"/>
    <w:p>
      <w:pPr>
        <w:pStyle w:val="Heading1"/>
      </w:pPr>
      <w:r>
        <w:t xml:space="preserve">Related Literature</w:t>
      </w:r>
    </w:p>
    <w:p>
      <w:pPr>
        <w:pStyle w:val="FirstParagraph"/>
      </w:pPr>
      <w:r>
        <w:t xml:space="preserve">This paper sits at the intersection of three literatures. The first is the event-study method</w:t>
      </w:r>
      <w:r>
        <w:t xml:space="preserve"> </w:t>
      </w:r>
      <w:r>
        <w:t xml:space="preserve">itself.</w:t>
      </w:r>
      <w:r>
        <w:t xml:space="preserve"> </w:t>
      </w:r>
      <w:r>
        <w:t xml:space="preserve"> </w:t>
      </w:r>
      <w:r>
        <w:t xml:space="preserve">introduced the abnormal-return event study;</w:t>
      </w:r>
      <w:r>
        <w:t xml:space="preserve"> </w:t>
      </w:r>
      <w:r>
        <w:t xml:space="preserve"> </w:t>
      </w:r>
      <w:r>
        <w:t xml:space="preserve">established</w:t>
      </w:r>
      <w:r>
        <w:t xml:space="preserve"> </w:t>
      </w:r>
      <w:r>
        <w:t xml:space="preserve">the daily market-model design and its sampling properties; and</w:t>
      </w:r>
      <w:r>
        <w:t xml:space="preserve"> </w:t>
      </w:r>
      <w:r>
        <w:t xml:space="preserve"> </w:t>
      </w:r>
      <w:r>
        <w:t xml:space="preserve">synthesized</w:t>
      </w:r>
      <w:r>
        <w:t xml:space="preserve"> </w:t>
      </w:r>
      <w:r>
        <w:t xml:space="preserve">the framework we use. A long methodological strand warns that the cross-sectional</w:t>
      </w:r>
      <w:r>
        <w:t xml:space="preserve"> </w:t>
      </w:r>
      <m:oMath>
        <m:r>
          <m:t>t</m:t>
        </m:r>
      </m:oMath>
      <w:r>
        <w:t xml:space="preserve">-test is</w:t>
      </w:r>
      <w:r>
        <w:t xml:space="preserve"> </w:t>
      </w:r>
      <w:r>
        <w:t xml:space="preserve">fragile when abnormal returns are non-normal, when event-induced variance inflates the</w:t>
      </w:r>
      <w:r>
        <w:t xml:space="preserve"> </w:t>
      </w:r>
      <w:r>
        <w:t xml:space="preserve">denominator, or when a few observations dominate—exactly our situation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and two</w:t>
      </w:r>
      <w:r>
        <w:t xml:space="preserve"> </w:t>
      </w:r>
      <w:r>
        <w:t xml:space="preserve">distressed micro-caps.</w:t>
      </w:r>
      <w:r>
        <w:t xml:space="preserve"> </w:t>
      </w:r>
      <w:r>
        <w:t xml:space="preserve"> </w:t>
      </w:r>
      <w:r>
        <w:t xml:space="preserve">proposed standardizing each abnormal return by its</w:t>
      </w:r>
      <w:r>
        <w:t xml:space="preserve"> </w:t>
      </w:r>
      <w:r>
        <w:t xml:space="preserve">estimation-period forecast error;</w:t>
      </w:r>
      <w:r>
        <w:t xml:space="preserve"> </w:t>
      </w:r>
      <w:r>
        <w:t xml:space="preserve"> </w:t>
      </w:r>
      <w:r>
        <w:t xml:space="preserve">showed how to make the cross-sectional test</w:t>
      </w:r>
      <w:r>
        <w:t xml:space="preserve"> </w:t>
      </w:r>
      <w:r>
        <w:t xml:space="preserve">robust to event-induced variance;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developed</w:t>
      </w:r>
      <w:r>
        <w:t xml:space="preserve"> </w:t>
      </w:r>
      <w:r>
        <w:t xml:space="preserve">nonparametric rank and generalized-sign tests that are insensitive to outliers; and</w:t>
      </w:r>
      <w:r>
        <w:t xml:space="preserve"> </w:t>
      </w:r>
      <w:r>
        <w:t xml:space="preserve"> </w:t>
      </w:r>
      <w:r>
        <w:t xml:space="preserve">address cross-sectional dependence when events cluster in calendar time. We use</w:t>
      </w:r>
      <w:r>
        <w:t xml:space="preserve"> </w:t>
      </w:r>
      <w:r>
        <w:t xml:space="preserve">this toolkit not decoratively but diagnostically: the null must survive every reasonable</w:t>
      </w:r>
      <w:r>
        <w:t xml:space="preserve"> </w:t>
      </w:r>
      <w:r>
        <w:t xml:space="preserve">benchmark and test statistic, and it does.</w:t>
      </w:r>
    </w:p>
    <w:p>
      <w:pPr>
        <w:pStyle w:val="BodyText"/>
      </w:pPr>
      <w:r>
        <w:t xml:space="preserve">The second strand is the market valuation of government policy. Early work used stock prices to</w:t>
      </w:r>
      <w:r>
        <w:t xml:space="preserve"> </w:t>
      </w:r>
      <w:r>
        <w:t xml:space="preserve">measure the effects of regulation</w:t>
      </w:r>
      <w:r>
        <w:t xml:space="preserve"> </w:t>
      </w:r>
      <w:r>
        <w:t xml:space="preserve">. A subsequent literature prices</w:t>
      </w:r>
      <w:r>
        <w:t xml:space="preserve"> </w:t>
      </w:r>
      <w:r>
        <w:t xml:space="preserve">political connections and government dependence:</w:t>
      </w:r>
      <w:r>
        <w:t xml:space="preserve"> </w:t>
      </w:r>
      <w:r>
        <w:t xml:space="preserve"> </w:t>
      </w:r>
      <w:r>
        <w:t xml:space="preserve">show politically connected</w:t>
      </w:r>
      <w:r>
        <w:t xml:space="preserve"> </w:t>
      </w:r>
      <w:r>
        <w:t xml:space="preserve">boards raise firm value,</w:t>
      </w:r>
      <w:r>
        <w:t xml:space="preserve"> </w:t>
      </w:r>
      <w:r>
        <w:t xml:space="preserve"> </w:t>
      </w:r>
      <w:r>
        <w:t xml:space="preserve">link corporate political contributions to returns, and</w:t>
      </w:r>
      <w:r>
        <w:t xml:space="preserve"> </w:t>
      </w:r>
      <w:r>
        <w:t xml:space="preserve"> </w:t>
      </w:r>
      <w:r>
        <w:t xml:space="preserve">document that firms exposed to government spending earn different returns across</w:t>
      </w:r>
      <w:r>
        <w:t xml:space="preserve"> </w:t>
      </w:r>
      <w:r>
        <w:t xml:space="preserve">the political cycle. Direct subsidies are the sharpest case of a government transfer to an</w:t>
      </w:r>
      <w:r>
        <w:t xml:space="preserve"> </w:t>
      </w:r>
      <w:r>
        <w:t xml:space="preserve">identified firm, yet the equity-market response to a large, targeted industrial subsidy is</w:t>
      </w:r>
      <w:r>
        <w:t xml:space="preserve"> </w:t>
      </w:r>
      <w:r>
        <w:t xml:space="preserve">comparatively under-studied. We add the CHIPS Act as an episode in which such transfers were, on</w:t>
      </w:r>
      <w:r>
        <w:t xml:space="preserve"> </w:t>
      </w:r>
      <w:r>
        <w:t xml:space="preserve">average, already in the price.</w:t>
      </w:r>
    </w:p>
    <w:p>
      <w:pPr>
        <w:pStyle w:val="BodyText"/>
      </w:pPr>
      <w:r>
        <w:t xml:space="preserve">The third strand is the revived economics of industrial policy.</w:t>
      </w:r>
      <w:r>
        <w:t xml:space="preserve"> </w:t>
      </w:r>
      <w:r>
        <w:t xml:space="preserve"> </w:t>
      </w:r>
      <w:r>
        <w:t xml:space="preserve">estimate the</w:t>
      </w:r>
      <w:r>
        <w:t xml:space="preserve"> </w:t>
      </w:r>
      <w:r>
        <w:t xml:space="preserve">causal employment effects of a place-based investment subsidy;</w:t>
      </w:r>
      <w:r>
        <w:t xml:space="preserve"> </w:t>
      </w:r>
      <w:r>
        <w:t xml:space="preserve"> </w:t>
      </w:r>
      <w:r>
        <w:t xml:space="preserve">document the</w:t>
      </w:r>
      <w:r>
        <w:t xml:space="preserve"> </w:t>
      </w:r>
      <w:r>
        <w:t xml:space="preserve">scale and incidence of U.S. business tax incentives; and</w:t>
      </w:r>
      <w:r>
        <w:t xml:space="preserve"> </w:t>
      </w:r>
      <w:r>
        <w:t xml:space="preserve"> </w:t>
      </w:r>
      <w:r>
        <w:t xml:space="preserve">survey the modern</w:t>
      </w:r>
      <w:r>
        <w:t xml:space="preserve"> </w:t>
      </w:r>
      <w:r>
        <w:t xml:space="preserve">theory and evidence. This literature asks whether targeted subsidies work; we ask a narrower,</w:t>
      </w:r>
      <w:r>
        <w:t xml:space="preserve"> </w:t>
      </w:r>
      <w:r>
        <w:t xml:space="preserve">market-based question—what did investors think the CHIPS subsidies were worth to recipients at</w:t>
      </w:r>
      <w:r>
        <w:t xml:space="preserve"> </w:t>
      </w:r>
      <w:r>
        <w:t xml:space="preserve">the moment of announcement—and answer: on average, little, consistent with anticipation and with</w:t>
      </w:r>
      <w:r>
        <w:t xml:space="preserve"> </w:t>
      </w:r>
      <w:r>
        <w:t xml:space="preserve">the cost-share structure of the grants.</w:t>
      </w:r>
    </w:p>
    <w:p>
      <w:pPr>
        <w:pStyle w:val="BodyText"/>
      </w:pPr>
      <w:r>
        <w:t xml:space="preserve">Finally, methodologically, we draw on the literature on inference and interpretation in small</w:t>
      </w:r>
      <w:r>
        <w:t xml:space="preserve"> </w:t>
      </w:r>
      <w:r>
        <w:t xml:space="preserve">samples.</w:t>
      </w:r>
      <w:r>
        <w:t xml:space="preserve"> </w:t>
      </w:r>
      <w:r>
        <w:t xml:space="preserve"> </w:t>
      </w:r>
      <w:r>
        <w:t xml:space="preserve">argues that design-based randomization tests discipline apparently</w:t>
      </w:r>
      <w:r>
        <w:t xml:space="preserve"> </w:t>
      </w:r>
      <w:r>
        <w:t xml:space="preserve">significant results, a caution we take to heart: our own OLS-slope permutation flags the very</w:t>
      </w:r>
      <w:r>
        <w:t xml:space="preserve"> </w:t>
      </w:r>
      <w:r>
        <w:t xml:space="preserve">artifact it is applied to. And</w:t>
      </w:r>
      <w:r>
        <w:t xml:space="preserve"> </w:t>
      </w:r>
      <w:r>
        <w:t xml:space="preserve"> </w:t>
      </w:r>
      <w:r>
        <w:t xml:space="preserve">urges that a statistically insignificant estimate</w:t>
      </w:r>
      <w:r>
        <w:t xml:space="preserve"> </w:t>
      </w:r>
      <w:r>
        <w:t xml:space="preserve">be read through its confidence interval and power rather than treated as proof of no effect; we</w:t>
      </w:r>
      <w:r>
        <w:t xml:space="preserve"> </w:t>
      </w:r>
      <w:r>
        <w:t xml:space="preserve">follow that guidance by reporting the minimum effect our design could detect.</w:t>
      </w:r>
    </w:p>
    <w:bookmarkEnd w:id="16"/>
    <w:bookmarkStart w:id="21" w:name="sec:data"/>
    <w:p>
      <w:pPr>
        <w:pStyle w:val="Heading1"/>
      </w:pPr>
      <w:r>
        <w:t xml:space="preserve">Data and Research Design</w:t>
      </w:r>
    </w:p>
    <w:bookmarkStart w:id="17" w:name="award-sample."/>
    <w:p>
      <w:pPr>
        <w:pStyle w:val="Heading4"/>
      </w:pPr>
      <w:r>
        <w:t xml:space="preserve">Award sample.</w:t>
      </w:r>
    </w:p>
    <w:p>
      <w:pPr>
        <w:pStyle w:val="FirstParagraph"/>
      </w:pPr>
      <w:r>
        <w:t xml:space="preserve">We hand-collect every CHIPS award whose recipient (or its listed</w:t>
      </w:r>
      <w:r>
        <w:t xml:space="preserve"> </w:t>
      </w:r>
      <w:r>
        <w:t xml:space="preserve">parent) has a U.S.-traded common stock or ADR, from Commerce/NIST press releases, recording</w:t>
      </w:r>
      <w:r>
        <w:t xml:space="preserve"> </w:t>
      </w:r>
      <w:r>
        <w:t xml:space="preserve">the first-announcement (PMT) date and the proposed direct-funding amount. This yields 17</w:t>
      </w:r>
      <w:r>
        <w:t xml:space="preserve"> </w:t>
      </w:r>
      <w:r>
        <w:t xml:space="preserve">awards announced between January 2024 and January 2025. Two (Analog Devices and MACOM,</w:t>
      </w:r>
      <w:r>
        <w:t xml:space="preserve"> </w:t>
      </w:r>
      <w:r>
        <w:t xml:space="preserve">announced in January 2025) fall past the end of the current CRSP daily file (2024-12-31) and</w:t>
      </w:r>
      <w:r>
        <w:t xml:space="preserve"> </w:t>
      </w:r>
      <w:r>
        <w:t xml:space="preserve">are held out for the next data update, leaving</w:t>
      </w:r>
      <w:r>
        <w:t xml:space="preserve"> </w:t>
      </w:r>
      <w:r>
        <w:rPr>
          <w:b/>
          <w:bCs/>
        </w:rPr>
        <w:t xml:space="preserve">15 events</w:t>
      </w:r>
      <w:r>
        <w:t xml:space="preserve"> </w:t>
      </w:r>
      <w:r>
        <w:t xml:space="preserve">for analysis. We</w:t>
      </w:r>
      <w:r>
        <w:t xml:space="preserve"> </w:t>
      </w:r>
      <w:r>
        <w:t xml:space="preserve">deliberately exclude awards to firms without a liquid U.S. listing (Samsung, SK Hynix,</w:t>
      </w:r>
      <w:r>
        <w:t xml:space="preserve"> </w:t>
      </w:r>
      <w:r>
        <w:t xml:space="preserve">GlobalWafers, Polar Semiconductor, and privately held recipients such as Bosch and Hemlock).</w:t>
      </w:r>
      <w:r>
        <w:t xml:space="preserve"> </w:t>
      </w:r>
      <w:r>
        <w:t xml:space="preserve">Resolving each awarded entity to its correct listed ticker, verifying each announcement date</w:t>
      </w:r>
      <w:r>
        <w:t xml:space="preserve"> </w:t>
      </w:r>
      <w:r>
        <w:t xml:space="preserve">against the primary press release, building a firm-level news/confound timeline beyond the one</w:t>
      </w:r>
      <w:r>
        <w:t xml:space="preserve"> </w:t>
      </w:r>
      <w:r>
        <w:t xml:space="preserve">confound we already flag (Amkor), and transcribing the required private co-investment behind each</w:t>
      </w:r>
      <w:r>
        <w:t xml:space="preserve"> </w:t>
      </w:r>
      <w:r>
        <w:t xml:space="preserve">award, are the student’s hand-validation tasks (see</w:t>
      </w:r>
      <w:r>
        <w:t xml:space="preserve"> </w:t>
      </w:r>
      <w:r>
        <w:rPr>
          <w:rStyle w:val="VerbatimChar"/>
        </w:rPr>
        <w:t xml:space="preserve">STUDENT_TASKS.md</w:t>
      </w:r>
      <w:r>
        <w:t xml:space="preserve">); none of them is</w:t>
      </w:r>
      <w:r>
        <w:t xml:space="preserve"> </w:t>
      </w:r>
      <w:r>
        <w:t xml:space="preserve">used in the analysis below, which relies on observable CRSP and award-file data only.</w:t>
      </w:r>
    </w:p>
    <w:bookmarkEnd w:id="17"/>
    <w:bookmarkStart w:id="18" w:name="abnormal-returns."/>
    <w:p>
      <w:pPr>
        <w:pStyle w:val="Heading4"/>
      </w:pPr>
      <w:r>
        <w:t xml:space="preserve">Abnormal returns.</w:t>
      </w:r>
    </w:p>
    <w:p>
      <w:pPr>
        <w:pStyle w:val="FirstParagraph"/>
      </w:pPr>
      <w:r>
        <w:t xml:space="preserve">For each awardee we estimate a market model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i</m:t>
            </m:r>
          </m:sub>
        </m:sSub>
        <m:sSub>
          <m:e>
            <m:r>
              <m:t>R</m:t>
            </m:r>
          </m:e>
          <m:sub>
            <m:r>
              <m:t>m</m:t>
            </m:r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over the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252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46</m:t>
        </m:r>
        <m:r>
          <m:rPr>
            <m:sty m:val="p"/>
          </m:rPr>
          <m:t>]</m:t>
        </m:r>
      </m:oMath>
      <w:r>
        <w:t xml:space="preserve"> </w:t>
      </w:r>
      <w:r>
        <w:t xml:space="preserve">trading-day window</w:t>
      </w:r>
      <w:r>
        <w:t xml:space="preserve"> </w:t>
      </w:r>
      <w:r>
        <w:t xml:space="preserve">ending before the announcement, benchmarked to the CRSP value-weighted index, and cumulate</w:t>
      </w:r>
      <w:r>
        <w:t xml:space="preserve"> </w:t>
      </w:r>
      <w:r>
        <w:t xml:space="preserve">abnormal returns over event windows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]</m:t>
        </m:r>
      </m:oMath>
      <w:r>
        <w:t xml:space="preserve">, plus a pre-event placebo window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]</m:t>
        </m:r>
      </m:oMath>
      <w:r>
        <w:t xml:space="preserve">. Day 0 is the first trading day on or</w:t>
      </w:r>
      <w:r>
        <w:t xml:space="preserve"> </w:t>
      </w:r>
      <w:r>
        <w:t xml:space="preserve">after the announcement. All 15 firms have the full 207-day estimation sample. The</w:t>
      </w:r>
      <w:r>
        <w:t xml:space="preserve"> </w:t>
      </w:r>
      <w:r>
        <w:t xml:space="preserve">cumulative abnormal return for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over window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nor/>
                <m:sty m:val="p"/>
              </m:rPr>
              <m:t>CAR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τ</m:t>
            </m:r>
            <m:r>
              <m:rPr>
                <m:sty m:val="p"/>
              </m:rPr>
              <m:t>=</m:t>
            </m:r>
            <m:sSub>
              <m:e>
                <m:r>
                  <m:t>τ</m:t>
                </m:r>
              </m:e>
              <m:sub>
                <m:r>
                  <m:t>1</m:t>
                </m:r>
              </m:sub>
            </m:sSub>
          </m:sub>
          <m:sup>
            <m:sSub>
              <m:e>
                <m:r>
                  <m:t>τ</m:t>
                </m:r>
              </m:e>
              <m:sub>
                <m:r>
                  <m:t>2</m:t>
                </m:r>
              </m:sub>
            </m:sSub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  <m:r>
                      <m:t>τ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α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R</m:t>
                    </m:r>
                  </m:e>
                  <m:sub>
                    <m:r>
                      <m:t>m</m:t>
                    </m:r>
                    <m:r>
                      <m:t>τ</m:t>
                    </m:r>
                  </m:sub>
                </m:sSub>
              </m:e>
            </m:d>
          </m:e>
        </m:nary>
      </m:oMath>
      <w:r>
        <w:t xml:space="preserve">,</w:t>
      </w:r>
      <w:r>
        <w:t xml:space="preserve"> </w:t>
      </w:r>
      <w:r>
        <w:t xml:space="preserve">and the average-effect test is a cross-sectional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CAR</m:t>
            </m:r>
          </m:e>
        </m:ba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"/>
    <w:bookmarkStart w:id="19" w:name="award-size-measures."/>
    <w:p>
      <w:pPr>
        <w:pStyle w:val="Heading4"/>
      </w:pPr>
      <w:r>
        <w:t xml:space="preserve">Award-size measures.</w:t>
      </w:r>
    </w:p>
    <w:p>
      <w:pPr>
        <w:pStyle w:val="FirstParagraph"/>
      </w:pPr>
      <w:r>
        <w:rPr>
          <w:i/>
          <w:iCs/>
        </w:rPr>
        <w:t xml:space="preserve">Award/Market cap</w:t>
      </w:r>
      <w:r>
        <w:t xml:space="preserve"> </w:t>
      </w:r>
      <w:r>
        <w:t xml:space="preserve">is the announced dollar award</w:t>
      </w:r>
      <w:r>
        <w:t xml:space="preserve"> </w:t>
      </w:r>
      <w:r>
        <w:t xml:space="preserve">divided by the firm’s CRSP market capitalization (price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shares outstanding) on the</w:t>
      </w:r>
      <w:r>
        <w:t xml:space="preserve"> </w:t>
      </w:r>
      <w:r>
        <w:t xml:space="preserve">last trading day before the event, in percent.</w:t>
      </w:r>
      <w:r>
        <w:t xml:space="preserve"> </w:t>
      </w:r>
      <w:r>
        <w:rPr>
          <w:i/>
          <w:iCs/>
        </w:rPr>
        <w:t xml:space="preserve">ln(Award)</w:t>
      </w:r>
      <w:r>
        <w:t xml:space="preserve"> </w:t>
      </w:r>
      <w:r>
        <w:t xml:space="preserve">is the natural log of the</w:t>
      </w:r>
      <w:r>
        <w:t xml:space="preserve"> </w:t>
      </w:r>
      <w:r>
        <w:t xml:space="preserve">award in $millions. Table </w:t>
      </w:r>
      <w:hyperlink w:anchor="tab:sumsta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enormous spread: awards range from</w:t>
      </w:r>
      <w:r>
        <w:t xml:space="preserve"> </w:t>
      </w:r>
      <w:r>
        <w:t xml:space="preserve">$16M (SkyWater) to $8.5B (Intel), market caps from $0.4B (SkyWater) to $184B (Texas</w:t>
      </w:r>
      <w:r>
        <w:t xml:space="preserve"> </w:t>
      </w:r>
      <w:r>
        <w:t xml:space="preserve">Instruments), and the award-to-market-cap ratio from 0.08% (Corning) to 52% (Wolfspeed).</w:t>
      </w:r>
      <w:r>
        <w:t xml:space="preserve"> </w:t>
      </w:r>
      <w:r>
        <w:t xml:space="preserve">This dispersion is what powers the cross-sectional test—and, as it turns out, what makes a</w:t>
      </w:r>
      <w:r>
        <w:t xml:space="preserve"> </w:t>
      </w:r>
      <w:r>
        <w:t xml:space="preserve">single firm pivotal.</w:t>
      </w:r>
    </w:p>
    <w:bookmarkEnd w:id="19"/>
    <w:bookmarkStart w:id="20" w:name="three-design-based-tools."/>
    <w:p>
      <w:pPr>
        <w:pStyle w:val="Heading4"/>
      </w:pPr>
      <w:r>
        <w:t xml:space="preserve">Three design-based tools.</w:t>
      </w:r>
    </w:p>
    <w:p>
      <w:pPr>
        <w:pStyle w:val="FirstParagraph"/>
      </w:pPr>
      <w:r>
        <w:t xml:space="preserve">A 15-event study strains the asymptotics behind the</w:t>
      </w:r>
      <w:r>
        <w:t xml:space="preserve"> </w:t>
      </w:r>
      <w:r>
        <w:t xml:space="preserve">cross-sectional</w:t>
      </w:r>
      <w:r>
        <w:t xml:space="preserve"> </w:t>
      </w:r>
      <m:oMath>
        <m:r>
          <m:t>t</m:t>
        </m:r>
      </m:oMath>
      <w:r>
        <w:t xml:space="preserve">-test, so beyond it we deploy three checks that do not rely on the parametric</w:t>
      </w:r>
      <w:r>
        <w:t xml:space="preserve"> </w:t>
      </w:r>
      <w:r>
        <w:t xml:space="preserve">null. (1)</w:t>
      </w:r>
      <w:r>
        <w:t xml:space="preserve"> </w:t>
      </w:r>
      <w:r>
        <w:rPr>
          <w:i/>
          <w:iCs/>
        </w:rPr>
        <w:t xml:space="preserve">Model and test robustness</w:t>
      </w:r>
      <w:r>
        <w:t xml:space="preserve">: we recompute the mean CAR under the market-adjusted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) and mean-adjusted models and under two alternative estimation windows, and we compute</w:t>
      </w:r>
      <w:r>
        <w:t xml:space="preserve"> </w:t>
      </w:r>
      <w:r>
        <w:t xml:space="preserve">the standardized Patell and BMP tests and the nonparametric generalized-sign test, all directly</w:t>
      </w:r>
      <w:r>
        <w:t xml:space="preserve"> </w:t>
      </w:r>
      <w:r>
        <w:t xml:space="preserve">from the daily CRSP record (Section </w:t>
      </w:r>
      <w:hyperlink w:anchor="sec:robust">
        <w:r>
          <w:rPr>
            <w:rStyle w:val="Hyperlink"/>
          </w:rPr>
          <w:t xml:space="preserve">7</w:t>
        </w:r>
      </w:hyperlink>
      <w:r>
        <w:t xml:space="preserve">). (2)</w:t>
      </w:r>
      <w:r>
        <w:t xml:space="preserve"> </w:t>
      </w:r>
      <w:r>
        <w:rPr>
          <w:i/>
          <w:iCs/>
        </w:rPr>
        <w:t xml:space="preserve">Randomization inference</w:t>
      </w:r>
      <w:r>
        <w:t xml:space="preserve">: we</w:t>
      </w:r>
      <w:r>
        <w:t xml:space="preserve"> </w:t>
      </w:r>
      <w:r>
        <w:t xml:space="preserve">assign 2</w:t>
      </w:r>
      <w:r>
        <w:t xml:space="preserve">,</w:t>
      </w:r>
      <w:r>
        <w:t xml:space="preserve">000 placebo event dates to test the average-effect null and permute the award-size</w:t>
      </w:r>
      <w:r>
        <w:t xml:space="preserve"> </w:t>
      </w:r>
      <w:r>
        <w:t xml:space="preserve">vector 2</w:t>
      </w:r>
      <w:r>
        <w:t xml:space="preserve">,</w:t>
      </w:r>
      <w:r>
        <w:t xml:space="preserve">000 times to test the scaling null, comparing each actual statistic to its permutation</w:t>
      </w:r>
      <w:r>
        <w:t xml:space="preserve"> </w:t>
      </w:r>
      <w:r>
        <w:t xml:space="preserve">distribution (Section </w:t>
      </w:r>
      <w:hyperlink w:anchor="sec:randinf">
        <w:r>
          <w:rPr>
            <w:rStyle w:val="Hyperlink"/>
          </w:rPr>
          <w:t xml:space="preserve">8</w:t>
        </w:r>
      </w:hyperlink>
      <w:r>
        <w:t xml:space="preserve">). (3)</w:t>
      </w:r>
      <w:r>
        <w:t xml:space="preserve"> </w:t>
      </w:r>
      <w:r>
        <w:rPr>
          <w:i/>
          <w:iCs/>
        </w:rPr>
        <w:t xml:space="preserve">Power</w:t>
      </w:r>
      <w:r>
        <w:t xml:space="preserve">: we compute the minimum detectable</w:t>
      </w:r>
      <w:r>
        <w:t xml:space="preserve"> </w:t>
      </w:r>
      <w:r>
        <w:t xml:space="preserve">effect at 80% power for the mean CAR in each window (Section </w:t>
      </w:r>
      <w:hyperlink w:anchor="sec:power">
        <w:r>
          <w:rPr>
            <w:rStyle w:val="Hyperlink"/>
          </w:rPr>
          <w:t xml:space="preserve">9</w:t>
        </w:r>
      </w:hyperlink>
      <w:r>
        <w:t xml:space="preserve">). Together these</w:t>
      </w:r>
      <w:r>
        <w:t xml:space="preserve"> </w:t>
      </w:r>
      <w:r>
        <w:t xml:space="preserve">convert</w:t>
      </w:r>
      <w:r>
        <w:t xml:space="preserve"> </w:t>
      </w:r>
      <w:r>
        <w:t xml:space="preserve">“insignificant”</w:t>
      </w:r>
      <w:r>
        <w:t xml:space="preserve"> </w:t>
      </w:r>
      <w:r>
        <w:t xml:space="preserve">into a set of falsifiable, design-based statements.</w:t>
      </w:r>
    </w:p>
    <w:bookmarkEnd w:id="20"/>
    <w:bookmarkEnd w:id="21"/>
    <w:bookmarkStart w:id="25" w:name="sec:res"/>
    <w:p>
      <w:pPr>
        <w:pStyle w:val="Heading1"/>
      </w:pPr>
      <w:r>
        <w:t xml:space="preserve">Results</w:t>
      </w:r>
    </w:p>
    <w:bookmarkStart w:id="22" w:name="no-average-announcement-effect-h1."/>
    <w:p>
      <w:pPr>
        <w:pStyle w:val="Heading4"/>
      </w:pPr>
      <w:r>
        <w:t xml:space="preserve">No average announcement effect (H1).</w:t>
      </w:r>
    </w:p>
    <w:p>
      <w:pPr>
        <w:pStyle w:val="FirstParagraph"/>
      </w:pPr>
      <w:r>
        <w:t xml:space="preserve">Table </w:t>
      </w:r>
      <w:hyperlink w:anchor="tab:car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mean and</w:t>
      </w:r>
      <w:r>
        <w:t xml:space="preserve"> </w:t>
      </w:r>
      <w:r>
        <w:t xml:space="preserve">median CARs by window with</w:t>
      </w:r>
      <w:r>
        <w:t xml:space="preserve"> </w:t>
      </w:r>
      <m:oMath>
        <m:r>
          <m:t>t</m:t>
        </m:r>
      </m:oMath>
      <w:r>
        <w:t xml:space="preserve">-tests and exact sign tests. The mean CAR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+</m:t>
        </m:r>
        <m:r>
          <m:t>2.6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0.99</m:t>
        </m:r>
      </m:oMath>
      <w:r>
        <w:t xml:space="preserve">) and the mean CAR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+</m:t>
        </m:r>
        <m:r>
          <m:t>3.0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1.11</m:t>
        </m:r>
      </m:oMath>
      <w:r>
        <w:t xml:space="preserve">); neither approaches</w:t>
      </w:r>
      <w:r>
        <w:t xml:space="preserve"> </w:t>
      </w:r>
      <w:r>
        <w:t xml:space="preserve">conventional significance. Medians are essentially zero (</w:t>
      </w:r>
      <m:oMath>
        <m:r>
          <m:rPr>
            <m:sty m:val="p"/>
          </m:rPr>
          <m:t>+</m:t>
        </m:r>
        <m:r>
          <m:t>0.5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0.0</m:t>
        </m:r>
        <m:r>
          <m:rPr>
            <m:sty m:val="p"/>
          </m:rPr>
          <m:t>%</m:t>
        </m:r>
      </m:oMath>
      <w:r>
        <w:t xml:space="preserve">), and the</w:t>
      </w:r>
      <w:r>
        <w:t xml:space="preserve"> </w:t>
      </w:r>
      <w:r>
        <w:t xml:space="preserve">number of positive reactions (7–9 of 15) is what a coin flip would give. The placebo</w:t>
      </w:r>
      <w:r>
        <w:t xml:space="preserve"> </w:t>
      </w:r>
      <w:r>
        <w:t xml:space="preserve">window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, so the small positive point estimates are not the tail of a</w:t>
      </w:r>
      <w:r>
        <w:t xml:space="preserve"> </w:t>
      </w:r>
      <w:r>
        <w:t xml:space="preserve">pre-announcement drift. Figure </w:t>
      </w:r>
      <w:hyperlink w:anchor="fig:window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every window’s 95% confidence</w:t>
      </w:r>
      <w:r>
        <w:t xml:space="preserve"> </w:t>
      </w:r>
      <w:r>
        <w:t xml:space="preserve">interval comfortably spanning zero. H1 is not supported: on average, the market did not</w:t>
      </w:r>
      <w:r>
        <w:t xml:space="preserve"> </w:t>
      </w:r>
      <w:r>
        <w:t xml:space="preserve">react to CHIPS award announcements.</w:t>
      </w:r>
    </w:p>
    <w:bookmarkEnd w:id="22"/>
    <w:bookmarkStart w:id="23" w:name="the-scaling-result-is-one-data-point-h2."/>
    <w:p>
      <w:pPr>
        <w:pStyle w:val="Heading4"/>
      </w:pPr>
      <w:r>
        <w:t xml:space="preserve">The scaling</w:t>
      </w:r>
      <w:r>
        <w:t xml:space="preserve"> </w:t>
      </w:r>
      <w:r>
        <w:t xml:space="preserve">“result”</w:t>
      </w:r>
      <w:r>
        <w:t xml:space="preserve"> </w:t>
      </w:r>
      <w:r>
        <w:t xml:space="preserve">is one data point (H2).</w:t>
      </w:r>
    </w:p>
    <w:p>
      <w:pPr>
        <w:pStyle w:val="FirstParagraph"/>
      </w:pPr>
      <w:r>
        <w:t xml:space="preserve">Table </w:t>
      </w:r>
      <w:hyperlink w:anchor="tab:crosssec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regresses</w:t>
      </w:r>
      <w:r>
        <w:t xml:space="preserve"> </w:t>
      </w:r>
      <w:r>
        <w:t xml:space="preserve">CAR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on award-size measures with HC1-robust standard errors. Column 1 shows absolute</w:t>
      </w:r>
      <w:r>
        <w:t xml:space="preserve"> </w:t>
      </w:r>
      <w:r>
        <w:t xml:space="preserve">award size is irrelevant (ln(Award)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0.22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0.001</m:t>
        </m:r>
      </m:oMath>
      <w:r>
        <w:t xml:space="preserve">): big awards do not earn big</w:t>
      </w:r>
      <w:r>
        <w:t xml:space="preserve"> </w:t>
      </w:r>
      <w:r>
        <w:t xml:space="preserve">reactions, because they accrue to big firms. Column 2 regresses on the award-to-market-cap</w:t>
      </w:r>
      <w:r>
        <w:t xml:space="preserve"> </w:t>
      </w:r>
      <w:r>
        <w:t xml:space="preserve">ratio and appears to be a knockout—slope</w:t>
      </w:r>
      <w:r>
        <w:t xml:space="preserve"> </w:t>
      </w:r>
      <m:oMath>
        <m:r>
          <m:t>0.0071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32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0.80</m:t>
        </m:r>
      </m:oMath>
      <w:r>
        <w:t xml:space="preserve">—but this is the</w:t>
      </w:r>
      <w:r>
        <w:t xml:space="preserve"> </w:t>
      </w:r>
      <w:r>
        <w:t xml:space="preserve">textbook signature of a high-leverage outlier, not a robust relationship. Wolfspeed sits at</w:t>
      </w:r>
      <w:r>
        <w:t xml:space="preserve"> </w:t>
      </w:r>
      <w:r>
        <w:t xml:space="preserve">(52%,</w:t>
      </w:r>
      <w:r>
        <w:t xml:space="preserve"> </w:t>
      </w:r>
      <m:oMath>
        <m:r>
          <m:rPr>
            <m:sty m:val="p"/>
          </m:rPr>
          <m:t>+</m:t>
        </m:r>
        <m:r>
          <m:t>36</m:t>
        </m:r>
        <m:r>
          <m:rPr>
            <m:sty m:val="p"/>
          </m:rPr>
          <m:t>%</m:t>
        </m:r>
      </m:oMath>
      <w:r>
        <w:t xml:space="preserve">) in the top-right corner of Figure </w:t>
      </w:r>
      <w:hyperlink w:anchor="fig:scatter">
        <w:r>
          <w:rPr>
            <w:rStyle w:val="Hyperlink"/>
          </w:rPr>
          <w:t xml:space="preserve">2</w:t>
        </w:r>
      </w:hyperlink>
      <w:r>
        <w:t xml:space="preserve">, anchoring the fit;</w:t>
      </w:r>
      <w:r>
        <w:t xml:space="preserve"> </w:t>
      </w:r>
      <w:r>
        <w:t xml:space="preserve">the remaining 14 firms cluster near the origin with no visible slope. Column 4 re-estimates</w:t>
      </w:r>
      <w:r>
        <w:t xml:space="preserve"> </w:t>
      </w:r>
      <w:r>
        <w:t xml:space="preserve">column 2 dropping Wolfspeed: the slope falls to</w:t>
      </w:r>
      <w:r>
        <w:t xml:space="preserve"> </w:t>
      </w:r>
      <m:oMath>
        <m:r>
          <m:t>0.0046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1.00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0.04</m:t>
        </m:r>
      </m:oMath>
      <w:r>
        <w:t xml:space="preserve">.</w:t>
      </w:r>
      <w:r>
        <w:t xml:space="preserve"> </w:t>
      </w:r>
      <w:r>
        <w:t xml:space="preserve">Adding ln(market cap) (column 3) or dropping the one ADR, TSMC (column 5), does not change</w:t>
      </w:r>
      <w:r>
        <w:t xml:space="preserve"> </w:t>
      </w:r>
      <w:r>
        <w:t xml:space="preserve">the picture. The relationship is not robust.</w:t>
      </w:r>
    </w:p>
    <w:bookmarkEnd w:id="23"/>
    <w:bookmarkStart w:id="24" w:name="rank-based-tests-confirm-the-null."/>
    <w:p>
      <w:pPr>
        <w:pStyle w:val="Heading4"/>
      </w:pPr>
      <w:r>
        <w:t xml:space="preserve">Rank-based tests confirm the null.</w:t>
      </w:r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and two firms (Wolfspeed and</w:t>
      </w:r>
      <w:r>
        <w:t xml:space="preserve"> </w:t>
      </w:r>
      <w:r>
        <w:t xml:space="preserve">SkyWater) are extreme, we lean on the outlier-robust Spearman rank correlation</w:t>
      </w:r>
      <w:r>
        <w:t xml:space="preserve"> </w:t>
      </w:r>
      <w:r>
        <w:t xml:space="preserve">(Table </w:t>
      </w:r>
      <w:hyperlink w:anchor="tab:robust">
        <w:r>
          <w:rPr>
            <w:rStyle w:val="Hyperlink"/>
          </w:rPr>
          <w:t xml:space="preserve">4</w:t>
        </w:r>
      </w:hyperlink>
      <w:r>
        <w:t xml:space="preserve">). Between CAR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award-to-market-cap ratio it is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0.37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0.18</m:t>
        </m:r>
      </m:oMath>
      <w:r>
        <w:t xml:space="preserve">) for all firms,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0.22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0.45</m:t>
        </m:r>
      </m:oMath>
      <w:r>
        <w:t xml:space="preserve">) excluding Wolfspeed,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0.44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0.11</m:t>
        </m:r>
      </m:oMath>
      <w:r>
        <w:t xml:space="preserve">) excluding the one event (Amkor) whose window is contaminated by a</w:t>
      </w:r>
      <w:r>
        <w:t xml:space="preserve"> </w:t>
      </w:r>
      <w:r>
        <w:t xml:space="preserve">same-week earnings release—never significant at conventional levels. For absolute award</w:t>
      </w:r>
      <w:r>
        <w:t xml:space="preserve"> </w:t>
      </w:r>
      <w:r>
        <w:t xml:space="preserve">size the rank correlation is if anything</w:t>
      </w:r>
      <w:r>
        <w:t xml:space="preserve"> </w:t>
      </w:r>
      <w:r>
        <w:rPr>
          <w:i/>
          <w:iCs/>
        </w:rPr>
        <w:t xml:space="preserve">negative</w:t>
      </w:r>
      <w:r>
        <w:t xml:space="preserve">. We cannot reject the hypothesis</w:t>
      </w:r>
      <w:r>
        <w:t xml:space="preserve"> </w:t>
      </w:r>
      <w:r>
        <w:t xml:space="preserve">that announcement returns are unrelated to award size.</w:t>
      </w:r>
    </w:p>
    <w:bookmarkEnd w:id="24"/>
    <w:bookmarkEnd w:id="25"/>
    <w:bookmarkStart w:id="26" w:name="sec:het"/>
    <w:p>
      <w:pPr>
        <w:pStyle w:val="Heading1"/>
      </w:pPr>
      <w:r>
        <w:t xml:space="preserve">Heterogeneity by Observable Characteristics</w:t>
      </w:r>
    </w:p>
    <w:p>
      <w:pPr>
        <w:pStyle w:val="FirstParagraph"/>
      </w:pPr>
      <w:r>
        <w:t xml:space="preserve">If the market reacted to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awards and the pooled null merely averages the reaction</w:t>
      </w:r>
      <w:r>
        <w:t xml:space="preserve"> </w:t>
      </w:r>
      <w:r>
        <w:t xml:space="preserve">away, an effect should surface when we split the sample on observable, pre-determined firm</w:t>
      </w:r>
      <w:r>
        <w:t xml:space="preserve"> </w:t>
      </w:r>
      <w:r>
        <w:t xml:space="preserve">characteristics. Table </w:t>
      </w:r>
      <w:hyperlink w:anchor="tab:hetero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reports the mean CAR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within and across five such</w:t>
      </w:r>
      <w:r>
        <w:t xml:space="preserve"> </w:t>
      </w:r>
      <w:r>
        <w:t xml:space="preserve">splits, with a difference-in-means test. We use only observable dimensions—the grant-versus-</w:t>
      </w:r>
      <w:r>
        <w:t xml:space="preserve"> </w:t>
      </w:r>
      <w:r>
        <w:t xml:space="preserve">grant-plus-loan structure recorded in the award file, firm market capitalization, the</w:t>
      </w:r>
      <w:r>
        <w:t xml:space="preserve"> </w:t>
      </w:r>
      <w:r>
        <w:t xml:space="preserve">award-to-market-cap ratio, a core-semiconductor (SIC 3674) indicator, and the market beta—and we</w:t>
      </w:r>
      <w:r>
        <w:t xml:space="preserve"> </w:t>
      </w:r>
      <w:r>
        <w:t xml:space="preserve">deliberately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split on the required private co-investment, which is the student’s</w:t>
      </w:r>
      <w:r>
        <w:t xml:space="preserve"> </w:t>
      </w:r>
      <w:r>
        <w:t xml:space="preserve">reserved hand-collected variable and the sharpest test of the cost-share mechanism.</w:t>
      </w:r>
    </w:p>
    <w:p>
      <w:pPr>
        <w:pStyle w:val="BodyText"/>
      </w:pPr>
      <w:r>
        <w:t xml:space="preserve">No split yields a significant difference: the largest</w:t>
      </w:r>
      <w:r>
        <w:t xml:space="preserve"> </w:t>
      </w:r>
      <m:oMath>
        <m:r>
          <m:t>t</m:t>
        </m:r>
      </m:oMath>
      <w:r>
        <w:t xml:space="preserve">-statistic in absolute value is</w:t>
      </w:r>
      <w:r>
        <w:t xml:space="preserve"> </w:t>
      </w:r>
      <m:oMath>
        <m:r>
          <m:t>1.25</m:t>
        </m:r>
      </m:oMath>
      <w:r>
        <w:t xml:space="preserve"> </w:t>
      </w:r>
      <w:r>
        <w:t xml:space="preserve">(the below-median-size firms react more, consistent with the two small distressed names driving</w:t>
      </w:r>
      <w:r>
        <w:t xml:space="preserve"> </w:t>
      </w:r>
      <w:r>
        <w:t xml:space="preserve">the tail). The grant-plus-loan awards show a higher mean reaction (</w:t>
      </w:r>
      <m:oMath>
        <m:r>
          <m:rPr>
            <m:sty m:val="p"/>
          </m:rPr>
          <m:t>+</m:t>
        </m:r>
        <m:r>
          <m:t>6.9</m:t>
        </m:r>
        <m:r>
          <m:rPr>
            <m:sty m:val="p"/>
          </m:rPr>
          <m:t>%</m:t>
        </m:r>
      </m:oMath>
      <w:r>
        <w:t xml:space="preserve"> </w:t>
      </w:r>
      <w:r>
        <w:t xml:space="preserve">vs. </w:t>
      </w:r>
      <m:oMath>
        <m:r>
          <m:rPr>
            <m:sty m:val="p"/>
          </m:rPr>
          <m:t>+</m:t>
        </m:r>
        <m:r>
          <m:t>0.5</m:t>
        </m:r>
        <m:r>
          <m:rPr>
            <m:sty m:val="p"/>
          </m:rPr>
          <m:t>%</m:t>
        </m:r>
      </m:oMath>
      <w:r>
        <w:t xml:space="preserve">), but</w:t>
      </w:r>
      <w:r>
        <w:t xml:space="preserve"> </w:t>
      </w:r>
      <w:r>
        <w:t xml:space="preserve">this is not a financing-structure effect: Wolfspeed is a grant-plus-loan award, and it alone</w:t>
      </w:r>
      <w:r>
        <w:t xml:space="preserve"> </w:t>
      </w:r>
      <w:r>
        <w:t xml:space="preserve">accounts for the gap; the difference is statistically indistinguishable from zero (</w:t>
      </w:r>
      <m:oMath>
        <m:r>
          <m:t>t</m:t>
        </m:r>
        <m:r>
          <m:rPr>
            <m:sty m:val="p"/>
          </m:rPr>
          <m:t>=</m:t>
        </m:r>
        <m:r>
          <m:t>0.86</m:t>
        </m:r>
      </m:oMath>
      <w:r>
        <w:t xml:space="preserve">).</w:t>
      </w:r>
      <w:r>
        <w:t xml:space="preserve"> </w:t>
      </w:r>
      <w:r>
        <w:t xml:space="preserve">Likewise, core-semiconductor firms and high-beta firms show larger point estimates, but every</w:t>
      </w:r>
      <w:r>
        <w:t xml:space="preserve"> </w:t>
      </w:r>
      <w:r>
        <w:t xml:space="preserve">difference reflects the same handful of volatile small-caps rather than a systematic pattern, and</w:t>
      </w:r>
      <w:r>
        <w:t xml:space="preserve"> </w:t>
      </w:r>
      <w:r>
        <w:t xml:space="preserve">none is significant. The heterogeneity evidence, like the pooled evidence, is a null: we find no</w:t>
      </w:r>
      <w:r>
        <w:t xml:space="preserve"> </w:t>
      </w:r>
      <w:r>
        <w:t xml:space="preserve">observable subgroup for which CHIPS awards moved stock prices.</w:t>
      </w:r>
    </w:p>
    <w:bookmarkEnd w:id="26"/>
    <w:bookmarkStart w:id="27" w:name="sec:robust"/>
    <w:p>
      <w:pPr>
        <w:pStyle w:val="Heading1"/>
      </w:pPr>
      <w:r>
        <w:t xml:space="preserve">Robustness: Alternative Models and Test Statistics</w:t>
      </w:r>
    </w:p>
    <w:p>
      <w:pPr>
        <w:pStyle w:val="FirstParagraph"/>
      </w:pPr>
      <w:r>
        <w:t xml:space="preserve">The average-effect null could in principle be an artifact of the market-model benchmark or of the</w:t>
      </w:r>
      <w:r>
        <w:t xml:space="preserve"> </w:t>
      </w:r>
      <w:r>
        <w:t xml:space="preserve">plain cross-sectional</w:t>
      </w:r>
      <w:r>
        <w:t xml:space="preserve"> </w:t>
      </w:r>
      <m:oMath>
        <m:r>
          <m:t>t</m:t>
        </m:r>
      </m:oMath>
      <w:r>
        <w:t xml:space="preserve">-test. Table </w:t>
      </w:r>
      <w:hyperlink w:anchor="tab:altmodel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shows it is neither. Panel A recomputes</w:t>
      </w:r>
      <w:r>
        <w:t xml:space="preserve"> </w:t>
      </w:r>
      <w:r>
        <w:t xml:space="preserve">the mean CAR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 the market-adjusted (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) and mean-adjusted models, and under</w:t>
      </w:r>
      <w:r>
        <w:t xml:space="preserve"> </w:t>
      </w:r>
      <w:r>
        <w:t xml:space="preserve">estimation windows 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252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120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]</m:t>
        </m:r>
      </m:oMath>
      <w:r>
        <w:t xml:space="preserve"> </w:t>
      </w:r>
      <w:r>
        <w:t xml:space="preserve">in place of the baseline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252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46</m:t>
        </m:r>
        <m:r>
          <m:rPr>
            <m:sty m:val="p"/>
          </m:rPr>
          <m:t>]</m:t>
        </m:r>
      </m:oMath>
      <w:r>
        <w:t xml:space="preserve">. The</w:t>
      </w:r>
      <w:r>
        <w:t xml:space="preserve"> </w:t>
      </w:r>
      <w:r>
        <w:t xml:space="preserve">mean CAR is stable across all five specifications (</w:t>
      </w:r>
      <m:oMath>
        <m:r>
          <m:rPr>
            <m:sty m:val="p"/>
          </m:rPr>
          <m:t>+</m:t>
        </m:r>
        <m:r>
          <m:t>2.6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2.9</m:t>
        </m:r>
        <m:r>
          <m:rPr>
            <m:sty m:val="p"/>
          </m:rPr>
          <m:t>%</m:t>
        </m:r>
      </m:oMath>
      <w:r>
        <w:t xml:space="preserve">) and the</w:t>
      </w:r>
      <w:r>
        <w:t xml:space="preserve"> </w:t>
      </w:r>
      <m:oMath>
        <m:r>
          <m:t>t</m:t>
        </m:r>
      </m:oMath>
      <w:r>
        <w:t xml:space="preserve">-statistic never</w:t>
      </w:r>
      <w:r>
        <w:t xml:space="preserve"> </w:t>
      </w:r>
      <w:r>
        <w:t xml:space="preserve">exceeds</w:t>
      </w:r>
      <w:r>
        <w:t xml:space="preserve"> </w:t>
      </w:r>
      <m:oMath>
        <m:r>
          <m:t>1.1</m:t>
        </m:r>
      </m:oMath>
      <w:r>
        <w:t xml:space="preserve">: the null does not depend on how expected returns are modeled or on the length of the</w:t>
      </w:r>
      <w:r>
        <w:t xml:space="preserve"> </w:t>
      </w:r>
      <w:r>
        <w:t xml:space="preserve">estimation window. Panel B reports, for the market-model CARs in the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windows,</w:t>
      </w:r>
      <w:r>
        <w:t xml:space="preserve"> </w:t>
      </w:r>
      <w:r>
        <w:t xml:space="preserve">four alternative test statistics: the standardized</w:t>
      </w:r>
      <w:r>
        <w:t xml:space="preserve"> </w:t>
      </w:r>
      <w:r>
        <w:t xml:space="preserve"> </w:t>
      </w:r>
      <m:oMath>
        <m:r>
          <m:t>Z</m:t>
        </m:r>
      </m:oMath>
      <w:r>
        <w:t xml:space="preserve">, the event-induced-variance-</w:t>
      </w:r>
      <w:r>
        <w:t xml:space="preserve"> </w:t>
      </w:r>
      <w:r>
        <w:t xml:space="preserve">robust</w:t>
      </w:r>
      <w:r>
        <w:t xml:space="preserve"> </w:t>
      </w:r>
      <w:r>
        <w:t xml:space="preserve"> </w:t>
      </w:r>
      <w:r>
        <w:t xml:space="preserve">(BMP)</w:t>
      </w:r>
      <w:r>
        <w:t xml:space="preserve"> </w:t>
      </w:r>
      <m:oMath>
        <m:r>
          <m:t>Z</m:t>
        </m:r>
      </m:oMath>
      <w:r>
        <w:t xml:space="preserve">, and the nonparametric</w:t>
      </w:r>
      <w:r>
        <w:t xml:space="preserve"> </w:t>
      </w:r>
      <w:r>
        <w:t xml:space="preserve"> </w:t>
      </w:r>
      <w:r>
        <w:t xml:space="preserve">generalized-sign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alongside the cross-sectional</w:t>
      </w:r>
      <w:r>
        <w:t xml:space="preserve"> </w:t>
      </w:r>
      <m:oMath>
        <m:r>
          <m:t>t</m:t>
        </m:r>
      </m:oMath>
      <w:r>
        <w:t xml:space="preserve">. Every statistic is far from significance (all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CAR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), and the standardized tests, which down-weight the high-variance outliers, if anything</w:t>
      </w:r>
      <w:r>
        <w:t xml:space="preserve"> </w:t>
      </w:r>
      <w:r>
        <w:t xml:space="preserve">push the evidence</w:t>
      </w:r>
      <w:r>
        <w:t xml:space="preserve"> </w:t>
      </w:r>
      <w:r>
        <w:rPr>
          <w:i/>
          <w:iCs/>
        </w:rPr>
        <w:t xml:space="preserve">further</w:t>
      </w:r>
      <w:r>
        <w:t xml:space="preserve"> </w:t>
      </w:r>
      <w:r>
        <w:t xml:space="preserve">from significance than the plain</w:t>
      </w:r>
      <w:r>
        <w:t xml:space="preserve"> </w:t>
      </w:r>
      <m:oMath>
        <m:r>
          <m:t>t</m:t>
        </m:r>
      </m:oMath>
      <w:r>
        <w:t xml:space="preserve">. Three additional checks in</w:t>
      </w:r>
      <w:r>
        <w:t xml:space="preserve"> </w:t>
      </w:r>
      <w:r>
        <w:t xml:space="preserve">Table </w:t>
      </w:r>
      <w:hyperlink w:anchor="tab:events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and the discussion above reinforce the null: the earnings-confounded Amkor</w:t>
      </w:r>
      <w:r>
        <w:t xml:space="preserve"> </w:t>
      </w:r>
      <w:r>
        <w:t xml:space="preserve">event, if excluded, only</w:t>
      </w:r>
      <w:r>
        <w:t xml:space="preserve"> </w:t>
      </w:r>
      <w:r>
        <w:rPr>
          <w:i/>
          <w:iCs/>
        </w:rPr>
        <w:t xml:space="preserve">raises</w:t>
      </w:r>
      <w:r>
        <w:t xml:space="preserve"> </w:t>
      </w:r>
      <w:r>
        <w:t xml:space="preserve">the (still-insignificant) rank correlation; dropping the one</w:t>
      </w:r>
      <w:r>
        <w:t xml:space="preserve"> </w:t>
      </w:r>
      <w:r>
        <w:t xml:space="preserve">ADR (TSMC) leaves the cross-section unchanged; and the point estimates are positive only because of</w:t>
      </w:r>
      <w:r>
        <w:t xml:space="preserve"> </w:t>
      </w:r>
      <w:r>
        <w:t xml:space="preserve">Wolfspeed and SkyWater, with the median firm’s reaction negative in the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window.</w:t>
      </w:r>
    </w:p>
    <w:bookmarkEnd w:id="27"/>
    <w:bookmarkStart w:id="30" w:name="sec:randinf"/>
    <w:p>
      <w:pPr>
        <w:pStyle w:val="Heading1"/>
      </w:pPr>
      <w:r>
        <w:t xml:space="preserve">Design-Based Inference</w:t>
      </w:r>
    </w:p>
    <w:p>
      <w:pPr>
        <w:pStyle w:val="FirstParagraph"/>
      </w:pPr>
      <w:r>
        <w:t xml:space="preserve">With only 15 events, the cross-sectional</w:t>
      </w:r>
      <w:r>
        <w:t xml:space="preserve"> </w:t>
      </w:r>
      <m:oMath>
        <m:r>
          <m:t>t</m:t>
        </m:r>
      </m:oMath>
      <w:r>
        <w:t xml:space="preserve">-test and the HC1-robust regression lean on</w:t>
      </w:r>
      <w:r>
        <w:t xml:space="preserve"> </w:t>
      </w:r>
      <w:r>
        <w:t xml:space="preserve">asymptotics that do not obviously hold. Randomization inference sidesteps them by building the null</w:t>
      </w:r>
      <w:r>
        <w:t xml:space="preserve"> </w:t>
      </w:r>
      <w:r>
        <w:t xml:space="preserve">distribution of each statistic directly from the data</w:t>
      </w:r>
      <w:r>
        <w:t xml:space="preserve"> </w:t>
      </w:r>
      <w:r>
        <w:t xml:space="preserve">. Table </w:t>
      </w:r>
      <w:hyperlink w:anchor="tab:randinf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and Figure </w:t>
      </w:r>
      <w:hyperlink w:anchor="fig:randinf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 two exercises, each with 2</w:t>
      </w:r>
      <w:r>
        <w:t xml:space="preserve">,</w:t>
      </w:r>
      <w:r>
        <w:t xml:space="preserve">000 draws.</w:t>
      </w:r>
    </w:p>
    <w:bookmarkStart w:id="28" w:name="placebo-event-dates-h1."/>
    <w:p>
      <w:pPr>
        <w:pStyle w:val="Heading4"/>
      </w:pPr>
      <w:r>
        <w:t xml:space="preserve">Placebo event dates (H1).</w:t>
      </w:r>
    </w:p>
    <w:p>
      <w:pPr>
        <w:pStyle w:val="FirstParagraph"/>
      </w:pPr>
      <w:r>
        <w:t xml:space="preserve">We reassign every firm a common pseudo-announcement timing,</w:t>
      </w:r>
      <w:r>
        <w:t xml:space="preserve"> </w:t>
      </w:r>
      <w:r>
        <w:t xml:space="preserve">drawn so that its full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252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46</m:t>
        </m:r>
        <m:r>
          <m:rPr>
            <m:sty m:val="p"/>
          </m:rPr>
          <m:t>]</m:t>
        </m:r>
      </m:oMath>
      <w:r>
        <w:t xml:space="preserve"> </w:t>
      </w:r>
      <w:r>
        <w:t xml:space="preserve">estimation window and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event window still fit inside</w:t>
      </w:r>
      <w:r>
        <w:t xml:space="preserve"> </w:t>
      </w:r>
      <w:r>
        <w:t xml:space="preserve">the CRSP file and stay at least five trading days away from the true event, and we recompute the</w:t>
      </w:r>
      <w:r>
        <w:t xml:space="preserve"> </w:t>
      </w:r>
      <w:r>
        <w:t xml:space="preserve">15-firm mean CAR; each of the 2</w:t>
      </w:r>
      <w:r>
        <w:t xml:space="preserve">,</w:t>
      </w:r>
      <w:r>
        <w:t xml:space="preserve">000 draws yields all 15 firms. The actual mean CAR of</w:t>
      </w:r>
      <w:r>
        <w:t xml:space="preserve"> </w:t>
      </w:r>
      <m:oMath>
        <m:r>
          <m:rPr>
            <m:sty m:val="p"/>
          </m:rPr>
          <m:t>+</m:t>
        </m:r>
        <m:r>
          <m:t>2.6</m:t>
        </m:r>
        <m:r>
          <m:rPr>
            <m:sty m:val="p"/>
          </m:rPr>
          <m:t>%</m:t>
        </m:r>
      </m:oMath>
      <w:r>
        <w:t xml:space="preserve"> </w:t>
      </w:r>
      <w:r>
        <w:t xml:space="preserve">sits comfortably inside the placebo distribution (95%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3.7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3.3</m:t>
        </m:r>
        <m:r>
          <m:rPr>
            <m:sty m:val="p"/>
          </m:rPr>
          <m:t>%</m:t>
        </m:r>
        <m:r>
          <m:rPr>
            <m:sty m:val="p"/>
          </m:rPr>
          <m:t>]</m:t>
        </m:r>
      </m:oMath>
      <w:r>
        <w:t xml:space="preserve">), giving a</w:t>
      </w:r>
      <w:r>
        <w:t xml:space="preserve"> </w:t>
      </w:r>
      <w:r>
        <w:t xml:space="preserve">design-based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0.14</m:t>
        </m:r>
      </m:oMath>
      <w:r>
        <w:t xml:space="preserve"> </w:t>
      </w:r>
      <w:r>
        <w:t xml:space="preserve">(Figure </w:t>
      </w:r>
      <w:hyperlink w:anchor="fig:randinf">
        <w:r>
          <w:rPr>
            <w:rStyle w:val="Hyperlink"/>
          </w:rPr>
          <w:t xml:space="preserve">3</w:t>
        </w:r>
      </w:hyperlink>
      <w:r>
        <w:t xml:space="preserve">a). The average-effect null therefore does not</w:t>
      </w:r>
      <w:r>
        <w:t xml:space="preserve"> </w:t>
      </w:r>
      <w:r>
        <w:t xml:space="preserve">depend on the small-sample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asymptotics: a</w:t>
      </w:r>
      <w:r>
        <w:t xml:space="preserve"> </w:t>
      </w:r>
      <m:oMath>
        <m:r>
          <m:rPr>
            <m:sty m:val="p"/>
          </m:rPr>
          <m:t>+</m:t>
        </m:r>
        <m:r>
          <m:t>2.6</m:t>
        </m:r>
        <m:r>
          <m:rPr>
            <m:sty m:val="p"/>
          </m:rPr>
          <m:t>%</m:t>
        </m:r>
      </m:oMath>
      <w:r>
        <w:t xml:space="preserve"> </w:t>
      </w:r>
      <w:r>
        <w:t xml:space="preserve">average is roughly what randomly-timed</w:t>
      </w:r>
      <w:r>
        <w:t xml:space="preserve"> </w:t>
      </w:r>
      <w:r>
        <w:t xml:space="preserve">three-day windows produce for these 15 volatile stocks.</w:t>
      </w:r>
    </w:p>
    <w:bookmarkEnd w:id="28"/>
    <w:bookmarkStart w:id="29" w:name="permuted-award-size-h2."/>
    <w:p>
      <w:pPr>
        <w:pStyle w:val="Heading4"/>
      </w:pPr>
      <w:r>
        <w:t xml:space="preserve">Permuted award size (H2).</w:t>
      </w:r>
    </w:p>
    <w:p>
      <w:pPr>
        <w:pStyle w:val="FirstParagraph"/>
      </w:pPr>
      <w:r>
        <w:t xml:space="preserve">We permute the award-to-market-cap vector across firms,</w:t>
      </w:r>
      <w:r>
        <w:t xml:space="preserve"> </w:t>
      </w:r>
      <w:r>
        <w:t xml:space="preserve">holding the CARs fixed, and recompute both the OLS slope and the Spearman rank correlation. The</w:t>
      </w:r>
      <w:r>
        <w:t xml:space="preserve"> </w:t>
      </w:r>
      <w:r>
        <w:t xml:space="preserve">result is a clean demonstration of why the naive regression misleads. The OLS slope’s permutation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marginal</w:t>
      </w:r>
      <w:r>
        <w:t xml:space="preserve"> </w:t>
      </w:r>
      <m:oMath>
        <m:r>
          <m:t>0.02</m:t>
        </m:r>
      </m:oMath>
      <w:r>
        <w:t xml:space="preserve"> </w:t>
      </w:r>
      <w:r>
        <w:t xml:space="preserve">(Figure </w:t>
      </w:r>
      <w:hyperlink w:anchor="fig:randinf">
        <w:r>
          <w:rPr>
            <w:rStyle w:val="Hyperlink"/>
          </w:rPr>
          <w:t xml:space="preserve">3</w:t>
        </w:r>
      </w:hyperlink>
      <w:r>
        <w:t xml:space="preserve">b)—but this is not evidence of scaling. The OLS</w:t>
      </w:r>
      <w:r>
        <w:t xml:space="preserve"> </w:t>
      </w:r>
      <w:r>
        <w:t xml:space="preserve">slope is precisely the non-robust statistic that the single Wolfspeed alignment inflates; the</w:t>
      </w:r>
      <w:r>
        <w:t xml:space="preserve"> </w:t>
      </w:r>
      <w:r>
        <w:t xml:space="preserve">permutation inherits that sensitivity, so the</w:t>
      </w:r>
      <w:r>
        <w:t xml:space="preserve"> </w:t>
      </w:r>
      <w:r>
        <w:t xml:space="preserve">“significant”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merely records that one firm</w:t>
      </w:r>
      <w:r>
        <w:t xml:space="preserve"> </w:t>
      </w:r>
      <w:r>
        <w:t xml:space="preserve">happened to have both the largest relative award and the largest return, not a relationship across</w:t>
      </w:r>
      <w:r>
        <w:t xml:space="preserve"> </w:t>
      </w:r>
      <w:r>
        <w:t xml:space="preserve">the sample. The appropriate design-based test, given two leverage points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is the</w:t>
      </w:r>
      <w:r>
        <w:t xml:space="preserve"> </w:t>
      </w:r>
      <w:r>
        <w:t xml:space="preserve">rank-based permutation, and it cannot reject the null (Spearman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0.37</m:t>
        </m:r>
      </m:oMath>
      <w:r>
        <w:t xml:space="preserve">, permutation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0.18</m:t>
        </m:r>
      </m:oMath>
      <w:r>
        <w:t xml:space="preserve">).</w:t>
      </w:r>
      <w:r>
        <w:t xml:space="preserve"> </w:t>
      </w:r>
      <w:r>
        <w:t xml:space="preserve">Applying randomization inference to a non-robust statistic reproduces the very artifact it was meant</w:t>
      </w:r>
      <w:r>
        <w:t xml:space="preserve"> </w:t>
      </w:r>
      <w:r>
        <w:t xml:space="preserve">to police; the outlier-robust version is the honest one, and it confirms the null. Both halves of</w:t>
      </w:r>
      <w:r>
        <w:t xml:space="preserve"> </w:t>
      </w:r>
      <w:r>
        <w:t xml:space="preserve">the paper thus survive design-based scrutiny: the average effect is indistinguishable from randomly</w:t>
      </w:r>
      <w:r>
        <w:t xml:space="preserve"> </w:t>
      </w:r>
      <w:r>
        <w:t xml:space="preserve">timed windows, and the</w:t>
      </w:r>
      <w:r>
        <w:t xml:space="preserve"> </w:t>
      </w:r>
      <w:r>
        <w:t xml:space="preserve">“scaling”</w:t>
      </w:r>
      <w:r>
        <w:t xml:space="preserve"> </w:t>
      </w:r>
      <w:r>
        <w:t xml:space="preserve">is one aligned data point.</w:t>
      </w:r>
    </w:p>
    <w:bookmarkEnd w:id="29"/>
    <w:bookmarkEnd w:id="30"/>
    <w:bookmarkStart w:id="31" w:name="sec:power"/>
    <w:p>
      <w:pPr>
        <w:pStyle w:val="Heading1"/>
      </w:pPr>
      <w:r>
        <w:t xml:space="preserve">What the Null Can and Cannot Rule Out: Power and Minimum Detectable Effects</w:t>
      </w:r>
    </w:p>
    <w:p>
      <w:pPr>
        <w:pStyle w:val="FirstParagraph"/>
      </w:pPr>
      <w:r>
        <w:t xml:space="preserve">A null is only interesting once we know what the design could have detected. Table </w:t>
      </w:r>
      <w:hyperlink w:anchor="tab:power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reports, for the mean CAR in each window, the minimum detectable effect at 80% power,</w:t>
      </w:r>
      <w:r>
        <w:t xml:space="preserve"> </w:t>
      </w:r>
      <m:oMath>
        <m:r>
          <m:rPr>
            <m:nor/>
            <m:sty m:val="p"/>
          </m:rPr>
          <m:t>MDE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r>
          <m:rPr>
            <m:sty m:val="p"/>
          </m:rPr>
          <m:t>≈</m:t>
        </m:r>
        <m:r>
          <m:t>2.80</m:t>
        </m:r>
        <m:r>
          <m:rPr>
            <m:sty m:val="p"/>
          </m:rPr>
          <m:t>×</m:t>
        </m:r>
        <m:r>
          <m:rPr>
            <m:nor/>
            <m:sty m:val="p"/>
          </m:rPr>
          <m:t>SE</m:t>
        </m:r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nor/>
                <m:sty m:val="p"/>
              </m:rPr>
              <m:t>CAR</m:t>
            </m:r>
          </m:e>
        </m:ba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three-day window the standard error of the mean CAR is</w:t>
      </w:r>
      <w:r>
        <w:t xml:space="preserve"> </w:t>
      </w:r>
      <m:oMath>
        <m:r>
          <m:t>2.66</m:t>
        </m:r>
        <m:r>
          <m:rPr>
            <m:sty m:val="p"/>
          </m:rPr>
          <m:t>%</m:t>
        </m:r>
      </m:oMath>
      <w:r>
        <w:t xml:space="preserve">, so the MDE is</w:t>
      </w:r>
      <w:r>
        <w:t xml:space="preserve"> </w:t>
      </w:r>
      <m:oMath>
        <m:r>
          <m:t>7.5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because that standard error is itself inflated by Wolfspeed’s</w:t>
      </w:r>
      <w:r>
        <w:t xml:space="preserve"> </w:t>
      </w:r>
      <m:oMath>
        <m:r>
          <m:rPr>
            <m:sty m:val="p"/>
          </m:rPr>
          <m:t>+</m:t>
        </m:r>
        <m:r>
          <m:t>36</m:t>
        </m:r>
        <m:r>
          <m:rPr>
            <m:sty m:val="p"/>
          </m:rPr>
          <m:t>%</m:t>
        </m:r>
      </m:oMath>
      <w:r>
        <w:t xml:space="preserve"> </w:t>
      </w:r>
      <w:r>
        <w:t xml:space="preserve">return, we also report the MDE</w:t>
      </w:r>
      <w:r>
        <w:t xml:space="preserve"> </w:t>
      </w:r>
      <w:r>
        <w:t xml:space="preserve">excluding Wolfspeed, which falls 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w:r>
        <w:t xml:space="preserve">We resist the temptation to read these as a triumphant</w:t>
      </w:r>
      <w:r>
        <w:t xml:space="preserve"> </w:t>
      </w:r>
      <w:r>
        <w:t xml:space="preserve">“informative null,”</w:t>
      </w:r>
      <w:r>
        <w:t xml:space="preserve"> </w:t>
      </w:r>
      <w:r>
        <w:t xml:space="preserve">because the arithmetic</w:t>
      </w:r>
      <w:r>
        <w:t xml:space="preserve"> </w:t>
      </w:r>
      <w:r>
        <w:t xml:space="preserve">does not support it. The natural benchmark for the alternative is a pure equity windfall, under</w:t>
      </w:r>
      <w:r>
        <w:t xml:space="preserve"> </w:t>
      </w:r>
      <w:r>
        <w:t xml:space="preserve">which the grant capitalizes into firm value one-for-one and the announcement reaction equals the</w:t>
      </w:r>
      <w:r>
        <w:t xml:space="preserve"> </w:t>
      </w:r>
      <w:r>
        <w:t xml:space="preserve">award-to-market-cap ratio. The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reaction such a windfall implies is therefore the mean</w:t>
      </w:r>
      <w:r>
        <w:t xml:space="preserve"> </w:t>
      </w:r>
      <w:r>
        <w:t xml:space="preserve">award-to-market-cap ratio:</w:t>
      </w:r>
      <w:r>
        <w:t xml:space="preserve"> </w:t>
      </w:r>
      <m:oMath>
        <m:r>
          <m:t>5.9</m:t>
        </m:r>
        <m:r>
          <m:rPr>
            <m:sty m:val="p"/>
          </m:rPr>
          <m:t>%</m:t>
        </m:r>
      </m:oMath>
      <w:r>
        <w:t xml:space="preserve"> </w:t>
      </w:r>
      <w:r>
        <w:t xml:space="preserve">across all 15 firms, and</w:t>
      </w:r>
      <w:r>
        <w:t xml:space="preserve"> </w:t>
      </w:r>
      <m:oMath>
        <m:r>
          <m:t>2.6</m:t>
        </m:r>
        <m:r>
          <m:rPr>
            <m:sty m:val="p"/>
          </m:rPr>
          <m:t>%</m:t>
        </m:r>
      </m:oMath>
      <w:r>
        <w:t xml:space="preserve"> </w:t>
      </w:r>
      <w:r>
        <w:t xml:space="preserve">excluding Wolfspeed. Both figures</w:t>
      </w:r>
      <w:r>
        <w:t xml:space="preserve"> </w:t>
      </w:r>
      <w:r>
        <w:t xml:space="preserve">lie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corresponding MDE (</w:t>
      </w:r>
      <m:oMath>
        <m:r>
          <m:t>7.5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), so on statistical power alone our</w:t>
      </w:r>
      <w:r>
        <w:t xml:space="preserve"> </w:t>
      </w:r>
      <w:r>
        <w:t xml:space="preserve">mean-CAR test cannot reject a full-windfall average—15 events simply do not deliver the precision</w:t>
      </w:r>
      <w:r>
        <w:t xml:space="preserve"> </w:t>
      </w:r>
      <w:r>
        <w:t xml:space="preserve">to separate</w:t>
      </w:r>
      <w:r>
        <w:t xml:space="preserve"> </w:t>
      </w:r>
      <w:r>
        <w:t xml:space="preserve">“priced in”</w:t>
      </w:r>
      <w:r>
        <w:t xml:space="preserve"> </w:t>
      </w:r>
      <w:r>
        <w:t xml:space="preserve">from</w:t>
      </w:r>
      <w:r>
        <w:t xml:space="preserve"> </w:t>
      </w:r>
      <w:r>
        <w:t xml:space="preserve">“modest windfall”</w:t>
      </w:r>
      <w:r>
        <w:t xml:space="preserve"> </w:t>
      </w:r>
      <w:r>
        <w:t xml:space="preserve">on the average effect. We say so plainly.</w:t>
      </w:r>
    </w:p>
    <w:p>
      <w:pPr>
        <w:pStyle w:val="BodyText"/>
      </w:pPr>
      <w:r>
        <w:t xml:space="preserve">What the data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support is a pattern in the point estimates rather than a powered rejection.</w:t>
      </w:r>
      <w:r>
        <w:t xml:space="preserve"> </w:t>
      </w:r>
      <w:r>
        <w:t xml:space="preserve">Excluding the single distressed leverage point, the mean reaction is</w:t>
      </w:r>
      <w:r>
        <w:t xml:space="preserve"> </w:t>
      </w:r>
      <m:oMath>
        <m:r>
          <m:t>0.3</m:t>
        </m:r>
        <m:r>
          <m:rPr>
            <m:sty m:val="p"/>
          </m:rPr>
          <m:t>%</m:t>
        </m:r>
      </m:oMath>
      <w:r>
        <w:t xml:space="preserve">—an order of magnitude</w:t>
      </w:r>
      <w:r>
        <w:t xml:space="preserve"> </w:t>
      </w:r>
      <w:r>
        <w:t xml:space="preserve">below the</w:t>
      </w:r>
      <w:r>
        <w:t xml:space="preserve"> </w:t>
      </w:r>
      <m:oMath>
        <m:r>
          <m:t>2.6</m:t>
        </m:r>
        <m:r>
          <m:rPr>
            <m:sty m:val="p"/>
          </m:rPr>
          <m:t>%</m:t>
        </m:r>
      </m:oMath>
      <w:r>
        <w:t xml:space="preserve"> </w:t>
      </w:r>
      <w:r>
        <w:t xml:space="preserve">a windfall would produce for the same firms—and the per-firm pass-through of the</w:t>
      </w:r>
      <w:r>
        <w:t xml:space="preserve"> </w:t>
      </w:r>
      <w:r>
        <w:t xml:space="preserve">award ratio into the return is scattered (from strongly negative to strongly positive) with no</w:t>
      </w:r>
      <w:r>
        <w:t xml:space="preserve"> </w:t>
      </w:r>
      <w:r>
        <w:t xml:space="preserve">central tendency near the one-for-one value a windfall requires; only Wolfspeed exhibits the roughly</w:t>
      </w:r>
      <w:r>
        <w:t xml:space="preserve"> </w:t>
      </w:r>
      <m:oMath>
        <m:r>
          <m:t>0.7</m:t>
        </m:r>
      </m:oMath>
      <w:r>
        <w:t xml:space="preserve"> </w:t>
      </w:r>
      <w:r>
        <w:t xml:space="preserve">pass-through of a firm for which the grant was genuine, material news. The</w:t>
      </w:r>
      <w:r>
        <w:t xml:space="preserve"> </w:t>
      </w:r>
      <w:r>
        <w:t xml:space="preserve">“priced in”</w:t>
      </w:r>
      <w:r>
        <w:t xml:space="preserve"> </w:t>
      </w:r>
      <w:r>
        <w:t xml:space="preserve">reading</w:t>
      </w:r>
      <w:r>
        <w:t xml:space="preserve"> </w:t>
      </w:r>
      <w:r>
        <w:t xml:space="preserve">rests on that configuration of point estimates, and on the anticipation and cost-share economics that</w:t>
      </w:r>
      <w:r>
        <w:t xml:space="preserve"> </w:t>
      </w:r>
      <w:r>
        <w:t xml:space="preserve">rationalize it, not on a claim to have statistically excluded every windfall. This is the honest</w:t>
      </w:r>
      <w:r>
        <w:t xml:space="preserve"> </w:t>
      </w:r>
      <w:r>
        <w:t xml:space="preserve">statement a 15-event study can make, and it is the one we make: the evidence favors anticipation and</w:t>
      </w:r>
      <w:r>
        <w:t xml:space="preserve"> </w:t>
      </w:r>
      <w:r>
        <w:t xml:space="preserve">a priced-in cost-share, while a modest windfall lies within our confidence bounds.</w:t>
      </w:r>
    </w:p>
    <w:bookmarkEnd w:id="31"/>
    <w:bookmarkStart w:id="54" w:name="sec:concl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Across 15 publicly-traded U.S. recipients, CHIPS Act award announcements produced no</w:t>
      </w:r>
      <w:r>
        <w:t xml:space="preserve"> </w:t>
      </w:r>
      <w:r>
        <w:t xml:space="preserve">statistically significant average stock-price reaction, and no robust evidence that the</w:t>
      </w:r>
      <w:r>
        <w:t xml:space="preserve"> </w:t>
      </w:r>
      <w:r>
        <w:t xml:space="preserve">reaction scaled with award size. The average-effect null is invariant to the abnormal-return</w:t>
      </w:r>
      <w:r>
        <w:t xml:space="preserve"> </w:t>
      </w:r>
      <w:r>
        <w:t xml:space="preserve">model, the estimation window, and a battery of standardized and nonparametric test statistics; it</w:t>
      </w:r>
      <w:r>
        <w:t xml:space="preserve"> </w:t>
      </w:r>
      <w:r>
        <w:t xml:space="preserve">survives design-based inference across 2</w:t>
      </w:r>
      <w:r>
        <w:t xml:space="preserve">,</w:t>
      </w:r>
      <w:r>
        <w:t xml:space="preserve">000 placebo event dates; and a power analysis makes its</w:t>
      </w:r>
      <w:r>
        <w:t xml:space="preserve"> </w:t>
      </w:r>
      <w:r>
        <w:t xml:space="preserve">limits precise—with 15 events the mean test cannot statistically exclude a modest windfall, so the</w:t>
      </w:r>
      <w:r>
        <w:t xml:space="preserve"> </w:t>
      </w:r>
      <w:r>
        <w:t xml:space="preserve">priced-in reading rests on the configuration of the point estimates (a</w:t>
      </w:r>
      <w:r>
        <w:t xml:space="preserve"> </w:t>
      </w:r>
      <m:oMath>
        <m:r>
          <m:t>0.3</m:t>
        </m:r>
        <m:r>
          <m:rPr>
            <m:sty m:val="p"/>
          </m:rPr>
          <m:t>%</m:t>
        </m:r>
      </m:oMath>
      <w:r>
        <w:t xml:space="preserve"> </w:t>
      </w:r>
      <w:r>
        <w:t xml:space="preserve">mean reaction once</w:t>
      </w:r>
      <w:r>
        <w:t xml:space="preserve"> </w:t>
      </w:r>
      <w:r>
        <w:t xml:space="preserve">the single distressed name is removed) rather than on a powered rejection. The apparent</w:t>
      </w:r>
      <w:r>
        <w:t xml:space="preserve"> </w:t>
      </w:r>
      <w:r>
        <w:t xml:space="preserve">“scaling with</w:t>
      </w:r>
      <w:r>
        <w:t xml:space="preserve"> </w:t>
      </w:r>
      <w:r>
        <w:t xml:space="preserve">size”</w:t>
      </w:r>
      <w:r>
        <w:t xml:space="preserve"> </w:t>
      </w:r>
      <w:r>
        <w:t xml:space="preserve">is a single-observation artifact: only the non-robust OLS slope registers it, in the</w:t>
      </w:r>
      <w:r>
        <w:t xml:space="preserve"> </w:t>
      </w:r>
      <w:r>
        <w:t xml:space="preserve">parametric regression and in its own permutation test alike, while every outlier-robust statistic—</w:t>
      </w:r>
      <w:r>
        <w:t xml:space="preserve"> </w:t>
      </w:r>
      <w:r>
        <w:t xml:space="preserve">drop-one regression, Spearman correlation, and the rank permutation—returns a clean null. The one</w:t>
      </w:r>
      <w:r>
        <w:t xml:space="preserve"> </w:t>
      </w:r>
      <w:r>
        <w:t xml:space="preserve">firm that reacted strongly, Wolfspeed, is the exception that illustrates the rule: its award was</w:t>
      </w:r>
      <w:r>
        <w:t xml:space="preserve"> </w:t>
      </w:r>
      <w:r>
        <w:t xml:space="preserve">uniquely large relative to a distressed balance sheet, and it alone manufactures the apparent</w:t>
      </w:r>
      <w:r>
        <w:t xml:space="preserve"> </w:t>
      </w:r>
      <w:r>
        <w:t xml:space="preserve">“size”</w:t>
      </w:r>
      <w:r>
        <w:t xml:space="preserve"> </w:t>
      </w:r>
      <w:r>
        <w:t xml:space="preserve">effect. The most defensible interpretation is that the subsidies were substantially</w:t>
      </w:r>
      <w:r>
        <w:t xml:space="preserve"> </w:t>
      </w:r>
      <w:r>
        <w:t xml:space="preserve">anticipated, and that a cost-share grant tied to mandatory private co-investment need not be a</w:t>
      </w:r>
      <w:r>
        <w:t xml:space="preserve"> </w:t>
      </w:r>
      <w:r>
        <w:t xml:space="preserve">windfall for equity holders even when the headline runs to billions.</w:t>
      </w:r>
    </w:p>
    <w:p>
      <w:pPr>
        <w:pStyle w:val="BodyText"/>
      </w:pPr>
      <w:r>
        <w:t xml:space="preserve">The limitations are real and point directly to the next steps. Fifteen events is a small</w:t>
      </w:r>
      <w:r>
        <w:t xml:space="preserve"> </w:t>
      </w:r>
      <w:r>
        <w:t xml:space="preserve">cross-section with limited power; the lead-firm ticker resolution and exact announcement dates</w:t>
      </w:r>
      <w:r>
        <w:t xml:space="preserve"> </w:t>
      </w:r>
      <w:r>
        <w:t xml:space="preserve">await primary-source hand-verification; a firm-level news/confound timeline beyond the single Amkor</w:t>
      </w:r>
      <w:r>
        <w:t xml:space="preserve"> </w:t>
      </w:r>
      <w:r>
        <w:t xml:space="preserve">flag would sharpen the event windows; and the January-2025 awards fall past the current CRSP file.</w:t>
      </w:r>
      <w:r>
        <w:t xml:space="preserve"> </w:t>
      </w:r>
      <w:r>
        <w:t xml:space="preserve">Most importantly, the cost-share mechanism we invoke to explain the null is testable directly: the</w:t>
      </w:r>
      <w:r>
        <w:t xml:space="preserve"> </w:t>
      </w:r>
      <w:r>
        <w:t xml:space="preserve">required private co-investment behind each award, transcribed from recipients’ own 8-Ks, would let a</w:t>
      </w:r>
      <w:r>
        <w:t xml:space="preserve"> </w:t>
      </w:r>
      <w:r>
        <w:t xml:space="preserve">future draft ask whether the awards with the</w:t>
      </w:r>
      <w:r>
        <w:t xml:space="preserve"> </w:t>
      </w:r>
      <w:r>
        <w:rPr>
          <w:i/>
          <w:iCs/>
        </w:rPr>
        <w:t xml:space="preserve">smallest</w:t>
      </w:r>
      <w:r>
        <w:t xml:space="preserve"> </w:t>
      </w:r>
      <w:r>
        <w:t xml:space="preserve">mandatory co-investment—the closest</w:t>
      </w:r>
      <w:r>
        <w:t xml:space="preserve"> </w:t>
      </w:r>
      <w:r>
        <w:t xml:space="preserve">to a true windfall—are the ones that moved. That hand-collection, together with extending the</w:t>
      </w:r>
      <w:r>
        <w:t xml:space="preserve"> </w:t>
      </w:r>
      <w:r>
        <w:t xml:space="preserve">sample to the finalized</w:t>
      </w:r>
      <w:r>
        <w:t xml:space="preserve"> </w:t>
      </w:r>
      <w:r>
        <w:t xml:space="preserve">“funding agreement”</w:t>
      </w:r>
      <w:r>
        <w:t xml:space="preserve"> </w:t>
      </w:r>
      <w:r>
        <w:t xml:space="preserve">events and to intraday returns, is the natural</w:t>
      </w:r>
      <w:r>
        <w:t xml:space="preserve"> </w:t>
      </w:r>
      <w:r>
        <w:t xml:space="preserve">continuation, and it is the contribution the design has been built to receive.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Abadie, A., 2020. Statistical nonsignificance in empirical</w:t>
      </w:r>
      <w:r>
        <w:t xml:space="preserve"> </w:t>
      </w:r>
      <w:r>
        <w:t xml:space="preserve">economics. American Economic Review: Insights 2, 193–208.</w:t>
      </w:r>
      <w:r>
        <w:t xml:space="preserve"> </w:t>
      </w:r>
      <w:r>
        <w:t xml:space="preserve">Belo, F., Gala, V.D., Li, J., 2013.</w:t>
      </w:r>
      <w:r>
        <w:t xml:space="preserve"> </w:t>
      </w:r>
      <w:r>
        <w:t xml:space="preserve">Government spending, political cycles, and the cross section of stock returns.</w:t>
      </w:r>
      <w:r>
        <w:t xml:space="preserve"> </w:t>
      </w:r>
      <w:r>
        <w:t xml:space="preserve">Journal of Financial Economics 107, 305–324.</w:t>
      </w:r>
      <w:r>
        <w:t xml:space="preserve"> </w:t>
      </w:r>
      <w:r>
        <w:t xml:space="preserve">Binder, J.J., 1985.</w:t>
      </w:r>
      <w:r>
        <w:t xml:space="preserve"> </w:t>
      </w:r>
      <w:r>
        <w:t xml:space="preserve">Measuring the effects of regulation with stock price data. RAND Journal of Economics 16, 167–183.</w:t>
      </w:r>
      <w:r>
        <w:t xml:space="preserve"> </w:t>
      </w:r>
      <w:r>
        <w:t xml:space="preserve">Boehmer, E., Musumeci, J., Poulsen, A.B., 1991.</w:t>
      </w:r>
      <w:r>
        <w:t xml:space="preserve"> </w:t>
      </w:r>
      <w:r>
        <w:t xml:space="preserve">Event-study methodology under conditions of event-induced variance. Journal of Financial</w:t>
      </w:r>
      <w:r>
        <w:t xml:space="preserve"> </w:t>
      </w:r>
      <w:r>
        <w:t xml:space="preserve">Economics 30, 253–272.</w:t>
      </w:r>
      <w:r>
        <w:t xml:space="preserve"> </w:t>
      </w:r>
      <w:r>
        <w:t xml:space="preserve">Brown, S.J., Warner, J.B., 1985.</w:t>
      </w:r>
      <w:r>
        <w:t xml:space="preserve"> </w:t>
      </w:r>
      <w:r>
        <w:t xml:space="preserve">Using daily stock returns: the case of event studies. Journal of Financial Economics 14, 3–31.</w:t>
      </w:r>
      <w:r>
        <w:t xml:space="preserve"> </w:t>
      </w:r>
      <w:r>
        <w:t xml:space="preserve">Cooper, M.J., Gulen, H., Ovtchinnikov, A.V., 2010.</w:t>
      </w:r>
      <w:r>
        <w:t xml:space="preserve"> </w:t>
      </w:r>
      <w:r>
        <w:t xml:space="preserve">Corporate political contributions and stock returns. Journal of Finance 65, 687–724.</w:t>
      </w:r>
      <w:r>
        <w:t xml:space="preserve"> </w:t>
      </w:r>
      <w:r>
        <w:t xml:space="preserve">Corrado, C.J., 1989.</w:t>
      </w:r>
      <w:r>
        <w:t xml:space="preserve"> </w:t>
      </w:r>
      <w:r>
        <w:t xml:space="preserve">A nonparametric test for abnormal security-price performance in event studies.</w:t>
      </w:r>
      <w:r>
        <w:t xml:space="preserve"> </w:t>
      </w:r>
      <w:r>
        <w:t xml:space="preserve">Journal of Financial Economics 23, 385–395.</w:t>
      </w:r>
      <w:r>
        <w:t xml:space="preserve"> </w:t>
      </w:r>
      <w:r>
        <w:t xml:space="preserve">Cowan, A.R., 1992.</w:t>
      </w:r>
      <w:r>
        <w:t xml:space="preserve"> </w:t>
      </w:r>
      <w:r>
        <w:t xml:space="preserve">Nonparametric event study tests. Review of Quantitative Finance and Accounting 2, 343–358.</w:t>
      </w:r>
      <w:r>
        <w:t xml:space="preserve"> </w:t>
      </w:r>
      <w:r>
        <w:t xml:space="preserve">Criscuolo, C., Martin, R., Overman, H.G., Van Reenen, J., 2019.</w:t>
      </w:r>
      <w:r>
        <w:t xml:space="preserve"> </w:t>
      </w:r>
      <w:r>
        <w:t xml:space="preserve">Some causal effects of an industrial policy. American Economic Review 109, 48–85.</w:t>
      </w:r>
      <w:r>
        <w:t xml:space="preserve"> </w:t>
      </w:r>
      <w:r>
        <w:t xml:space="preserve">Fama, E.F., 1970.</w:t>
      </w:r>
      <w:r>
        <w:t xml:space="preserve"> </w:t>
      </w:r>
      <w:r>
        <w:t xml:space="preserve">Efficient capital markets: a review of theory and empirical work. Journal of Finance 25, 383–417.</w:t>
      </w:r>
      <w:r>
        <w:t xml:space="preserve"> </w:t>
      </w:r>
      <w:r>
        <w:t xml:space="preserve">Fama, E.F., Fisher, L., Jensen, M.C., Roll, R., 1969.</w:t>
      </w:r>
      <w:r>
        <w:t xml:space="preserve"> </w:t>
      </w:r>
      <w:r>
        <w:t xml:space="preserve">The adjustment of stock prices to new information. International Economic Review 10, 1–21.</w:t>
      </w:r>
      <w:r>
        <w:t xml:space="preserve"> </w:t>
      </w:r>
      <w:r>
        <w:t xml:space="preserve">Goldman, E., Rocholl, J., So, J., 2009.</w:t>
      </w:r>
      <w:r>
        <w:t xml:space="preserve"> </w:t>
      </w:r>
      <w:r>
        <w:t xml:space="preserve">Do politically connected boards affect firm value? Review of Financial Studies 22, 2331–2360.</w:t>
      </w:r>
      <w:r>
        <w:t xml:space="preserve"> </w:t>
      </w:r>
      <w:r>
        <w:t xml:space="preserve">Juhász, R., Lane, N., Rodrik, D., 2024.</w:t>
      </w:r>
      <w:r>
        <w:t xml:space="preserve"> </w:t>
      </w:r>
      <w:r>
        <w:t xml:space="preserve">The new economics of industrial policy. Annual Review of Economics 16, 213–242.</w:t>
      </w:r>
      <w:r>
        <w:t xml:space="preserve"> </w:t>
      </w:r>
      <w:r>
        <w:t xml:space="preserve">Kolari, J.W., Pynnönen, S., 2010.</w:t>
      </w:r>
      <w:r>
        <w:t xml:space="preserve"> </w:t>
      </w:r>
      <w:r>
        <w:t xml:space="preserve">Event study testing with cross-sectional correlation of abnormal returns.</w:t>
      </w:r>
      <w:r>
        <w:t xml:space="preserve"> </w:t>
      </w:r>
      <w:r>
        <w:t xml:space="preserve">Review of Financial Studies 23, 3996–4025.</w:t>
      </w:r>
      <w:r>
        <w:t xml:space="preserve"> </w:t>
      </w:r>
      <w:r>
        <w:t xml:space="preserve">MacKinlay, A.C., 1997.</w:t>
      </w:r>
      <w:r>
        <w:t xml:space="preserve"> </w:t>
      </w:r>
      <w:r>
        <w:t xml:space="preserve">Event studies in economics and finance. Journal of Economic Literature 35, 13–39.</w:t>
      </w:r>
      <w:r>
        <w:t xml:space="preserve"> </w:t>
      </w:r>
      <w:r>
        <w:t xml:space="preserve">Patell, J.M., 1976.</w:t>
      </w:r>
      <w:r>
        <w:t xml:space="preserve"> </w:t>
      </w:r>
      <w:r>
        <w:t xml:space="preserve">Corporate forecasts of earnings per share and stock price behavior: empirical tests.</w:t>
      </w:r>
      <w:r>
        <w:t xml:space="preserve"> </w:t>
      </w:r>
      <w:r>
        <w:t xml:space="preserve">Journal of Accounting Research 14, 246–276.</w:t>
      </w:r>
      <w:r>
        <w:t xml:space="preserve"> </w:t>
      </w:r>
      <w:r>
        <w:t xml:space="preserve">Schwert, G.W., 1981.</w:t>
      </w:r>
      <w:r>
        <w:t xml:space="preserve"> </w:t>
      </w:r>
      <w:r>
        <w:t xml:space="preserve">Using financial data to measure effects of regulation. Journal of Law and Economics 24, 121–158.</w:t>
      </w:r>
      <w:r>
        <w:t xml:space="preserve"> </w:t>
      </w:r>
      <w:r>
        <w:t xml:space="preserve">Slattery, C., Zidar, O., 2020. Evaluating state and local business incentives. Journal of Economic Perspectives 34, 90–118.</w:t>
      </w:r>
      <w:r>
        <w:t xml:space="preserve"> </w:t>
      </w:r>
      <w:r>
        <w:t xml:space="preserve">Young, A., 2019. Channeling Fisher: Randomization tests and the</w:t>
      </w:r>
      <w:r>
        <w:t xml:space="preserve"> </w:t>
      </w:r>
      <w:r>
        <w:t xml:space="preserve">statistical insignificance of seemingly significant experimental results. Quarterly Journal of</w:t>
      </w:r>
      <w:r>
        <w:t xml:space="preserve"> </w:t>
      </w:r>
      <w:r>
        <w:t xml:space="preserve">Economics 134, 557–598.</w:t>
      </w:r>
    </w:p>
    <w:bookmarkStart w:id="32" w:name="tab:sumstats"/>
    <w:p>
      <w:pPr>
        <w:pStyle w:val="TableCaption"/>
      </w:pPr>
      <w:r>
        <w:t xml:space="preserve">Summary statistics (15 CHIPS awardees)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 statistics (15 CHIPS awardees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CAR[-1,+1]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Award ($M)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1737.727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2851.195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Award/Mkt cap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12.916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51.947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Mkt cap ($M)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56108.626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67398.862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393.162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29548.392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184371.370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ln(Award $M)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ln(Mkt cap $M)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10.294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beta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3.535</w:t>
            </w:r>
          </w:p>
        </w:tc>
      </w:tr>
    </w:tbl>
    <w:bookmarkEnd w:id="32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CARs are market-model cumulative abnormal</w:t>
      </w:r>
      <w:r>
        <w:t xml:space="preserve"> </w:t>
      </w:r>
      <w:r>
        <w:t xml:space="preserve">returns; award and market-cap variables as defined in Section </w:t>
      </w:r>
      <w:hyperlink w:anchor="sec:data">
        <w:r>
          <w:rPr>
            <w:rStyle w:val="Hyperlink"/>
          </w:rPr>
          <w:t xml:space="preserve">4</w:t>
        </w:r>
      </w:hyperlink>
      <w:r>
        <w:t xml:space="preserve">. Award/Market cap in</w:t>
      </w:r>
      <w:r>
        <w:t xml:space="preserve"> </w:t>
      </w:r>
      <w:r>
        <w:t xml:space="preserve">percent; ln variables in $millions.</w:t>
      </w:r>
    </w:p>
    <w:bookmarkStart w:id="33" w:name="tab:cars"/>
    <w:p>
      <w:pPr>
        <w:pStyle w:val="TableCaption"/>
      </w:pPr>
      <w:r>
        <w:t xml:space="preserve">Cumulative abnormal returns by event window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umulative abnormal returns by event window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 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CAR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 (%)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-stat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 pos.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CAR[-1,+1]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6/15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CAR[-1,+5]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CAR[-5,+5]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CAR[-10,-3] 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6/15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</w:t>
            </w:r>
          </w:p>
        </w:tc>
      </w:tr>
    </w:tbl>
    <w:bookmarkEnd w:id="33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Market-model CARs, day 0 = first trading day</w:t>
      </w:r>
      <w:r>
        <w:t xml:space="preserve"> </w:t>
      </w:r>
      <w:r>
        <w:t xml:space="preserve">on/after the CHIPS award announcement.</w:t>
      </w:r>
      <w:r>
        <w:t xml:space="preserve"> </w:t>
      </w:r>
      <m:oMath>
        <m:r>
          <m:t>t</m:t>
        </m:r>
      </m:oMath>
      <w:r>
        <w:t xml:space="preserve">-stat tests mean</w:t>
      </w:r>
      <m:oMath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; sign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two-sided</w:t>
      </w:r>
      <w:r>
        <w:t xml:space="preserve"> </w:t>
      </w:r>
      <w:r>
        <w:t xml:space="preserve">exact binomial test that the fraction positive</w:t>
      </w:r>
      <w:r>
        <w:t xml:space="preserve"> </w:t>
      </w:r>
      <m:oMath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pre-event placebo.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.</w:t>
      </w:r>
    </w:p>
    <w:bookmarkStart w:id="34" w:name="tab:crosssec"/>
    <w:p>
      <w:pPr>
        <w:pStyle w:val="TableCaption"/>
      </w:pPr>
      <w:r>
        <w:t xml:space="preserve">Cross-sectional regressions: does the reaction scale with award size?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oss-sectional regressions: does the reaction scale with award size?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2-6</w:t>
            </w:r>
            <w:r>
              <w:t xml:space="preserve"> </w:t>
            </w:r>
            <w:r>
              <w:t xml:space="preserve">Award / Market cap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0.0071***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(32.40)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(10.44)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(30.87)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ln(Award $M)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(-0.22)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ln(Market cap $M)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-0.0134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(-1.48)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-0.0164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(0.75)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(-0.83)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0.797</w:t>
            </w:r>
          </w:p>
        </w:tc>
      </w:tr>
    </w:tbl>
    <w:bookmarkEnd w:id="34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 is CAR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 Columns:</w:t>
      </w:r>
      <w:r>
        <w:t xml:space="preserve"> </w:t>
      </w:r>
      <w:r>
        <w:t xml:space="preserve">(1) regressor is ln(Award); (2) Award/Market cap; (3) Award/Market cap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ln(Market cap);</w:t>
      </w:r>
      <w:r>
        <w:t xml:space="preserve"> </w:t>
      </w:r>
      <w:r>
        <w:t xml:space="preserve">(4) Award/Market cap, dropping Wolfspeed (the high-leverage observation); (5) Award/Market</w:t>
      </w:r>
      <w:r>
        <w:t xml:space="preserve"> </w:t>
      </w:r>
      <w:r>
        <w:t xml:space="preserve">cap, dropping the single ADR (TSMC). HC1-robust</w:t>
      </w:r>
      <w:r>
        <w:t xml:space="preserve"> </w:t>
      </w:r>
      <m:oMath>
        <m:r>
          <m:t>t</m:t>
        </m:r>
      </m:oMath>
      <w:r>
        <w:t xml:space="preserve">-statistics in parentheses. The column-2</w:t>
      </w:r>
      <w:r>
        <w:t xml:space="preserve"> </w:t>
      </w:r>
      <w:r>
        <w:t xml:space="preserve">fit is driven entirely by Wolfspeed—compare column 4 and Figure </w:t>
      </w:r>
      <w:hyperlink w:anchor="fig:scatter">
        <w:r>
          <w:rPr>
            <w:rStyle w:val="Hyperlink"/>
          </w:rPr>
          <w:t xml:space="preserve">2</w:t>
        </w:r>
      </w:hyperlink>
      <w:r>
        <w:t xml:space="preserve">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5" w:name="tab:robust"/>
    <w:p>
      <w:pPr>
        <w:pStyle w:val="TableCaption"/>
      </w:pPr>
      <w:r>
        <w:t xml:space="preserve">Outlier-robust Spearman rank correlations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utlier-robust Spearman rank correlatio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Dep. var.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Spearman</w:t>
            </w:r>
            <w: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CAR[-1,+1]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Award/Mktcap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(N=15)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CAR[-1,+1]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Award/Mktcap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confound (N=14)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CAR[-1,+1]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Award/Mktcap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Wolfspeed (N=14)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CAR[-1,+1]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ln(Award)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(N=15)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CAR[-1,+1]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ln(Award)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confound (N=14)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CAR[-1,+1]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ln(Award)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Wolfspeed (N=14)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Award/Mktcap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(N=15)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Award/Mktcap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confound (N=14)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Award/Mktcap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Wolfspeed (N=14)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ln(Award)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(N=15)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ln(Award)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confound (N=14)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ln(Award)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Wolfspeed (N=14)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0.714</w:t>
            </w:r>
          </w:p>
        </w:tc>
      </w:tr>
    </w:tbl>
    <w:bookmarkEnd w:id="35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Spearman rank correlation between the CAR and</w:t>
      </w:r>
      <w:r>
        <w:t xml:space="preserve"> </w:t>
      </w:r>
      <w:r>
        <w:t xml:space="preserve">the size measure, with two-sided</w:t>
      </w:r>
      <w:r>
        <w:t xml:space="preserve"> </w:t>
      </w:r>
      <m:oMath>
        <m:r>
          <m:t>p</m:t>
        </m:r>
      </m:oMath>
      <w:r>
        <w:t xml:space="preserve">-values.</w:t>
      </w:r>
      <w:r>
        <w:t xml:space="preserve"> </w:t>
      </w:r>
      <w:r>
        <w:t xml:space="preserve">“drop confound”</w:t>
      </w:r>
      <w:r>
        <w:t xml:space="preserve"> </w:t>
      </w:r>
      <w:r>
        <w:t xml:space="preserve">excludes Amkor (earnings</w:t>
      </w:r>
      <w:r>
        <w:t xml:space="preserve"> </w:t>
      </w:r>
      <w:r>
        <w:t xml:space="preserve">release inside its window);</w:t>
      </w:r>
      <w:r>
        <w:t xml:space="preserve"> </w:t>
      </w:r>
      <w:r>
        <w:t xml:space="preserve">“drop Wolfspeed”</w:t>
      </w:r>
      <w:r>
        <w:t xml:space="preserve"> </w:t>
      </w:r>
      <w:r>
        <w:t xml:space="preserve">excludes the high-leverage observation.</w:t>
      </w:r>
      <w:r>
        <w:t xml:space="preserve"> </w:t>
      </w:r>
      <w:r>
        <w:t xml:space="preserve">None is significant at the 10% level.</w:t>
      </w:r>
    </w:p>
    <w:bookmarkStart w:id="36" w:name="tab:hetero"/>
    <w:p>
      <w:pPr>
        <w:pStyle w:val="TableCaption"/>
      </w:pPr>
      <w:r>
        <w:t xml:space="preserve">Heterogeneity of the announcement CAR by observable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terogeneity of the announcement CAR by observable characteristics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High/Yes group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Low/No 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(lr)</w:t>
            </w:r>
            <w:r>
              <w:t xml:space="preserve">4-5</w:t>
            </w:r>
            <w:r>
              <w:t xml:space="preserve"> </w:t>
            </w:r>
            <w:r>
              <w:t xml:space="preserve">Moderator (observable)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(%)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Mean (%)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Diff. (%)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Award structure: grant+loan vs grant-only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+6.94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+6.44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size: above vs below median mkt cap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-6.17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Relative award: above vs below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semiconductor (SIC 3674) vs other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+6.70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+6.08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beta: above vs below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+6.21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+6.69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+1.19</w:t>
            </w:r>
          </w:p>
        </w:tc>
      </w:tr>
    </w:tbl>
    <w:bookmarkEnd w:id="36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 is CAR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(%). Each row splits the 15</w:t>
      </w:r>
      <w:r>
        <w:t xml:space="preserve"> </w:t>
      </w:r>
      <w:r>
        <w:t xml:space="preserve">awardees on a pre-determined, observable characteristic and reports the subgroup means, the</w:t>
      </w:r>
      <w:r>
        <w:t xml:space="preserve"> </w:t>
      </w:r>
      <w:r>
        <w:t xml:space="preserve">difference, and a Welch two-sample</w:t>
      </w:r>
      <w:r>
        <w:t xml:space="preserve"> </w:t>
      </w:r>
      <m:oMath>
        <m:r>
          <m:t>t</m:t>
        </m:r>
      </m:oMath>
      <w:r>
        <w:t xml:space="preserve">-test of equal means.</w:t>
      </w:r>
      <w:r>
        <w:t xml:space="preserve"> </w:t>
      </w:r>
      <w:r>
        <w:t xml:space="preserve">“High/Yes”</w:t>
      </w:r>
      <w:r>
        <w:t xml:space="preserve"> </w:t>
      </w:r>
      <w:r>
        <w:t xml:space="preserve">is the grant-plus-loan,</w:t>
      </w:r>
      <w:r>
        <w:t xml:space="preserve"> </w:t>
      </w:r>
      <w:r>
        <w:t xml:space="preserve">above-median-size, above-median-relative-award, SIC-3674, or above-median-beta group,</w:t>
      </w:r>
      <w:r>
        <w:t xml:space="preserve"> </w:t>
      </w:r>
      <w:r>
        <w:t xml:space="preserve">respectively. Provision-level and co-investment characteristics are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used</w:t>
      </w:r>
      <w:r>
        <w:t xml:space="preserve"> </w:t>
      </w:r>
      <w:r>
        <w:t xml:space="preserve">(they are the student’s reserved hand-collected variables). No split is significant.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7" w:name="tab:altmodels"/>
    <w:p>
      <w:pPr>
        <w:pStyle w:val="TableCaption"/>
      </w:pPr>
      <w:r>
        <w:t xml:space="preserve">Robustness to abnormal-return model, estimation window, and test statistic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obustness to abnormal-return model, estimation window, and test statistic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Panel A: mean CAR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across abnormal-return models and estimation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 (%)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-stat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 pos.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model (baseline)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Market-adjusted (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Mean-adjusted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model, est. 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252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+2.63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model, est. 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120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+2.67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8/15</w:t>
            </w:r>
          </w:p>
        </w:tc>
      </w:tr>
    </w:tbl>
    <w:bookmarkEnd w:id="37"/>
    <w:bookmarkStart w:id="38" w:name="tab:altmodels"/>
    <w:p>
      <w:pPr>
        <w:pStyle w:val="TableCaption"/>
      </w:pPr>
      <w:r>
        <w:t xml:space="preserve">Robustness to abnormal-return model, estimation window, and test statistic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obustness to abnormal-return model, estimation window, and test statistic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Panel B: alternative test statistics (market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Cross-sec. 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Patell</w:t>
            </w:r>
            <w:r>
              <w:t xml:space="preserve"> </w:t>
            </w: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BMP</w:t>
            </w:r>
            <w:r>
              <w:t xml:space="preserve"> </w:t>
            </w: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Gen. sign</w:t>
            </w:r>
            <w:r>
              <w:t xml:space="preserve"> </w:t>
            </w: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CAR[-1,+1]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-0.56</w:t>
            </w:r>
          </w:p>
        </w:tc>
      </w:tr>
    </w:tbl>
    <w:bookmarkEnd w:id="38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Panel A reports the mean CAR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w:r>
        <w:t xml:space="preserve">alternative expected-return models (market-adjusted sets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; mean-adjusted uses the</w:t>
      </w:r>
      <w:r>
        <w:t xml:space="preserve"> </w:t>
      </w:r>
      <w:r>
        <w:t xml:space="preserve">estimation-window mean return) and two alternative estimation windows. Panel B reports, for the</w:t>
      </w:r>
      <w:r>
        <w:t xml:space="preserve"> </w:t>
      </w:r>
      <w:r>
        <w:t xml:space="preserve">market-model CARs, the cross-sectional</w:t>
      </w:r>
      <w:r>
        <w:t xml:space="preserve"> </w:t>
      </w:r>
      <m:oMath>
        <m:r>
          <m:t>t</m:t>
        </m:r>
      </m:oMath>
      <w:r>
        <w:t xml:space="preserve">, the standardized</w:t>
      </w:r>
      <w:r>
        <w:t xml:space="preserve"> 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t xml:space="preserve">event-induced-variance-robust</w:t>
      </w:r>
      <w:r>
        <w:t xml:space="preserve"> </w:t>
      </w:r>
      <w:r>
        <w:t xml:space="preserve"> </w:t>
      </w:r>
      <w:r>
        <w:t xml:space="preserve">(BMP)</w:t>
      </w:r>
      <w:r>
        <w:t xml:space="preserve"> </w:t>
      </w:r>
      <m:oMath>
        <m:r>
          <m:t>Z</m:t>
        </m:r>
      </m:oMath>
      <w:r>
        <w:t xml:space="preserve">, and the nonparametric</w:t>
      </w:r>
      <w:r>
        <w:t xml:space="preserve"> </w:t>
      </w:r>
      <w:r>
        <w:t xml:space="preserve"> </w:t>
      </w:r>
      <w:r>
        <w:t xml:space="preserve">generalized-sign</w:t>
      </w:r>
      <w:r>
        <w:t xml:space="preserve"> </w:t>
      </w:r>
      <m:oMath>
        <m:r>
          <m:t>Z</m:t>
        </m:r>
      </m:oMath>
      <w:r>
        <w:t xml:space="preserve">. The average-effect null holds under every model, window,</w:t>
      </w:r>
      <w:r>
        <w:t xml:space="preserve"> </w:t>
      </w:r>
      <w:r>
        <w:t xml:space="preserve">and test.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9" w:name="tab:randinf"/>
    <w:p>
      <w:pPr>
        <w:pStyle w:val="TableCaption"/>
      </w:pPr>
      <w:r>
        <w:t xml:space="preserve">Design-based (randomization) inference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ign-based (randomization) inference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Perm. 95% interval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CAR[-1,+1] (placebo event dates)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CAR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+2.64%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[-3.67, +3.32]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Scaling slope (permuted award 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slope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[-0.0021, +0.0071]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 scaling (permuted award 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</w:t>
            </w:r>
            <w: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+0.3679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[-0.5143, +0.5179]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0.181</w:t>
            </w:r>
          </w:p>
        </w:tc>
      </w:tr>
    </w:tbl>
    <w:bookmarkEnd w:id="39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Each row compares an actual statistic to its</w:t>
      </w:r>
      <w:r>
        <w:t xml:space="preserve"> </w:t>
      </w:r>
      <w:r>
        <w:t xml:space="preserve">distribution under 2</w:t>
      </w:r>
      <w:r>
        <w:t xml:space="preserve">,</w:t>
      </w:r>
      <w:r>
        <w:t xml:space="preserve">000 randomizations. Row 1 assigns all firms a common placebo event timing</w:t>
      </w:r>
      <w:r>
        <w:t xml:space="preserve"> </w:t>
      </w:r>
      <w:r>
        <w:t xml:space="preserve">(drawn so the estimation and event windows fit the CRSP calendar and avoid the true event) and</w:t>
      </w:r>
      <w:r>
        <w:t xml:space="preserve"> </w:t>
      </w:r>
      <w:r>
        <w:t xml:space="preserve">recomputes the mean CAR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 Rows 2–3 permute the award-to-market-cap vector across firms,</w:t>
      </w:r>
      <w:r>
        <w:t xml:space="preserve"> </w:t>
      </w:r>
      <w:r>
        <w:t xml:space="preserve">holding CARs fixed, and recompute the OLS slope and Spearman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“Perm. 95% interval”</w:t>
      </w:r>
      <w:r>
        <w:t xml:space="preserve"> </w:t>
      </w:r>
      <w:r>
        <w:t xml:space="preserve">is</w:t>
      </w:r>
      <w:r>
        <w:t xml:space="preserve"> </w:t>
      </w:r>
      <w:r>
        <w:t xml:space="preserve">the 2.5–97.5 percentile of the permutation distribution; the RI</w:t>
      </w:r>
      <w:r>
        <w:t xml:space="preserve"> </w:t>
      </w:r>
      <m:oMath>
        <m:r>
          <m:t>p</m:t>
        </m:r>
      </m:oMath>
      <w:r>
        <w:t xml:space="preserve">-value is the share of draws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statistic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r>
          <m:rPr>
            <m:nor/>
            <m:sty m:val="p"/>
          </m:rPr>
          <m:t>actual</m:t>
        </m:r>
        <m:r>
          <m:rPr>
            <m:sty m:val="p"/>
          </m:rPr>
          <m:t>|</m:t>
        </m:r>
      </m:oMath>
      <w:r>
        <w:t xml:space="preserve">. The marginal OLS-slope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reflects the single</w:t>
      </w:r>
      <w:r>
        <w:t xml:space="preserve"> </w:t>
      </w:r>
      <w:r>
        <w:t xml:space="preserve">Wolfspeed leverage point, which the outlier-robust rank permutation does not (see</w:t>
      </w:r>
      <w:r>
        <w:t xml:space="preserve"> </w:t>
      </w:r>
      <w:r>
        <w:t xml:space="preserve">Section </w:t>
      </w:r>
      <w:hyperlink w:anchor="sec:randinf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and Figure </w:t>
      </w:r>
      <w:hyperlink w:anchor="fig:randinf">
        <w:r>
          <w:rPr>
            <w:rStyle w:val="Hyperlink"/>
          </w:rPr>
          <w:t xml:space="preserve">3</w:t>
        </w:r>
      </w:hyperlink>
      <w:r>
        <w:t xml:space="preserve">).</w:t>
      </w:r>
    </w:p>
    <w:bookmarkStart w:id="40" w:name="tab:power"/>
    <w:p>
      <w:pPr>
        <w:pStyle w:val="TableCaption"/>
      </w:pPr>
      <w:r>
        <w:t xml:space="preserve">Minimum detectable effects at 80% power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nimum detectable effects at 80% power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CAR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 (%)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MDE(80%)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MDE excl. WOLF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CAR[-1,+1]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CAR[0,+3]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CAR[-1,+5]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CAR[-5,+5]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7.57</w:t>
            </w:r>
          </w:p>
        </w:tc>
      </w:tr>
    </w:tbl>
    <w:bookmarkEnd w:id="40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MDE(80%)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</m:oMath>
      <w:r>
        <w:t xml:space="preserve">SE</w:t>
      </w:r>
      <w:r>
        <w:t xml:space="preserve"> </w:t>
      </w:r>
      <m:oMath>
        <m:r>
          <m:rPr>
            <m:sty m:val="p"/>
          </m:rPr>
          <m:t>≈</m:t>
        </m:r>
        <m:r>
          <m:t>2.80</m:t>
        </m:r>
        <m:r>
          <m:rPr>
            <m:sty m:val="p"/>
          </m:rPr>
          <m:t>×</m:t>
        </m:r>
      </m:oMath>
      <w:r>
        <w:t xml:space="preserve">SE of the mean CAR in each window.</w:t>
      </w:r>
      <w:r>
        <w:t xml:space="preserve"> </w:t>
      </w:r>
      <w:r>
        <w:t xml:space="preserve">“MDE excl. WOLF”</w:t>
      </w:r>
      <w:r>
        <w:t xml:space="preserve"> </w:t>
      </w:r>
      <w:r>
        <w:t xml:space="preserve">recomputes the standard</w:t>
      </w:r>
      <w:r>
        <w:t xml:space="preserve"> </w:t>
      </w:r>
      <w:r>
        <w:t xml:space="preserve">error dropping Wolfspeed, whose</w:t>
      </w:r>
      <w:r>
        <w:t xml:space="preserve"> </w:t>
      </w:r>
      <m:oMath>
        <m:r>
          <m:rPr>
            <m:sty m:val="p"/>
          </m:rPr>
          <m:t>+</m:t>
        </m:r>
        <m:r>
          <m:t>36</m:t>
        </m:r>
        <m:r>
          <m:rPr>
            <m:sty m:val="p"/>
          </m:rPr>
          <m:t>%</m:t>
        </m:r>
      </m:oMath>
      <w:r>
        <w:t xml:space="preserve"> </w:t>
      </w:r>
      <w:r>
        <w:t xml:space="preserve">reaction inflates the cross-sectional dispersion. A small</w:t>
      </w:r>
      <w:r>
        <w:t xml:space="preserve"> </w:t>
      </w:r>
      <w:r>
        <w:t xml:space="preserve">MDE relative to a windfall-sized reaction indicates an informative null.</w:t>
      </w:r>
    </w:p>
    <w:bookmarkStart w:id="41" w:name="tab:events"/>
    <w:p>
      <w:pPr>
        <w:pStyle w:val="TableCaption"/>
      </w:pPr>
      <w:r>
        <w:t xml:space="preserve">Event-level CARs (all 15 awardees)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Event-level CARs (all 15 awardees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Award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Mkt 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Award/cap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CAR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($M)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[-1,+1]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[0,+3]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2024-10-15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2024-10-17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2024-02-19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2024-04-25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123,782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2024-03-20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179,001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TSM</w:t>
            </w:r>
            <m:oMath>
              <m:sSup>
                <m:e>
                  <m:r>
                    <m:t>​</m:t>
                  </m:r>
                </m:e>
                <m:sup>
                  <m:r>
                    <m:t>a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2024-04-08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AMKR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2024-07-26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2024-06-11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184,371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2024-06-26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2024-08-27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2024-11-08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</w:t>
            </w:r>
          </w:p>
        </w:tc>
      </w:tr>
    </w:tbl>
    <w:bookmarkEnd w:id="41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Sorted by award/market-cap. CARs in percent.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earnings release inside the event window (Amkor).</w:t>
      </w:r>
      <w:r>
        <w:t xml:space="preserve"> </w:t>
      </w:r>
      <m:oMath>
        <m:sSup>
          <m:e>
            <m:r>
              <m:t>​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ADR (TSMC), whose CRSP</w:t>
      </w:r>
      <w:r>
        <w:t xml:space="preserve"> </w:t>
      </w:r>
      <w:r>
        <w:t xml:space="preserve">market cap reflects only the ADR float.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the market-model beta.</w:t>
      </w:r>
    </w:p>
    <w:bookmarkStart w:id="45" w:name="fig:windows"/>
    <w:p>
      <w:pPr>
        <w:pStyle w:val="CaptionedFigure"/>
      </w:pPr>
      <w:r>
        <w:drawing>
          <wp:inline>
            <wp:extent cx="4267200" cy="280150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2_car_windows.pdf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01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CHIPS-award announcement CAR by event window, with 95% confidence intervals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). Every window’s interval spans zero.</w:t>
      </w:r>
    </w:p>
    <w:bookmarkEnd w:id="45"/>
    <w:bookmarkStart w:id="49" w:name="fig:scatter"/>
    <w:p>
      <w:pPr>
        <w:pStyle w:val="CaptionedFigure"/>
      </w:pPr>
      <w:r>
        <w:drawing>
          <wp:inline>
            <wp:extent cx="4267200" cy="293138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1_car_vs_award.pdf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31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Three-day announcement CAR versus the award-to-market-cap ratio. The solid line is</w:t>
      </w:r>
      <w:r>
        <w:t xml:space="preserve"> </w:t>
      </w:r>
      <w:r>
        <w:t xml:space="preserve">the OLS fit over all 15 firms; the dashed line excludes Wolfspeed (the point at the far</w:t>
      </w:r>
      <w:r>
        <w:t xml:space="preserve"> </w:t>
      </w:r>
      <w:r>
        <w:t xml:space="preserve">right). The apparent</w:t>
      </w:r>
      <w:r>
        <w:t xml:space="preserve"> </w:t>
      </w:r>
      <w:r>
        <w:t xml:space="preserve">“scaling with size”</w:t>
      </w:r>
      <w:r>
        <w:t xml:space="preserve"> </w:t>
      </w:r>
      <w:r>
        <w:t xml:space="preserve">relationship is a single-observation</w:t>
      </w:r>
      <w:r>
        <w:t xml:space="preserve"> </w:t>
      </w:r>
      <w:r>
        <w:t xml:space="preserve">artifact.</w:t>
      </w:r>
    </w:p>
    <w:bookmarkEnd w:id="49"/>
    <w:bookmarkStart w:id="53" w:name="fig:randinf"/>
    <w:p>
      <w:pPr>
        <w:pStyle w:val="CaptionedFigure"/>
      </w:pPr>
      <w:r>
        <w:drawing>
          <wp:inline>
            <wp:extent cx="5227320" cy="209092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3_randinf.pdf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09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Randomization inference. Panel (a): the distribution of the 15-firm mean CAR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 2</w:t>
      </w:r>
      <w:r>
        <w:t xml:space="preserve">,</w:t>
      </w:r>
      <w:r>
        <w:t xml:space="preserve">000 placebo event dates; the actual</w:t>
      </w:r>
      <w:r>
        <w:t xml:space="preserve"> </w:t>
      </w:r>
      <m:oMath>
        <m:r>
          <m:rPr>
            <m:sty m:val="p"/>
          </m:rPr>
          <m:t>+</m:t>
        </m:r>
        <m:r>
          <m:t>2.6</m:t>
        </m:r>
        <m:r>
          <m:rPr>
            <m:sty m:val="p"/>
          </m:rPr>
          <m:t>%</m:t>
        </m:r>
      </m:oMath>
      <w:r>
        <w:t xml:space="preserve"> </w:t>
      </w:r>
      <w:r>
        <w:t xml:space="preserve">(red line) lies well inside the</w:t>
      </w:r>
      <w:r>
        <w:t xml:space="preserve"> </w:t>
      </w:r>
      <w:r>
        <w:t xml:space="preserve">distribution (design-based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0.14</m:t>
        </m:r>
      </m:oMath>
      <w:r>
        <w:t xml:space="preserve">). Panel (b): the distribution of the cross-sectional OLS slope</w:t>
      </w:r>
      <w:r>
        <w:t xml:space="preserve"> </w:t>
      </w:r>
      <w:r>
        <w:t xml:space="preserve">under 2</w:t>
      </w:r>
      <w:r>
        <w:t xml:space="preserve">,</w:t>
      </w:r>
      <w:r>
        <w:t xml:space="preserve">000 permutations of the award-size vector; the actual slope lies in the right tail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0.02</m:t>
        </m:r>
      </m:oMath>
      <w:r>
        <w:t xml:space="preserve">), but this reflects the single Wolfspeed alignment—the outlier-robust rank permutation</w:t>
      </w:r>
      <w:r>
        <w:t xml:space="preserve"> </w:t>
      </w:r>
      <w:r>
        <w:t xml:space="preserve">gives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0.18</m:t>
        </m:r>
      </m:oMath>
      <w:r>
        <w:t xml:space="preserve"> </w:t>
      </w:r>
      <w:r>
        <w:t xml:space="preserve">(Table </w:t>
      </w:r>
      <w:hyperlink w:anchor="tab:randinf">
        <w:r>
          <w:rPr>
            <w:rStyle w:val="Hyperlink"/>
          </w:rPr>
          <w:t xml:space="preserve">8</w:t>
        </w:r>
      </w:hyperlink>
      <w:r>
        <w:t xml:space="preserve">).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Coauthorship is provisional: the student is listed as a coauthor and authorship is confirmed upon completing the reserved hand-collection contribution (Task 1 in</w:t>
      </w:r>
      <w:r>
        <w:t xml:space="preserve"> </w:t>
      </w:r>
      <w:r>
        <w:rPr>
          <w:rStyle w:val="VerbatimChar"/>
        </w:rPr>
        <w:t xml:space="preserve">STUDENT_TASKS.md</w:t>
      </w:r>
      <w:r>
        <w:t xml:space="preserve">). A note on author order and status: the student is listed first here as a program convention, but in finance and economics published author order is conventionally alphabetical; all authorship on this draft is tentative and specific to the ASSIP 2026 program at this stage.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Tang: ASSIP 2026, George Mason University.</w:t>
      </w:r>
      <w:r>
        <w:t xml:space="preserve"> </w:t>
      </w:r>
      <w:r>
        <w:t xml:space="preserve">Gao (corresponding author): Costello College of Business, George Mason University,</w:t>
      </w:r>
      <w:r>
        <w:t xml:space="preserve"> </w:t>
      </w:r>
      <w:r>
        <w:rPr>
          <w:rStyle w:val="VerbatimChar"/>
        </w:rPr>
        <w:t xml:space="preserve">lgao9@gmu.edu</w:t>
      </w:r>
      <w:r>
        <w:t xml:space="preserve">. This is a student–faculty working paper prepared in the ASSIP 2026</w:t>
      </w:r>
      <w:r>
        <w:t xml:space="preserve"> </w:t>
      </w:r>
      <w:r>
        <w:t xml:space="preserve">Empirical Finance research group. All returns use public WRDS/CRSP daily data; award dates and</w:t>
      </w:r>
      <w:r>
        <w:t xml:space="preserve"> </w:t>
      </w:r>
      <w:r>
        <w:t xml:space="preserve">amounts are hand-collected from U.S. Department of Commerce and NIST CHIPS Program Office press</w:t>
      </w:r>
      <w:r>
        <w:t xml:space="preserve"> </w:t>
      </w:r>
      <w:r>
        <w:t xml:space="preserve">releases. Every number in the paper traces to a CSV in</w:t>
      </w:r>
      <w:r>
        <w:t xml:space="preserve"> </w:t>
      </w:r>
      <w:r>
        <w:rPr>
          <w:rStyle w:val="VerbatimChar"/>
        </w:rPr>
        <w:t xml:space="preserve">output/tables/</w:t>
      </w:r>
      <w:r>
        <w:t xml:space="preserve"> </w:t>
      </w:r>
      <w:r>
        <w:t xml:space="preserve">and is reproduced</w:t>
      </w:r>
      <w:r>
        <w:t xml:space="preserve"> </w:t>
      </w:r>
      <w:r>
        <w:t xml:space="preserve">by the code in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; no numbers are fabricated, and where the result is a null it is</w:t>
      </w:r>
      <w:r>
        <w:t xml:space="preserve"> </w:t>
      </w:r>
      <w:r>
        <w:t xml:space="preserve">reported as such. We thank the ASSIP 2026 cohort for comments. Any errors are our own.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df" /><Relationship Type="http://schemas.openxmlformats.org/officeDocument/2006/relationships/image" Id="rId42" Target="media/rId42.pdf" /><Relationship Type="http://schemas.openxmlformats.org/officeDocument/2006/relationships/image" Id="rId50" Target="media/rId50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Priced In? Stock-Market Reactions to CHIPS Act Award Announcements</dc:title>
  <dc:creator>Alexander Li Tang; Lei Gao</dc:creator>
  <cp:keywords/>
  <dcterms:created xsi:type="dcterms:W3CDTF">2026-07-30T07:33:19Z</dcterms:created>
  <dcterms:modified xsi:type="dcterms:W3CDTF">2026-07-30T07:33:19Z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The 2022 CHIPS and Science Act directed tens of billions of dollars in manufacturing subsidies to semiconductor firms, disbursed through a sequence of company-specific award announcements in 2024. We ask whether these announcements moved the awardees’ stock prices, and whether the reaction scaled with award size. Using a market-model event study on 15 publicly-traded U.S. awardees, we find no statistically significant average abnormal return around the first (“preliminary terms”) announcement: the mean cumulative abnormal return over [-1,+1] is +2.6\% (t=0.99), the median is +0.5\%, only 8 of 15 reactions are positive, and a pre-event placebo window is if anything negative. The null is invariant to the abnormal-return model (market model, market-adjusted, mean-adjusted) and to a battery of standardized and nonparametric test statistics (Patell, Boehmer–Musumeci–Poulsen, generalized sign). A naive cross-sectional regression suggests the announcement return rises steeply with the award’s size relative to firm market capitalization (OLS slope t=32, R^2=0.80), but this is entirely an artifact of a single distressed micro-cap, Wolfspeed, whose $750M award equalled 52% of its market value: dropping it collapses the slope to t=1.0 (R^2=0.04), and the outlier-robust Spearman rank correlation is only 0.37 (p=0.18). Two additions push past the usual “we found nothing” event study. First, randomization inference—2,000 placebo event dates and 2,000 permutations of the award-size vector—confirms both halves of the story from a design-based standpoint: the mean CAR sits comfortably inside the placebo distribution (design-based p=0.14), and the only statistic that flags the “scaling” effect is the non-robust OLS slope, which inherits the single Wolfspeed alignment (p=0.02) while the outlier-robust rank permutation cannot reject the null (p=0.18). Second, a minimum-detectable-effect analysis makes the small-sample limitation precise: a full-windfall benchmark implies an average reaction equal to the mean award-to-market-cap ratio (5.9\% across all firms, 2.6\% excluding Wolfspeed), and both lie below our 80%-power MDE of 7.5\% (3.7\% excluding Wolfspeed), so we do not claim to reject a windfall average on power alone. The evidence for “priced in” is instead the configuration of the point estimates—excluding the single distressed leverage point the mean reaction is 0.3\%, and no firm but Wolfspeed shows the one-for-one pass-through a windfall requires. We conclude that CHIPS awards were, on the evidence, largely anticipated and priced in, and that a cost-share grant tied to mandatory private co-investment need not be a windfall for equity holders—while being explicit that 15 events cannot decisively exclude a modest windfall. JEL: G14, G12, G38, H81, L52, O25. Keywords: event study, CHIPS Act, industrial policy, government subsidies, semiconductors, market efficiency, anticipation, randomization inference, statistical power.</vt:lpwstr>
  </property>
  <property fmtid="{D5CDD505-2E9C-101B-9397-08002B2CF9AE}" pid="3" name="date">
    <vt:lpwstr>July 2026</vt:lpwstr>
  </property>
</Properties>
</file>