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Likert</w:t>
      </w:r>
      <w:r>
        <w:t xml:space="preserve"> </w:t>
      </w:r>
      <w:r>
        <w:t xml:space="preserve">Scale</w:t>
      </w:r>
      <w:r>
        <w:t xml:space="preserve"> </w:t>
      </w:r>
      <w:r>
        <w:t xml:space="preserve">Dual</w:t>
      </w:r>
      <w:r>
        <w:t xml:space="preserve"> </w:t>
      </w:r>
      <w:r>
        <w:t xml:space="preserve">Response</w:t>
      </w:r>
      <w:r>
        <w:t xml:space="preserve"> </w:t>
      </w:r>
      <w:r>
        <w:t xml:space="preserve">in</w:t>
      </w:r>
      <w:r>
        <w:t xml:space="preserve"> </w:t>
      </w:r>
      <w:r>
        <w:t xml:space="preserve">Conjoint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Prachi</w:t>
      </w:r>
      <w:r>
        <w:t xml:space="preserve"> </w:t>
      </w:r>
      <w:r>
        <w:t xml:space="preserve">Bhalerao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Bradlow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Yavorsky</w:t>
      </w:r>
    </w:p>
    <w:p>
      <w:pPr>
        <w:pStyle w:val="Date"/>
      </w:pPr>
      <w:r>
        <w:t xml:space="preserve">2024-04-11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Write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here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dyavorsky.github.io/likert_dualrespons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dyavorsky.github.io/likert_dualrespons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Likert Scale Dual Response in Conjoint Analysis</dc:title>
  <dc:creator>Prachi Bhalerao; Eric Bradlow; Dan Yavorsky</dc:creator>
  <cp:keywords>choice-based conjoint analysis,, stated preference elicitation,, discrete choice methods</cp:keywords>
  <dcterms:created xsi:type="dcterms:W3CDTF">2024-04-11T22:15:50Z</dcterms:created>
  <dcterms:modified xsi:type="dcterms:W3CDTF">2024-04-11T22:15:50Z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Write the abstract here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Add the plain language summary here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