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市场投资洞察报告</w:t>
      </w:r>
    </w:p>
    <w:p>
      <w:pPr>
        <w:jc w:val="center"/>
      </w:pPr>
      <w:r>
        <w:rPr>
          <w:color w:val="808080"/>
          <w:sz w:val="24"/>
        </w:rPr>
        <w:t>2026年02月23日 - 2026年03月01日</w:t>
      </w:r>
    </w:p>
    <w:p/>
    <w:p>
      <w:pPr>
        <w:pStyle w:val="Heading1"/>
      </w:pPr>
      <w:r>
        <w:t>一、国内外政策与宏观事件</w:t>
      </w:r>
    </w:p>
    <w:p>
      <w:r>
        <w:t>本周全球宏观政策保持相对稳定。美联储维持利率不变，市场预期2026年第二季度可能开启降息周期。国内方面，稳增长政策持续发力，基建投资保持较高增速。</w:t>
      </w:r>
    </w:p>
    <w:p>
      <w:pPr>
        <w:pStyle w:val="Heading2"/>
      </w:pPr>
      <w:r>
        <w:t>重点事件:</w:t>
      </w:r>
    </w:p>
    <w:p>
      <w:pPr>
        <w:pStyle w:val="ListBullet"/>
      </w:pPr>
      <w:r>
        <w:t>• 美联储会议纪要：维持利率5.25%-5.50%区间</w:t>
      </w:r>
    </w:p>
    <w:p>
      <w:pPr>
        <w:pStyle w:val="ListBullet"/>
      </w:pPr>
      <w:r>
        <w:t>• 中国PMI数据：制造业PMI回升至50.2，重返扩张区间</w:t>
      </w:r>
    </w:p>
    <w:p>
      <w:pPr>
        <w:pStyle w:val="ListBullet"/>
      </w:pPr>
      <w:r>
        <w:t>• 欧洲央行：维持存款便利利率4.00%不变</w:t>
      </w:r>
    </w:p>
    <w:p>
      <w:pPr>
        <w:pStyle w:val="Heading1"/>
      </w:pPr>
      <w:r>
        <w:t>二、投资大佬动向</w:t>
      </w:r>
    </w:p>
    <w:p>
      <w:pPr>
        <w:pStyle w:val="Heading2"/>
      </w:pPr>
      <w:r>
        <w:t>巴菲特（长期价值 - 权重30%）</w:t>
      </w:r>
    </w:p>
    <w:p>
      <w:r>
        <w:t>伯克希尔·哈撒韦继续增持西方石油公司(OXY)股份，持仓比例突破28%。巴菲特看好能源板块的长期价值，尤其是具备稳定现金流的传统能源企业。</w:t>
      </w:r>
    </w:p>
    <w:p>
      <w:pPr>
        <w:pStyle w:val="Heading2"/>
      </w:pPr>
      <w:r>
        <w:t>木头姐（科技创新 - 权重25%）</w:t>
      </w:r>
    </w:p>
    <w:p>
      <w:r>
        <w:t>ARK Innovation ETF (ARKK) 增持AI芯片相关标的，包括NVIDIA和AMD。木头姐认为AI革命仍处于早期阶段，看好算力基础设施的长期增长。</w:t>
      </w:r>
    </w:p>
    <w:p>
      <w:pPr>
        <w:pStyle w:val="Heading2"/>
      </w:pPr>
      <w:r>
        <w:t>达里奥（宏观对冲 - 权重20%）</w:t>
      </w:r>
    </w:p>
    <w:p>
      <w:r>
        <w:t>桥水基金维持对黄金的超配，同时增加新兴市场债券配置。达里奥警告美国债务问题可能引发美元贬值，建议分散化配置。</w:t>
      </w:r>
    </w:p>
    <w:p>
      <w:pPr>
        <w:pStyle w:val="Heading1"/>
      </w:pPr>
      <w:r>
        <w:t>三、社交平台策略共识挖掘</w:t>
      </w:r>
    </w:p>
    <w:p>
      <w:pPr>
        <w:pStyle w:val="Heading2"/>
      </w:pPr>
      <w:r>
        <w:t>Reddit (r/wallstreetbets)</w:t>
      </w:r>
    </w:p>
    <w:p>
      <w:r>
        <w:t>• 热议标的：NVDA, TSLA, PLTR</w:t>
      </w:r>
    </w:p>
    <w:p>
      <w:r>
        <w:t>• 市场情绪：乐观，AI主题持续发酵</w:t>
      </w:r>
    </w:p>
    <w:p>
      <w:pPr>
        <w:pStyle w:val="Heading2"/>
      </w:pPr>
      <w:r>
        <w:t>Twitter/X 财经大V</w:t>
      </w:r>
    </w:p>
    <w:p>
      <w:r>
        <w:t>• 共识观点：看好科技股回调后的布局机会</w:t>
      </w:r>
    </w:p>
    <w:p>
      <w:r>
        <w:t>• 分歧点：是否已见短期顶部</w:t>
      </w:r>
    </w:p>
    <w:p>
      <w:pPr>
        <w:pStyle w:val="Heading1"/>
      </w:pPr>
      <w:r>
        <w:t>四、市场错杀机会分析</w:t>
      </w:r>
    </w:p>
    <w:p>
      <w:pPr>
        <w:pStyle w:val="Heading2"/>
      </w:pPr>
      <w:r>
        <w:t>黄金（GLD）</w:t>
      </w:r>
    </w:p>
    <w:p>
      <w:r>
        <w:t>近期因美元走强短期回调，但长期逻辑未变。建议：$180-$185区间分批建仓，目标$200+。</w:t>
      </w:r>
    </w:p>
    <w:p>
      <w:pPr>
        <w:pStyle w:val="Heading2"/>
      </w:pPr>
      <w:r>
        <w:t>比特币（IBIT）</w:t>
      </w:r>
    </w:p>
    <w:p>
      <w:r>
        <w:t>比特币ETF持续流入，机构配置意愿增强。建议：关注$40,000支撑位，回调即布局机会。</w:t>
      </w:r>
    </w:p>
    <w:p>
      <w:pPr>
        <w:pStyle w:val="Heading1"/>
      </w:pPr>
      <w:r>
        <w:t>五、华尔街投行观点</w:t>
      </w:r>
    </w:p>
    <w:p>
      <w:pPr>
        <w:pStyle w:val="Heading2"/>
      </w:pPr>
      <w:r>
        <w:t>高盛（Goldman Sachs）</w:t>
      </w:r>
    </w:p>
    <w:p>
      <w:r>
        <w:t>• 维持2026年标普500目标位5200点</w:t>
      </w:r>
    </w:p>
    <w:p>
      <w:r>
        <w:t>• 看好AI、医疗科技、清洁能源板块</w:t>
      </w:r>
    </w:p>
    <w:p>
      <w:pPr>
        <w:pStyle w:val="Heading2"/>
      </w:pPr>
      <w:r>
        <w:t>摩根士丹利（Morgan Stanley）</w:t>
      </w:r>
    </w:p>
    <w:p>
      <w:r>
        <w:t>• 建议超配美股，低配欧洲股市</w:t>
      </w:r>
    </w:p>
    <w:p>
      <w:r>
        <w:t>• 警惕地缘政治风险对新兴市场的冲击</w:t>
      </w:r>
    </w:p>
    <w:p>
      <w:pPr>
        <w:pStyle w:val="Heading1"/>
      </w:pPr>
      <w:r>
        <w:t>投资建议总结</w:t>
      </w:r>
    </w:p>
    <w:p>
      <w:pPr>
        <w:pStyle w:val="ListBullet"/>
      </w:pPr>
      <w:r>
        <w:t>• 核心配置：科技股（AI芯片、云计算）+ 黄金 + 比特币</w:t>
      </w:r>
    </w:p>
    <w:p>
      <w:pPr>
        <w:pStyle w:val="ListBullet"/>
      </w:pPr>
      <w:r>
        <w:t>• 战术配置：能源股（等待回调）、医疗科技（长期布局）</w:t>
      </w:r>
    </w:p>
    <w:p>
      <w:pPr>
        <w:pStyle w:val="ListBullet"/>
      </w:pPr>
      <w:r>
        <w:t>• 风险对冲：保持10-15%现金仓位，应对短期波动</w:t>
      </w:r>
    </w:p>
    <w:p>
      <w:pPr>
        <w:pStyle w:val="ListBullet"/>
      </w:pPr>
      <w:r>
        <w:t>• 时间窗口：Q2可能是全年最佳布局窗口</w:t>
      </w:r>
    </w:p>
    <w:p/>
    <w:p>
      <w:pPr>
        <w:jc w:val="center"/>
      </w:pPr>
      <w:r>
        <w:rPr>
          <w:i/>
          <w:color w:val="808080"/>
          <w:sz w:val="18"/>
        </w:rPr>
        <w:br/>
        <w:t>免责声明：本报告仅供参考，不构成投资建议。投资有风险，入市需谨慎。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