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57BD" w14:textId="77777777" w:rsidR="00276D2A" w:rsidRDefault="00000000">
      <w:pPr>
        <w:pStyle w:val="a8"/>
        <w:autoSpaceDE w:val="0"/>
        <w:autoSpaceDN w:val="0"/>
        <w:snapToGrid w:val="0"/>
        <w:spacing w:line="460" w:lineRule="exact"/>
        <w:jc w:val="center"/>
        <w:rPr>
          <w:lang w:eastAsia="ko-KR"/>
        </w:rPr>
      </w:pPr>
      <w:r>
        <w:rPr>
          <w:rFonts w:ascii="Gulim" w:eastAsia="Gulim" w:hAnsi="Gulim" w:cs="Gulim"/>
          <w:b/>
          <w:sz w:val="35"/>
          <w:lang w:eastAsia="ko-KR"/>
        </w:rPr>
        <w:t>현대적 저수준 그래픽스 API 기반</w:t>
        <w:br/>
        <w:t>멀티플랫폼 GPU 렌더링 프레임워크</w:t>
      </w:r>
    </w:p>
    <w:p w14:paraId="2059C64D" w14:textId="77777777" w:rsidR="00276D2A" w:rsidRDefault="00000000">
      <w:pPr>
        <w:pStyle w:val="a9"/>
        <w:autoSpaceDE w:val="0"/>
        <w:autoSpaceDN w:val="0"/>
        <w:snapToGrid w:val="0"/>
        <w:spacing w:after="160" w:line="500" w:lineRule="exact"/>
        <w:jc w:val="center"/>
      </w:pPr>
      <w:r>
        <w:rPr>
          <w:rFonts w:ascii="Gulim" w:eastAsia="Gulim" w:hAnsi="Gulim" w:cs="Gulim"/>
          <w:b/>
          <w:sz w:val="40"/>
        </w:rPr>
        <w:t>dy_framework</w:t>
      </w:r>
    </w:p>
    <w:tbl>
      <w:tblPr>
        <w:tblW w:w="9638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2500"/>
        <w:gridCol w:w="1140"/>
        <w:gridCol w:w="4818"/>
      </w:tblGrid>
      <w:tr w:rsidR="00276D2A" w14:paraId="51977800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94D3E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팀  명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5121F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DyD</w:t>
            </w:r>
          </w:p>
        </w:tc>
        <w:tc>
          <w:tcPr>
            <w:tcW w:w="11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51DDB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학  과</w:t>
            </w:r>
          </w:p>
        </w:tc>
        <w:tc>
          <w:tcPr>
            <w:tcW w:w="48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7384B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컴퓨터소프트웨어공학과 C반</w:t>
            </w:r>
          </w:p>
        </w:tc>
      </w:tr>
      <w:tr w:rsidR="00276D2A" w14:paraId="3913B2F1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3816D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팀  원</w:t>
            </w:r>
          </w:p>
        </w:tc>
        <w:tc>
          <w:tcPr>
            <w:tcW w:w="8458" w:type="dxa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8FBE1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한재승(팀장), 윤훈, 정현진, 정준혁</w:t>
            </w:r>
          </w:p>
        </w:tc>
      </w:tr>
      <w:tr w:rsidR="00276D2A" w14:paraId="33BE9997" w14:textId="77777777">
        <w:trPr>
          <w:cantSplit/>
          <w:jc w:val="center"/>
        </w:trPr>
        <w:tc>
          <w:tcPr>
            <w:tcW w:w="11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496FA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지도교수</w:t>
            </w:r>
          </w:p>
        </w:tc>
        <w:tc>
          <w:tcPr>
            <w:tcW w:w="8458" w:type="dxa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BCF9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</w:pPr>
            <w:r>
              <w:rPr>
                <w:sz w:val="19"/>
              </w:rPr>
              <w:t>정석용</w:t>
            </w:r>
          </w:p>
        </w:tc>
      </w:tr>
    </w:tbl>
    <w:p w14:paraId="3216F65F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  <w:rPr>
          <w:lang w:eastAsia="ko-KR"/>
        </w:rPr>
      </w:pPr>
      <w:r>
        <w:rPr>
          <w:rFonts w:ascii="Gulim" w:eastAsia="Gulim" w:hAnsi="Gulim" w:cs="Gulim"/>
          <w:sz w:val="25"/>
          <w:lang w:eastAsia="ko-KR"/>
        </w:rPr>
        <w:t>1. 작품의 개요 - 개발 배경과 필요성</w:t>
      </w:r>
    </w:p>
    <w:p w14:paraId="35F65D0D" w14:textId="77777777" w:rsidR="00276D2A" w:rsidRDefault="00000000">
      <w:pPr>
        <w:autoSpaceDE w:val="0"/>
        <w:autoSpaceDN w:val="0"/>
        <w:snapToGrid w:val="0"/>
        <w:spacing w:after="140" w:line="320" w:lineRule="exact"/>
        <w:rPr>
          <w:lang w:eastAsia="ko-KR"/>
        </w:rPr>
      </w:pPr>
      <w:r>
        <w:rPr>
          <w:b/>
          <w:sz w:val="23"/>
          <w:lang w:eastAsia="ko-KR"/>
        </w:rPr>
        <w:t>AI 시대의 핵심 연산 자원, GPU.</w:t>
      </w:r>
      <w:r>
        <w:rPr>
          <w:b/>
          <w:sz w:val="23"/>
          <w:lang w:eastAsia="ko-KR"/>
        </w:rPr>
        <w:br/>
        <w:t>그 가능성을 활용하려면 개발 기반도 달라져야 한다.</w:t>
      </w:r>
    </w:p>
    <w:p w14:paraId="475C7A96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인공지능의 학습과 추론, 과학 시뮬레이션, 실시간 그래픽스까지 GPU를 활용하는 분야가 넓어지고 있다. 대량의 데이터를 빠르게 계산하는 GPU의 성능을 끌어내려면, 소프트웨어도 데이터의 배치와 전달, 작업의 실행 순서를 함께 설계해야 한다.</w:t>
      </w:r>
    </w:p>
    <w:p w14:paraId="41D7B58B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그러나 GPU를 세밀하게 제어하는 Vulkan·Direct3D 12·Metal은 자원 관리와 명령 실행 방식이 서로 다르다. 여러 플랫폼을 지원하려면 각 API의 규칙을 이해하고 구현을 따로 유지해야 한다.</w:t>
      </w:r>
    </w:p>
    <w:p w14:paraId="0B5C624D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여러 운영체제에서 실행되는 것과 각 환경의 GPU를 일관된 방식으로 제어하는 것은 서로 다른 과제다. 플랫폼 간 이식성을 확보하면서도 GPU 자원과 실행에 대한 제어권을 유지할 수 있는 공통 기반이 필요하다.</w:t>
      </w:r>
    </w:p>
    <w:p w14:paraId="7233DE6A" w14:textId="77777777" w:rsidR="00276D2A" w:rsidRDefault="00000000">
      <w:pPr>
        <w:autoSpaceDE w:val="0"/>
        <w:autoSpaceDN w:val="0"/>
        <w:snapToGrid w:val="0"/>
        <w:spacing w:after="120" w:line="360" w:lineRule="exact"/>
        <w:jc w:val="both"/>
        <w:rPr>
          <w:lang w:eastAsia="ko-KR"/>
        </w:rPr>
      </w:pPr>
      <w:r>
        <w:rPr>
          <w:lang w:eastAsia="ko-KR"/>
        </w:rPr>
        <w:t>dy_framework는 이러한 차이를 다루는 C++ 렌더링 프레임워크다. GPU 자원과 명령을 직접 제어할 수 있는 공통 RHI를 제공하고, Vulkan·Direct3D 12·Metal의 구현을 백엔드로 분리했다.</w:t>
      </w:r>
    </w:p>
    <w:p w14:paraId="4AE87C6C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</w:pPr>
      <w:r>
        <w:rPr>
          <w:rFonts w:ascii="Gulim" w:eastAsia="Gulim" w:hAnsi="Gulim" w:cs="Gulim"/>
          <w:sz w:val="25"/>
        </w:rPr>
        <w:t>2. 작품의 구성</w:t>
      </w:r>
    </w:p>
    <w:tbl>
      <w:tblPr>
        <w:tblW w:w="9638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538"/>
      </w:tblGrid>
      <w:tr w:rsidR="00276D2A" w14:paraId="7EEB1FCA" w14:textId="77777777">
        <w:trPr>
          <w:cantSplit/>
          <w:jc w:val="center"/>
        </w:trPr>
        <w:tc>
          <w:tcPr>
            <w:tcW w:w="21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A1513" w14:textId="77777777" w:rsidR="00276D2A" w:rsidRDefault="00000000">
            <w:pPr>
              <w:autoSpaceDE w:val="0"/>
              <w:autoSpaceDN w:val="0"/>
              <w:snapToGrid w:val="0"/>
              <w:spacing w:line="280" w:lineRule="exact"/>
              <w:jc w:val="center"/>
            </w:pPr>
            <w:r>
              <w:rPr>
                <w:b/>
                <w:sz w:val="21"/>
              </w:rPr>
              <w:t>구성 요소</w:t>
            </w:r>
          </w:p>
        </w:tc>
        <w:tc>
          <w:tcPr>
            <w:tcW w:w="7538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4B93" w14:textId="77777777" w:rsidR="00276D2A" w:rsidRDefault="00000000">
            <w:pPr>
              <w:autoSpaceDE w:val="0"/>
              <w:autoSpaceDN w:val="0"/>
              <w:snapToGrid w:val="0"/>
              <w:spacing w:line="280" w:lineRule="exact"/>
              <w:jc w:val="center"/>
            </w:pPr>
            <w:r>
              <w:rPr>
                <w:b/>
                <w:sz w:val="21"/>
              </w:rPr>
              <w:t>구현 내용</w:t>
            </w:r>
          </w:p>
        </w:tc>
      </w:tr>
      <w:tr w:rsidR="00276D2A" w14:paraId="69456B9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F7CF9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center"/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/>
                <w:color w:val="000000"/>
                <w:sz w:val="21"/>
              </w:rPr>
              <w:t>공통 GPU 제어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A2836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left"/>
              <w:rPr>
                <w:lang w:eastAsia="ko-KR"/>
              </w:rPr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 w:val="0"/>
                <w:color w:val="000000"/>
                <w:sz w:val="21"/>
              </w:rPr>
              <w:t>파이프라인·자원 상태·명령 제출을 공통 RHI에서 명시적으로 관리한다.</w:t>
            </w:r>
          </w:p>
        </w:tc>
      </w:tr>
      <w:tr w:rsidR="00276D2A" w14:paraId="60B50D5F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871A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center"/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/>
                <w:color w:val="000000"/>
                <w:sz w:val="21"/>
              </w:rPr>
              <w:t>플랫폼별 구현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4C4F6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left"/>
              <w:rPr>
                <w:lang w:eastAsia="ko-KR"/>
              </w:rPr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 w:val="0"/>
                <w:color w:val="000000"/>
                <w:sz w:val="21"/>
              </w:rPr>
              <w:t>Vulkan·Direct3D 12·Metal의 파이프라인 생성과 메모리 동기화를 연결한다.</w:t>
            </w:r>
          </w:p>
        </w:tc>
      </w:tr>
      <w:tr w:rsidR="00276D2A" w14:paraId="385B81F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E708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center"/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/>
                <w:color w:val="000000"/>
                <w:sz w:val="21"/>
              </w:rPr>
              <w:t>기술 확장·예제</w:t>
            </w:r>
          </w:p>
        </w:tc>
        <w:tc>
          <w:tcPr>
            <w:tcW w:w="7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D880" w14:textId="77777777" w:rsidR="00276D2A" w:rsidRDefault="00000000">
            <w:pPr>
              <w:keepNext w:val="0"/>
              <w:widowControl/>
              <w:autoSpaceDE w:val="0"/>
              <w:autoSpaceDN w:val="0"/>
              <w:snapToGrid w:val="0"/>
              <w:spacing w:line="280" w:lineRule="exact" w:before="0" w:after="0"/>
              <w:jc w:val="left"/>
              <w:rPr>
                <w:lang w:eastAsia="ko-KR"/>
              </w:rPr>
              <w:snapToGrid w:val="0"/>
              <w:wordWrap w:val="1"/>
              <w:autoSpaceDE w:val="0"/>
              <w:autoSpaceDN w:val="0"/>
              <w:snapToGrid w:val="0"/>
              <w:wordWrap w:val="1"/>
              <w:autoSpaceDE w:val="0"/>
              <w:autoSpaceDN w:val="0"/>
            </w:pPr>
            <w:r>
              <w:rPr>
                <w:rFonts w:ascii="Gulim" w:hAnsi="Gulim" w:eastAsia="Gulim" w:cs="Gulim"/>
                <w:b w:val="0"/>
                <w:color w:val="000000"/>
                <w:sz w:val="21"/>
              </w:rPr>
              <w:t>Mesh Shader 개발 브랜치와 HDR·Bloom·TAA·볼류메트릭 안개 예제를 포함한다.</w:t>
            </w:r>
          </w:p>
        </w:tc>
      </w:tr>
    </w:tbl>
    <w:p w14:paraId="2996986F" w14:textId="77777777" w:rsidR="00276D2A" w:rsidRDefault="00000000">
      <w:pPr>
        <w:pStyle w:val="1"/>
        <w:autoSpaceDE w:val="0"/>
        <w:autoSpaceDN w:val="0"/>
        <w:snapToGrid w:val="0"/>
        <w:spacing w:before="200" w:after="140" w:line="360" w:lineRule="exact"/>
        <w:rPr>
          <w:lang w:eastAsia="ko-KR"/>
        </w:rPr>
      </w:pPr>
      <w:r>
        <w:rPr>
          <w:rFonts w:ascii="Gulim" w:eastAsia="Gulim" w:hAnsi="Gulim" w:cs="Gulim"/>
          <w:sz w:val="25"/>
          <w:lang w:eastAsia="ko-KR"/>
        </w:rPr>
        <w:t>3. 프로젝트 개발환경 및 개발자</w:t>
      </w: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2"/>
        <w:gridCol w:w="1534"/>
        <w:gridCol w:w="1534"/>
        <w:gridCol w:w="1534"/>
        <w:gridCol w:w="1534"/>
      </w:tblGrid>
      <w:tr w:rsidR="00276D2A" w14:paraId="09C7D1EC" w14:textId="77777777">
        <w:trPr>
          <w:cantSplit/>
          <w:jc w:val="center"/>
        </w:trPr>
        <w:tc>
          <w:tcPr>
            <w:tcW w:w="350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2A5C8" w14:textId="77777777" w:rsidR="00276D2A" w:rsidRDefault="00000000">
            <w:pPr>
              <w:autoSpaceDE w:val="0"/>
              <w:autoSpaceDN w:val="0"/>
              <w:snapToGrid w:val="0"/>
              <w:spacing w:after="80" w:line="280" w:lineRule="exact"/>
            </w:pPr>
            <w:r>
              <w:rPr>
                <w:b/>
                <w:sz w:val="20"/>
              </w:rPr>
              <w:t>개발도구 및 사용 언어</w:t>
            </w:r>
          </w:p>
          <w:p w14:paraId="107E99C3" w14:textId="77777777" w:rsidR="00276D2A" w:rsidRDefault="00000000">
            <w:pPr>
              <w:autoSpaceDE w:val="0"/>
              <w:autoSpaceDN w:val="0"/>
              <w:snapToGrid w:val="0"/>
              <w:spacing w:line="280" w:lineRule="exact"/>
            </w:pPr>
            <w:r>
              <w:rPr>
                <w:sz w:val="19"/>
              </w:rPr>
              <w:t>C++17, CMake</w:t>
            </w:r>
            <w:r>
              <w:rPr>
                <w:sz w:val="19"/>
              </w:rPr>
              <w:br/>
              <w:t>MSVC / GCC / Clang</w:t>
            </w:r>
            <w:r>
              <w:rPr>
                <w:sz w:val="19"/>
              </w:rPr>
              <w:br/>
              <w:t>HLSL, GLSL, Metal</w:t>
            </w:r>
            <w:r>
              <w:rPr>
                <w:sz w:val="19"/>
              </w:rPr>
              <w:br/>
              <w:t>Windows, Linux, macOS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D98D7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A04C424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473D697D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43E569DA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한재승</w:t>
            </w:r>
          </w:p>
          <w:p w14:paraId="531AA2B1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Core · RHI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E0399E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8BDE1E8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80F29A8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47904CE2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윤훈</w:t>
            </w:r>
          </w:p>
          <w:p w14:paraId="05E25E82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Vulkan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063FD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11D853E6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F18B4AF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33176C7B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정현진</w:t>
            </w:r>
          </w:p>
          <w:p w14:paraId="24A980EE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Direct3D 12</w:t>
            </w:r>
          </w:p>
        </w:tc>
        <w:tc>
          <w:tcPr>
            <w:tcW w:w="1534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3E090" w14:textId="77777777" w:rsidR="00276D2A" w:rsidRDefault="00276D2A">
            <w:pPr>
              <w:autoSpaceDE w:val="0"/>
              <w:autoSpaceDN w:val="0"/>
              <w:snapToGrid w:val="0"/>
              <w:spacing w:line="20" w:lineRule="exact"/>
              <w:jc w:val="both"/>
              <w:rPr>
                <w:lang w:eastAsia="ko-KR"/>
              </w:rPr>
            </w:pPr>
          </w:p>
          <w:tbl>
            <w:tblPr>
              <w:tblW w:w="980" w:type="dxa"/>
              <w:jc w:val="center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5" w:space="0" w:color="000000"/>
                <w:insideV w:val="single" w:sz="5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0"/>
            </w:tblGrid>
            <w:tr w:rsidR="00276D2A" w14:paraId="6128787C" w14:textId="77777777">
              <w:trPr>
                <w:cantSplit/>
                <w:trHeight w:val="1160"/>
                <w:jc w:val="center"/>
              </w:trPr>
              <w:tc>
                <w:tcPr>
                  <w:tcW w:w="980" w:type="dxa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</w:tcPr>
                <w:p w14:paraId="168AAD56" w14:textId="77777777" w:rsidR="00276D2A" w:rsidRDefault="00000000">
                  <w:pPr>
                    <w:autoSpaceDE w:val="0"/>
                    <w:autoSpaceDN w:val="0"/>
                    <w:snapToGrid w:val="0"/>
                    <w:spacing w:line="240" w:lineRule="exact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 w14:paraId="68A30862" w14:textId="77777777" w:rsidR="00276D2A" w:rsidRDefault="00000000">
            <w:pPr>
              <w:autoSpaceDE w:val="0"/>
              <w:autoSpaceDN w:val="0"/>
              <w:snapToGrid w:val="0"/>
              <w:spacing w:before="60" w:line="280" w:lineRule="exact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정준혁</w:t>
            </w:r>
          </w:p>
          <w:p w14:paraId="5185818D" w14:textId="77777777" w:rsidR="00276D2A" w:rsidRDefault="00000000">
            <w:pPr>
              <w:autoSpaceDE w:val="0"/>
              <w:autoSpaceDN w:val="0"/>
              <w:snapToGrid w:val="0"/>
              <w:spacing w:line="240" w:lineRule="exact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Metal</w:t>
            </w:r>
          </w:p>
        </w:tc>
      </w:tr>
    </w:tbl>
    <w:p w14:paraId="51CCFA17" w14:textId="77777777" w:rsidR="00276D2A" w:rsidRDefault="00000000">
      <w:pPr>
        <w:autoSpaceDE w:val="0"/>
        <w:autoSpaceDN w:val="0"/>
        <w:snapToGrid w:val="0"/>
        <w:spacing w:line="20" w:lineRule="exact"/>
        <w:jc w:val="both"/>
        <w:rPr>
          <w:lang w:eastAsia="ko-KR"/>
        </w:rPr>
      </w:pPr>
      <w:r>
        <w:rPr>
          <w:lang w:eastAsia="ko-KR"/>
        </w:rPr>
        <w:br w:type="page"/>
      </w:r>
    </w:p>
    <w:p>
      <w:pPr>
        <w:pStyle w:val="1"/>
        <w:keepNext/>
        <w:widowControl/>
        <w:spacing w:before="200" w:after="140" w:line="36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5"/>
        </w:rPr>
        <w:t>4. 핵심기술 설명</w:t>
      </w:r>
    </w:p>
    <w:p>
      <w:pPr>
        <w:keepNext w:val="0"/>
        <w:widowControl/>
        <w:spacing w:before="0" w:after="8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DX12 세대에서는 기하 처리의 단위부터 파이프라인 구성, 메모리 동기화까지 GPU 제어 방식이 달라진다. dy_framework는 이러한 변화를 세 백엔드에 걸쳐 공통 RHI로 제공한다.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1) 작업 그룹 단위로 기하를 처리하는 Mesh Shader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Mesh Shader는 기존 정점·기하 셰이더 경로를 작업 그룹 중심으로 재구성한다. 한 그룹에서 정점과 삼각형의 출력 수와 내용을 함께 정의해 기하 처리의 자유도를 넓힌다. Mesh Pipeline과 DispatchMesh를 공통 RHI에 추가하고, 이를 세 백엔드의 실행 명령에 연결했다.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1" name="Picture 1" descr="기존 정점 셰이더 경로와 작업 그룹 단위의 Mesh Shader 기하 처리 비교 개념도. 자동 컬링이나 성능을 나타내지 않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sh_sh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기하 처리 개념도. Mesh Shader는 별도 개발 브랜치 구현이며 지원 GPU·운영체제가 필요하다.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2) 렌더링 상태를 미리 구성하는 파이프라인 객체 PSO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셰이더, 정점 입력, 깊이 검사와 블렌딩은 서로 영향을 주는 설정이다. DX12의 PSO는 이 조합을 생성 시점에 확정하여 드라이버가 미리 준비할 수 있게 한다. dy_framework는 이를 공통 파이프라인 선언으로 표현하고, 실행할 때 준비된 객체를 선택하도록 구성했다.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2" name="Picture 2" descr="셰이더 정점 입력 깊이 블렌딩 출력 형식을 준비 단계에서 확정하여 PSO A B를 만들고 그리기 단계에서 선택하는 개념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상태 구성 개념도. DX11의 개별 상태 설정에서, 미리 준비한 파이프라인 객체를 선택하는 구조로 바뀐다.</w:t>
      </w:r>
    </w:p>
    <w:p>
      <w:pPr>
        <w:pStyle w:val="21"/>
        <w:keepNext/>
        <w:widowControl/>
        <w:spacing w:before="140" w:after="100" w:line="32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/>
          <w:color w:val="000000"/>
          <w:sz w:val="23"/>
        </w:rPr>
        <w:t>3) GPU 메모리 의존성을 직접 다루는 자원 배리어</w:t>
      </w:r>
    </w:p>
    <w:p>
      <w:pPr>
        <w:keepNext w:val="0"/>
        <w:widowControl/>
        <w:spacing w:before="0" w:after="60" w:line="308" w:lineRule="exact"/>
        <w:jc w:val="both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22"/>
        </w:rPr>
        <w:t>GPU가 쓴 결과를 다음 작업에서 읽으려면 실행 순서와 메모리 가시성을 함께 맞춰야 한다. dy_framework는 자원 상태와 접근 의존성을 공통 배리어로 지정한다. 상태가 같아도 쓰기 이후 접근에 배리어가 필요할 수 있으며, 텍스처의 밉·배열 레이어별로 범위를 정한다.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2960"/>
            <wp:docPr id="3" name="Picture 3" descr="렌더 타깃에 쓴 텍스처를 셰이더에서 읽기 전에 실행 의존성과 메모리 가시성 및 자원 상태를 명시적 배리어로 연결하는 개념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ource_barr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20" w:after="80" w:line="240" w:lineRule="exact"/>
        <w:jc w:val="left"/>
        <w:snapToGrid w:val="0"/>
        <w:wordWrap w:val="1"/>
        <w:autoSpaceDE w:val="0"/>
        <w:autoSpaceDN w:val="0"/>
      </w:pPr>
      <w:r>
        <w:rPr>
          <w:rFonts w:ascii="Gulim" w:hAnsi="Gulim" w:eastAsia="Gulim" w:cs="Gulim"/>
          <w:b w:val="0"/>
          <w:color w:val="000000"/>
          <w:sz w:val="18"/>
        </w:rPr>
        <w:t>자원 전환 개념도. HDR 렌더 타깃을 Bloom의 입력으로 넘기는 과정에도 이러한 의존성 관리가 필요하다.</w:t>
      </w:r>
    </w:p>
    <w:sectPr w:rsidR="00276D2A" w:rsidSect="00034616">
      <w:headerReference w:type="default" r:id="rId8"/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17E9" w14:textId="77777777" w:rsidR="000612C4" w:rsidRDefault="000612C4">
      <w:pPr>
        <w:spacing w:line="240" w:lineRule="auto"/>
      </w:pPr>
      <w:r>
        <w:separator/>
      </w:r>
    </w:p>
  </w:endnote>
  <w:endnote w:type="continuationSeparator" w:id="0">
    <w:p w14:paraId="7F89BB31" w14:textId="77777777" w:rsidR="000612C4" w:rsidRDefault="00061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A8BA" w14:textId="77777777" w:rsidR="00276D2A" w:rsidRDefault="00000000">
    <w:pPr>
      <w:pStyle w:val="a6"/>
      <w:pBdr>
        <w:top w:val="single" w:sz="5" w:space="6" w:color="000000"/>
      </w:pBdr>
      <w:tabs>
        <w:tab w:val="center" w:pos="4819"/>
        <w:tab w:val="right" w:pos="9638"/>
      </w:tabs>
      <w:autoSpaceDE w:val="0"/>
      <w:autoSpaceDN w:val="0"/>
      <w:snapToGrid w:val="0"/>
      <w:spacing w:line="220" w:lineRule="exact"/>
      <w:rPr>
        <w:lang w:eastAsia="ko-KR"/>
      </w:rPr>
    </w:pPr>
    <w:r>
      <w:rPr>
        <w:sz w:val="17"/>
        <w:lang w:eastAsia="ko-KR"/>
      </w:rPr>
      <w:t>동양미래대학교</w:t>
    </w:r>
    <w:r>
      <w:rPr>
        <w:sz w:val="17"/>
        <w:lang w:eastAsia="ko-KR"/>
      </w:rPr>
      <w:tab/>
      <w:t xml:space="preserve">-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0D6B5D">
      <w:rPr>
        <w:noProof/>
        <w:lang w:eastAsia="ko-KR"/>
      </w:rPr>
      <w:t>1</w:t>
    </w:r>
    <w:r>
      <w:fldChar w:fldCharType="end"/>
    </w:r>
    <w:r>
      <w:rPr>
        <w:sz w:val="17"/>
        <w:lang w:eastAsia="ko-KR"/>
      </w:rPr>
      <w:t xml:space="preserve"> -</w:t>
    </w:r>
    <w:r>
      <w:rPr>
        <w:sz w:val="17"/>
        <w:lang w:eastAsia="ko-KR"/>
      </w:rPr>
      <w:tab/>
      <w:t>컴퓨터공학부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1C59" w14:textId="77777777" w:rsidR="000612C4" w:rsidRDefault="000612C4">
      <w:pPr>
        <w:spacing w:line="240" w:lineRule="auto"/>
      </w:pPr>
      <w:r>
        <w:separator/>
      </w:r>
    </w:p>
  </w:footnote>
  <w:footnote w:type="continuationSeparator" w:id="0">
    <w:p w14:paraId="679188DE" w14:textId="77777777" w:rsidR="000612C4" w:rsidRDefault="000612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6B84" w14:textId="77777777" w:rsidR="00276D2A" w:rsidRDefault="00000000">
    <w:pPr>
      <w:pStyle w:val="a5"/>
      <w:pBdr>
        <w:bottom w:val="single" w:sz="5" w:space="6" w:color="000000"/>
      </w:pBdr>
      <w:autoSpaceDE w:val="0"/>
      <w:autoSpaceDN w:val="0"/>
      <w:snapToGrid w:val="0"/>
      <w:spacing w:line="220" w:lineRule="exact"/>
      <w:jc w:val="center"/>
      <w:rPr>
        <w:lang w:eastAsia="ko-KR"/>
      </w:rPr>
    </w:pPr>
    <w:r>
      <w:rPr>
        <w:sz w:val="17"/>
        <w:lang w:eastAsia="ko-KR"/>
      </w:rPr>
      <w:t>2026 컴퓨터공학부 졸업작품집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25464">
    <w:abstractNumId w:val="8"/>
  </w:num>
  <w:num w:numId="2" w16cid:durableId="1427926262">
    <w:abstractNumId w:val="6"/>
  </w:num>
  <w:num w:numId="3" w16cid:durableId="972831447">
    <w:abstractNumId w:val="5"/>
  </w:num>
  <w:num w:numId="4" w16cid:durableId="28917409">
    <w:abstractNumId w:val="4"/>
  </w:num>
  <w:num w:numId="5" w16cid:durableId="41829286">
    <w:abstractNumId w:val="7"/>
  </w:num>
  <w:num w:numId="6" w16cid:durableId="818308752">
    <w:abstractNumId w:val="3"/>
  </w:num>
  <w:num w:numId="7" w16cid:durableId="1063917908">
    <w:abstractNumId w:val="2"/>
  </w:num>
  <w:num w:numId="8" w16cid:durableId="1404908595">
    <w:abstractNumId w:val="1"/>
  </w:num>
  <w:num w:numId="9" w16cid:durableId="63537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C4"/>
    <w:rsid w:val="000D6B5D"/>
    <w:rsid w:val="0015074B"/>
    <w:rsid w:val="00276D2A"/>
    <w:rsid w:val="0029639D"/>
    <w:rsid w:val="00326F90"/>
    <w:rsid w:val="00AA1D8D"/>
    <w:rsid w:val="00B47730"/>
    <w:rsid w:val="00CB0664"/>
    <w:rsid w:val="00CD64F8"/>
    <w:rsid w:val="00E96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FAFC91"/>
  <w14:defaultImageDpi w14:val="300"/>
  <w15:docId w15:val="{F5A16286-4EA2-487D-94BD-CF7CE1F8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8" w:lineRule="exact"/>
    </w:pPr>
    <w:rPr>
      <w:rFonts w:ascii="Gulim" w:eastAsia="Gulim" w:hAnsi="Gulim" w:cs="Gulim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dy_framework 2026 졸업작품집</dc:title>
  <dc:subject>현대적 저수준 GPU 제어와 데이터 설계</dc:subject>
  <dc:creator>DyD</dc:creator>
  <cp:keywords>dy_framework, GPU, Vulkan, Direct3D 12, Metal</cp:keywords>
  <dc:description>generated by python-docx</dc:description>
  <cp:lastModifiedBy>재승 한</cp:lastModifiedBy>
  <cp:revision>3</cp:revision>
  <dcterms:created xsi:type="dcterms:W3CDTF">2013-12-23T23:15:00Z</dcterms:created>
  <dcterms:modified xsi:type="dcterms:W3CDTF">2026-10-05T14:22:00Z</dcterms:modified>
  <cp:category/>
</cp:coreProperties>
</file>