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C9B" w:rsidRDefault="00702C9B" w:rsidP="00702C9B">
      <w:pPr>
        <w:widowControl/>
        <w:spacing w:line="560" w:lineRule="exact"/>
        <w:jc w:val="left"/>
        <w:rPr>
          <w:rFonts w:ascii="黑体" w:eastAsia="黑体" w:hAnsi="黑体"/>
          <w:sz w:val="32"/>
          <w:szCs w:val="32"/>
        </w:rPr>
      </w:pPr>
    </w:p>
    <w:p w:rsidR="00702C9B" w:rsidRDefault="00702C9B" w:rsidP="00702C9B">
      <w:pPr>
        <w:widowControl/>
        <w:spacing w:line="560" w:lineRule="exact"/>
        <w:jc w:val="left"/>
        <w:rPr>
          <w:rFonts w:ascii="黑体" w:eastAsia="黑体" w:hAnsi="黑体"/>
          <w:sz w:val="32"/>
          <w:szCs w:val="32"/>
        </w:rPr>
      </w:pPr>
    </w:p>
    <w:p w:rsidR="00702C9B" w:rsidRPr="00364435" w:rsidRDefault="00702C9B" w:rsidP="00702C9B">
      <w:pPr>
        <w:widowControl/>
        <w:spacing w:line="560" w:lineRule="exact"/>
        <w:jc w:val="left"/>
        <w:rPr>
          <w:rFonts w:ascii="黑体" w:eastAsia="黑体" w:hAnsi="黑体"/>
          <w:sz w:val="32"/>
          <w:szCs w:val="32"/>
        </w:rPr>
      </w:pPr>
    </w:p>
    <w:p w:rsidR="00702C9B" w:rsidRPr="00D53B21" w:rsidRDefault="00702C9B" w:rsidP="00702C9B">
      <w:pPr>
        <w:spacing w:line="480" w:lineRule="auto"/>
        <w:jc w:val="center"/>
        <w:rPr>
          <w:rFonts w:ascii="方正小标宋简体" w:eastAsia="方正小标宋简体"/>
          <w:color w:val="000000"/>
          <w:sz w:val="44"/>
          <w:szCs w:val="44"/>
        </w:rPr>
      </w:pP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新疆销售人工智能竞赛项目申报书</w:t>
      </w:r>
    </w:p>
    <w:p w:rsidR="00702C9B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Pr="00364435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Pr="00364435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Pr="00FD080A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Default="00702C9B" w:rsidP="00702C9B">
      <w:pPr>
        <w:pStyle w:val="a7"/>
      </w:pPr>
    </w:p>
    <w:p w:rsidR="00702C9B" w:rsidRPr="00702C9B" w:rsidRDefault="00702C9B" w:rsidP="00702C9B">
      <w:pPr>
        <w:tabs>
          <w:tab w:val="center" w:pos="4395"/>
          <w:tab w:val="left" w:pos="8364"/>
        </w:tabs>
        <w:jc w:val="left"/>
        <w:rPr>
          <w:rFonts w:ascii="方正黑体简体" w:eastAsia="方正黑体简体" w:hAnsi="方正黑体简体" w:cs="仿宋"/>
          <w:kern w:val="0"/>
          <w:sz w:val="36"/>
        </w:rPr>
      </w:pPr>
      <w:r>
        <w:rPr>
          <w:rFonts w:ascii="方正黑体简体" w:hAnsi="方正黑体简体" w:eastAsia="方正黑体简体"/>
          <w:b w:val="0"/>
          <w:sz w:val="36"/>
        </w:rPr>
        <w:t>项目名称：</w:t>
      </w:r>
      <w:r>
        <w:rPr>
          <w:rFonts w:ascii="方正黑体简体" w:hAnsi="方正黑体简体" w:eastAsia="方正黑体简体"/>
          <w:b w:val="0"/>
          <w:sz w:val="32"/>
        </w:rPr>
        <w:t>基于多源数据融合的加油站智能零售运营助手</w:t>
      </w:r>
    </w:p>
    <w:p w:rsidR="00702C9B" w:rsidRPr="00364435" w:rsidRDefault="00702C9B" w:rsidP="00702C9B">
      <w:pPr>
        <w:pStyle w:val="a7"/>
      </w:pPr>
    </w:p>
    <w:p w:rsidR="00702C9B" w:rsidRDefault="00702C9B" w:rsidP="00702C9B">
      <w:pPr>
        <w:pStyle w:val="a7"/>
      </w:pPr>
    </w:p>
    <w:p w:rsidR="00702C9B" w:rsidRPr="00364435" w:rsidRDefault="00702C9B" w:rsidP="00702C9B">
      <w:pPr>
        <w:pStyle w:val="a7"/>
      </w:pPr>
    </w:p>
    <w:p w:rsidR="00702C9B" w:rsidRPr="00702C9B" w:rsidRDefault="00702C9B" w:rsidP="00702C9B">
      <w:pPr>
        <w:tabs>
          <w:tab w:val="center" w:pos="4395"/>
          <w:tab w:val="left" w:pos="8364"/>
        </w:tabs>
        <w:rPr>
          <w:rFonts w:ascii="方正黑体简体" w:eastAsia="方正黑体简体" w:hAnsi="方正黑体简体" w:cs="仿宋"/>
          <w:kern w:val="0"/>
          <w:sz w:val="36"/>
        </w:rPr>
      </w:pPr>
      <w:r>
        <w:rPr>
          <w:rFonts w:ascii="方正黑体简体" w:hAnsi="方正黑体简体" w:eastAsia="方正黑体简体"/>
          <w:b w:val="0"/>
          <w:sz w:val="36"/>
        </w:rPr>
        <w:t>申报单位：</w:t>
      </w:r>
      <w:r>
        <w:rPr>
          <w:rFonts w:ascii="方正黑体简体" w:hAnsi="方正黑体简体" w:eastAsia="方正黑体简体"/>
          <w:b w:val="0"/>
          <w:sz w:val="32"/>
        </w:rPr>
        <w:t>（待填写）</w:t>
      </w:r>
    </w:p>
    <w:p w:rsidR="00702C9B" w:rsidRPr="00702C9B" w:rsidRDefault="00702C9B" w:rsidP="00702C9B">
      <w:pPr>
        <w:tabs>
          <w:tab w:val="center" w:pos="4395"/>
          <w:tab w:val="left" w:pos="8364"/>
        </w:tabs>
        <w:rPr>
          <w:rFonts w:ascii="方正黑体简体" w:eastAsia="方正黑体简体" w:hAnsi="方正黑体简体" w:cs="仿宋"/>
          <w:kern w:val="0"/>
          <w:sz w:val="36"/>
        </w:rPr>
      </w:pPr>
      <w:r>
        <w:rPr>
          <w:rFonts w:ascii="方正黑体简体" w:hAnsi="方正黑体简体" w:eastAsia="方正黑体简体"/>
          <w:b w:val="0"/>
          <w:sz w:val="36"/>
        </w:rPr>
        <w:t>联 系 人：</w:t>
      </w:r>
      <w:r>
        <w:rPr>
          <w:rFonts w:ascii="方正黑体简体" w:hAnsi="方正黑体简体" w:eastAsia="方正黑体简体"/>
          <w:b w:val="0"/>
          <w:sz w:val="32"/>
        </w:rPr>
        <w:t>（待填写）</w:t>
      </w:r>
    </w:p>
    <w:p w:rsidR="00702C9B" w:rsidRDefault="00702C9B" w:rsidP="00702C9B">
      <w:pPr>
        <w:pStyle w:val="a7"/>
      </w:pPr>
    </w:p>
    <w:p w:rsidR="00702C9B" w:rsidRPr="00702C9B" w:rsidRDefault="00702C9B" w:rsidP="00702C9B"/>
    <w:p w:rsidR="00702C9B" w:rsidRPr="00702C9B" w:rsidRDefault="00702C9B" w:rsidP="00702C9B">
      <w:pPr>
        <w:pStyle w:val="a7"/>
      </w:pPr>
    </w:p>
    <w:p w:rsidR="00702C9B" w:rsidRDefault="00702C9B" w:rsidP="00702C9B">
      <w:pPr>
        <w:pStyle w:val="a7"/>
      </w:pPr>
    </w:p>
    <w:p w:rsidR="00702C9B" w:rsidRDefault="00702C9B" w:rsidP="00702C9B">
      <w:pPr>
        <w:pStyle w:val="a7"/>
      </w:pPr>
    </w:p>
    <w:p w:rsidR="00702C9B" w:rsidRPr="004C2FD6" w:rsidRDefault="00702C9B" w:rsidP="00702C9B"/>
    <w:p w:rsidR="00702C9B" w:rsidRPr="00364435" w:rsidRDefault="00702C9B" w:rsidP="00702C9B">
      <w:pPr>
        <w:tabs>
          <w:tab w:val="left" w:pos="5220"/>
        </w:tabs>
        <w:jc w:val="center"/>
        <w:rPr>
          <w:rFonts w:ascii="方正黑体简体" w:eastAsia="方正黑体简体" w:hAnsi="方正黑体简体" w:cs="华文中宋"/>
          <w:sz w:val="32"/>
          <w:szCs w:val="32"/>
        </w:rPr>
      </w:pPr>
      <w:r>
        <w:rPr>
          <w:rFonts w:ascii="方正黑体简体" w:hAnsi="方正黑体简体" w:eastAsia="方正黑体简体"/>
          <w:b w:val="0"/>
          <w:sz w:val="32"/>
        </w:rPr>
        <w:t>2026年7月</w:t>
      </w:r>
    </w:p>
    <w:p w:rsidR="00702C9B" w:rsidRDefault="00702C9B" w:rsidP="00702C9B">
      <w:pPr>
        <w:pStyle w:val="a7"/>
      </w:pPr>
    </w:p>
    <w:p w:rsidR="00702C9B" w:rsidRPr="009909CE" w:rsidRDefault="00702C9B" w:rsidP="00702C9B">
      <w:pPr>
        <w:pStyle w:val="a7"/>
      </w:pPr>
    </w:p>
    <w:p w:rsidR="00702C9B" w:rsidRPr="00FD080A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702C9B" w:rsidRPr="004F0F37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702C9B" w:rsidRPr="004F0F37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702C9B" w:rsidRPr="00D53B21" w:rsidRDefault="00702C9B" w:rsidP="00702C9B">
      <w:pPr>
        <w:spacing w:line="560" w:lineRule="exact"/>
        <w:jc w:val="center"/>
        <w:rPr>
          <w:rFonts w:ascii="方正小标宋简体" w:eastAsia="方正小标宋简体"/>
          <w:color w:val="000000"/>
          <w:sz w:val="44"/>
          <w:szCs w:val="44"/>
        </w:rPr>
      </w:pP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填 写 说 明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一、参赛队伍请仔细阅读《中石油新疆销售有限公司第五届职业技能竞赛活动方案》和《新疆销售人工智能竞赛技术方案》，按照要求如实、详细填写项目申报书。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二、参赛队伍的技术方案原则上需拥有自主知识产权，对提供的全部资料的真实性负责。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三、填写材料要求描述详实、重点突出、表述准确、逻辑清晰、语言精炼，具有较强可读性（可结合图、表</w:t>
      </w:r>
      <w:r w:rsidRPr="00D53B21">
        <w:rPr>
          <w:rFonts w:ascii="方正仿宋简体" w:eastAsia="方正仿宋简体" w:hAnsi="方正仿宋简体"/>
          <w:color w:val="000000"/>
          <w:sz w:val="32"/>
          <w:szCs w:val="32"/>
        </w:rPr>
        <w:t>、网站</w:t>
      </w: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等表达方式），杜绝虚构和夸大。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四、请参赛队伍将本材料可编辑版及PDF版打包发至指定邮箱。</w:t>
      </w:r>
    </w:p>
    <w:p w:rsidR="00702C9B" w:rsidRDefault="00702C9B" w:rsidP="00702C9B">
      <w:pPr>
        <w:spacing w:line="560" w:lineRule="exact"/>
        <w:jc w:val="center"/>
        <w:rPr>
          <w:rFonts w:ascii="华文中宋" w:eastAsia="华文中宋" w:hAnsi="华文中宋" w:cs="华文中宋"/>
          <w:sz w:val="44"/>
          <w:szCs w:val="36"/>
        </w:rPr>
      </w:pPr>
      <w:r w:rsidRPr="004F0F37">
        <w:rPr>
          <w:rFonts w:ascii="仿宋" w:eastAsia="仿宋" w:hAnsi="仿宋" w:cs="仿宋" w:hint="eastAsia"/>
          <w:sz w:val="32"/>
          <w:szCs w:val="32"/>
        </w:rPr>
        <w:br w:type="page"/>
      </w: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项 目 介 绍</w:t>
      </w:r>
    </w:p>
    <w:p w:rsidR="00702C9B" w:rsidRPr="00702C9B" w:rsidRDefault="00702C9B" w:rsidP="00702C9B">
      <w:pPr>
        <w:spacing w:line="560" w:lineRule="exact"/>
        <w:jc w:val="center"/>
        <w:rPr>
          <w:rFonts w:ascii="仿宋" w:eastAsia="仿宋" w:hAnsi="仿宋" w:cs="仿宋"/>
          <w:sz w:val="32"/>
          <w:szCs w:val="32"/>
        </w:rPr>
      </w:pP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一、项目概述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（一）项目背景（限500字）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加油站便利店经营同时承接油品消费带动、非油商品促销、会员权益、加油换购和节日营销等业务。活动规则通常分散在促销政策表、价格表和库存表中，且包含日期、站点、会员、油品金额、商品组合、排除品类等多重条件。高峰期依赖人工查表判断，容易出现漏享、误算、活动商品断货或营销物料更新不及时等问题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本项目面向油气非综合服务与门店运营场景，建设以“规则可执行、库存可感知、结果可解释、物料可辅助生成”为核心的智能零售运营助手。项目不替代现有POS，而是先以旁路辅助方式打通数据导入、促销计算、库存预警和运营物料审核流程，为后续系统集成和多站复制沉淀标准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（二）应用场景（限500字）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系统适用于加油站便利店、加气站便利店及油非联动促销场景，主要服务收银员、站长、区域运营人员和供应链人员。收银员通过条码录入或油品金额录入，获得订单可用促销、推荐方案及不满足条件的原因；站长查看促销关联商品的库存风险并生成补货清单；运营人员导入价格、库存和活动数据，维护规则版本并审核活动物料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典型场景包括：油品消费后加价换购非油商品；逢7、逢9等日期触发的全场折扣；固定价专区、满减、买赠、赠券与会员权益包；低库存活动商品预警；以及基于结构化活动信息生成AI海报提示词、进行预览和人工确认。试点阶段可采用Excel导入和人工录入的轻量流程，后续可对接POS、会员、电子券和库存系统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（三）核心优势（限1000字）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1. 以可解释规则决策处理复杂促销。系统将订单商品、数量、会员身份、站点类型、业务日期、油品金额、券和库存等要素组织为订单上下文，依次完成规则筛选、优惠计算、互斥处理和候选排序。对可用、不可用和被互斥的方案均保留原因说明，避免“只给结果、不知依据”的黑箱式推荐，适合收银与运营审核场景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2. 将促销可执行性与库存风险联动。系统以商品编码关联价格、库存和活动规则，优先识别当前站点有货且满足条件的活动商品；对低于阈值、缺货或组合包库存不足的情况给出提示，并按“安全阈值×2－当前库存”的可配置规则生成补货建议，使促销执行、补货决策和风险提示形成闭环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3. 采用可演进的产品化架构。现有项目已形成React/TypeScript前端、Java Spring Boot后端、PostgreSQL持久化与Flyway迁移、规则版本治理、导入异常记录和操作审计等基础能力；规则按固定价、折扣、满减、买赠、赠券、换购、组合包等类型扩展，可支撑由单站试点向中心化规则发布演进。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4. 以“结构化数据约束+人工审核”使用AIGC。系统已实现活动与商品选择、提示词拼装、海报预览和确认发布流程；当前AI图像服务尚未配置，页面以演示数据呈现完整审核链路。后续接入公司认可的生成式模型后，商品名称、价格和适用条件仍由规则数据生成并人工复核，AI仅承担视觉创意辅助，降低错误宣传风险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二、解决方案</w:t>
      </w:r>
    </w:p>
    <w:p w:rsidR="00702C9B" w:rsidRPr="006C506D" w:rsidRDefault="00702C9B" w:rsidP="006C506D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hAnsi="方正楷体简体" w:eastAsia="方正楷体简体"/>
          <w:b w:val="0"/>
          <w:sz w:val="32"/>
        </w:rPr>
        <w:t>（一）数据来源与治理</w:t>
      </w:r>
    </w:p>
    <w:p w:rsidR="00702C9B" w:rsidRPr="00D53B21" w:rsidRDefault="00D53B21" w:rsidP="00DB6516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项目数据来自门店业务已有的商品价格表、库存表和活动看板。价格表提供商品编码、条码、名称和执行价；库存表提供当前库存快照；活动看板提供油品、非油、会员、日期、换购、满减、买赠等促销规则。系统以商品编码作为关联主键，对导入文件进行格式、必填项、重复值、金额、日期和商品映射校验，并记录导入版本、异常行和处理结果。对于自然语言描述的复杂活动，采用“规则模板识别+人工确认”的方式结构化，防止直接以非标准文本驱动结算。</w:t>
      </w:r>
    </w:p>
    <w:p w:rsidR="00702C9B" w:rsidRPr="00D53B21" w:rsidRDefault="00D53B21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hAnsi="方正楷体简体" w:eastAsia="方正楷体简体"/>
          <w:b w:val="0"/>
          <w:sz w:val="32"/>
        </w:rPr>
        <w:t>（二）技术架构与功能完整性</w:t>
      </w:r>
    </w:p>
    <w:p w:rsidR="00702C9B" w:rsidRPr="00D53B21" w:rsidRDefault="00D53B21" w:rsidP="00AF69D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系统采用前后端分离架构：前端使用React、TypeScript和Vite，提供收银结算、规则管理、活动运营、数据导入、库存预警、补货和审计等界面；后端使用Java 21、Spring Boot、MyBatis和PostgreSQL，使用Flyway管理数据库迁移。核心促销引擎由规则匹配、优惠计算、冲突解决和候选排序组成，输出原价、应付价、优惠额、赠品、赠券、可用方案、阻断原因和解释信息。系统已覆盖商品查询、促销计算与确认、活动导入与治理、库存预警、补货清单及操作审计等核心模块。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hAnsi="方正楷体简体" w:eastAsia="方正楷体简体"/>
          <w:b w:val="0"/>
          <w:sz w:val="32"/>
        </w:rPr>
        <w:t>（三）AI能力边界与接入方式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项目不以训练私有大模型为前提，而采用“业务规则引擎+生成式AI服务适配”的组合方案。已实现的AI海报工作流包括：从活动和商品中提取结构化卖点，生成受品牌模板约束的提示词，展示海报预览，并通过人工确认后发布。当前外部图像模型未配置，正式部署时将接入公司认可的模型服务；模型输出不直接决定价格、优惠条件或结算结果，交易类决策始终由可审计的规则引擎完成。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hAnsi="方正楷体简体" w:eastAsia="方正楷体简体"/>
          <w:b w:val="0"/>
          <w:sz w:val="32"/>
        </w:rPr>
        <w:t>（四）安全保障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生产部署将遵循“数据最小化、权限分级、接口可追溯、模型调用可控”的原则：门店数据通过受控导入或接口同步，敏感字段按最小范围使用；按收银、店长、运营和管理员划分权限；规则发布、导入、结算确认和预警处置写入审计日志；AI服务密钥仅存放于服务端配置，调用记录可追溯；对外接口采用鉴权、参数校验、HTTPS和限流策略。POS、会员与电子券系统对接前，须完成接口授权、数据安全评估和联调验收。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三、应用价值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项目的直接价值是把原本依赖人工翻表、口头传达和经验判断的促销执行过程转为可计算、可选择、可解释的辅助流程。收银员可在扫码或录入油品金额后查看多个合规候选方案，明确应付金额、赠品赠券、适用条件和不可用原因；在不满足条件或顾客不选择促销时，系统保留原价结算兜底，降低门店高峰期误算和业务中断风险。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项目同时解决“活动可做但商品无货”的运营断点。规则引擎与库存快照联动，对低库存、缺货、组合包缺件和活动商品风险进行提示；站长可基于同一份规则和库存数据生成补货清单，供应链人员可据此开展订货、调拨或采购。通过活动商品与实际库存的动态交集，避免只展示政策商品而忽略本站可售范围，提高活动执行的真实性与顾客体验。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在治理层面，系统将活动政策、商品、库存和导入记录结构化沉淀，形成可复用的规则模板、版本与审计链路。对固定价、折扣、满减、买赠、赠券、加油换购和组合包等规则采用统一模型，支持规则启停、版本确认、异常行处理和结果追溯，减少同类活动重复开发和人工传递成本。后续接入POS、会员和电子券系统后，可进一步形成从计算、确认到发券核销的闭环。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在营销物料层面，项目把活动名称、商品、价格、卖点和适用条件转化为受控提示词和审核流程。AIGC服务配置完成后，门店可在人工审核的前提下快速获得海报候选方案，缩短活动物料准备链路。因当前项目尚未接入外部图像模型，申报书不对海报生成时效、经营增收或降本金额作未经试点验证的承诺；相关指标将以试点前后的结算差错、活动执行、库存预警处置和物料制作数据作为基线进行核验。</w:t>
      </w:r>
    </w:p>
    <w:p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项目还具有可复制的管理价值：以单站旁路辅助模式降低初期改造风险，以标准数据模板和可配置规则支持多站扩面，以审计和权限边界保障运营透明。其适用对象可从便利店零售延伸至油非联动、加气站商品促销、会员权益运营及区域活动执行，为新疆销售门店数字化运营提供一套可逐步迭代的基础能力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四、后期推广计划</w:t>
      </w:r>
    </w:p>
    <w:p w:rsidR="00702C9B" w:rsidRPr="006C506D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hAnsi="方正楷体简体" w:eastAsia="方正楷体简体"/>
          <w:b w:val="0"/>
          <w:sz w:val="32"/>
        </w:rPr>
        <w:t>（一）推广规划</w:t>
      </w:r>
    </w:p>
    <w:p w:rsidR="0039689A" w:rsidRPr="0039689A" w:rsidRDefault="00D53B21" w:rsidP="0039689A">
      <w:pPr>
        <w:spacing w:line="560" w:lineRule="exact"/>
        <w:ind w:firstLineChars="200" w:firstLine="640"/>
        <w:rPr>
          <w:rFonts w:ascii="宋体" w:hAnsi="宋体" w:cs="仿宋"/>
          <w:b/>
          <w:bCs/>
          <w:i/>
          <w:iCs/>
          <w:sz w:val="24"/>
          <w:szCs w:val="24"/>
        </w:rPr>
      </w:pPr>
      <w:r>
        <w:rPr>
          <w:rFonts w:ascii="方正仿宋简体" w:hAnsi="方正仿宋简体" w:eastAsia="方正仿宋简体"/>
          <w:b w:val="0"/>
          <w:sz w:val="32"/>
        </w:rPr>
        <w:t>短期（0—3个月）：选择业务规则较完整的单站开展试点，完成三类基础数据导入、规则核验、收银员与站长培训、演示环境部署和问题台账建立；以活动命中准确性、库存预警有效性、补货单可用性和操作反馈为验收依据。中期（3—6个月）：在试点复盘后固化数据模板、规则模板、培训手册和运维流程，向同类型站点扩展，并逐步联调POS、会员、电子券或库存系统接口。长期（6—12个月）：建设中心化规则发布、区域站点配置、版本审核、活动执行分析和运营看板能力，形成“总部/区域配置—门店执行—数据回流—规则优化”的闭环。</w:t>
      </w:r>
    </w:p>
    <w:p w:rsidR="00702C9B" w:rsidRPr="00D53B21" w:rsidRDefault="00D53B21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hAnsi="方正楷体简体" w:eastAsia="方正楷体简体"/>
          <w:b w:val="0"/>
          <w:sz w:val="32"/>
        </w:rPr>
        <w:t>（二）落地可行性与风险控制</w:t>
      </w:r>
    </w:p>
    <w:p>
      <w:pPr>
        <w:spacing w:line="560" w:lineRule="exact"/>
        <w:ind w:firstLineChars="200" w:firstLine="640"/>
        <w:rPr>
          <w:rFonts w:ascii="宋体" w:hAnsi="宋体" w:cs="仿宋"/>
          <w:b/>
          <w:bCs/>
          <w:i/>
          <w:iCs/>
          <w:sz w:val="24"/>
          <w:szCs w:val="24"/>
        </w:rPr>
      </w:pPr>
      <w:r>
        <w:rPr>
          <w:rFonts w:ascii="方正仿宋简体" w:hAnsi="方正仿宋简体" w:eastAsia="方正仿宋简体"/>
          <w:b w:val="0"/>
          <w:sz w:val="32"/>
        </w:rPr>
        <w:t>现有项目已具备前后端分离、规则计算、数据导入、库存预警、补货和审计的工程基础，可先以容器化或内网应用方式部署试点环境。初期不依赖大规模算力，规则计算以常规应用服务器资源为主；AIGC能力按需调用经批准的模型服务，并通过限流、审核和服务端密钥管理控制成本与风险。推广投入应以试点站点数、接口改造范围、数据质量、培训频次和模型服务用量为依据测算，避免在未完成试点前给出不具依据的预算或回收周期。</w:t>
      </w:r>
    </w:p>
    <w:p>
      <w:pPr>
        <w:spacing w:line="560" w:lineRule="exact"/>
        <w:ind w:firstLineChars="200" w:firstLine="640"/>
        <w:rPr>
          <w:rFonts w:ascii="宋体" w:hAnsi="宋体" w:cs="仿宋"/>
          <w:b/>
          <w:bCs/>
          <w:i/>
          <w:iCs/>
          <w:sz w:val="24"/>
          <w:szCs w:val="24"/>
        </w:rPr>
      </w:pPr>
      <w:r>
        <w:rPr>
          <w:rFonts w:ascii="方正仿宋简体" w:hAnsi="方正仿宋简体" w:eastAsia="方正仿宋简体"/>
          <w:b w:val="0"/>
          <w:sz w:val="32"/>
        </w:rPr>
        <w:t>主要风险及防控措施：一是活动规则自然语言复杂，采用规则模板、人工确认和版本审核防止误配；二是库存与实际销售可能不同步，试点阶段标注库存更新时间并建立盘点校正机制；三是POS、会员和电子券接口存在协同周期，先以旁路辅助模式验证业务价值，再逐步接入；四是AIGC可能出现价格或文字错误，关键文案由结构化数据生成，发布前必须人工审核；五是门店使用习惯差异，通过分角色培训、操作手册、反馈台账和灰度扩面降低推广阻力。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39689A" w:rsidRPr="00D53B21" w:rsidRDefault="0039689A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五、项目团队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617"/>
        <w:gridCol w:w="5094"/>
      </w:tblGrid>
      <w:tr w:rsidR="00702C9B" w:rsidTr="002F2A33">
        <w:trPr>
          <w:tblHeader/>
          <w:jc w:val="center"/>
        </w:trPr>
        <w:tc>
          <w:tcPr>
            <w:tcW w:w="1632" w:type="dxa"/>
            <w:shd w:val="clear" w:color="auto" w:fill="E7E6E6" w:themeFill="background2"/>
            <w:vAlign w:val="center"/>
          </w:tcPr>
          <w:p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/>
                <w:b/>
                <w:bCs/>
                <w:sz w:val="28"/>
                <w:szCs w:val="28"/>
              </w:rPr>
            </w:pPr>
            <w:r>
              <w:rPr>
                <w:rFonts w:ascii="方正黑体简体" w:hAnsi="方正黑体简体" w:eastAsia="方正黑体简体"/>
                <w:b/>
                <w:sz w:val="32"/>
              </w:rPr>
              <w:t>姓名</w:t>
            </w:r>
          </w:p>
        </w:tc>
        <w:tc>
          <w:tcPr>
            <w:tcW w:w="1664" w:type="dxa"/>
            <w:shd w:val="clear" w:color="auto" w:fill="E7E6E6" w:themeFill="background2"/>
            <w:vAlign w:val="center"/>
          </w:tcPr>
          <w:p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/>
                <w:b/>
                <w:bCs/>
                <w:sz w:val="28"/>
                <w:szCs w:val="28"/>
              </w:rPr>
            </w:pPr>
            <w:r>
              <w:rPr>
                <w:rFonts w:ascii="方正黑体简体" w:hAnsi="方正黑体简体" w:eastAsia="方正黑体简体"/>
                <w:b/>
                <w:sz w:val="32"/>
              </w:rPr>
              <w:t>项目角色</w:t>
            </w:r>
          </w:p>
        </w:tc>
        <w:tc>
          <w:tcPr>
            <w:tcW w:w="5294" w:type="dxa"/>
            <w:shd w:val="clear" w:color="auto" w:fill="E7E6E6" w:themeFill="background2"/>
            <w:vAlign w:val="center"/>
          </w:tcPr>
          <w:p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/>
                <w:b/>
                <w:bCs/>
                <w:sz w:val="28"/>
                <w:szCs w:val="28"/>
              </w:rPr>
            </w:pPr>
            <w:r>
              <w:rPr>
                <w:rFonts w:ascii="方正黑体简体" w:hAnsi="方正黑体简体" w:eastAsia="方正黑体简体"/>
                <w:b/>
                <w:sz w:val="32"/>
              </w:rPr>
              <w:t>成员简介</w:t>
            </w:r>
          </w:p>
        </w:tc>
      </w:tr>
      <w:tr w:rsidR="00702C9B" w:rsidTr="002F2A33">
        <w:trPr>
          <w:jc w:val="center"/>
        </w:trPr>
        <w:tc>
          <w:tcPr>
            <w:tcW w:w="1632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（待填写）</w:t>
            </w:r>
          </w:p>
        </w:tc>
        <w:tc>
          <w:tcPr>
            <w:tcW w:w="1664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队长 / 业务负责人</w:t>
            </w:r>
          </w:p>
        </w:tc>
        <w:tc>
          <w:tcPr>
            <w:tcW w:w="5294" w:type="dxa"/>
            <w:vAlign w:val="center"/>
          </w:tcPr>
          <w:p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负责业务需求梳理、试点协同、方案汇报与现场答辩。</w:t>
            </w:r>
          </w:p>
        </w:tc>
      </w:tr>
      <w:tr w:rsidR="00702C9B" w:rsidTr="002F2A33">
        <w:trPr>
          <w:jc w:val="center"/>
        </w:trPr>
        <w:tc>
          <w:tcPr>
            <w:tcW w:w="1632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（待填写）</w:t>
            </w:r>
          </w:p>
        </w:tc>
        <w:tc>
          <w:tcPr>
            <w:tcW w:w="1664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技术负责人</w:t>
            </w:r>
          </w:p>
        </w:tc>
        <w:tc>
          <w:tcPr>
            <w:tcW w:w="5294" w:type="dxa"/>
            <w:vAlign w:val="center"/>
          </w:tcPr>
          <w:p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负责系统架构、规则引擎、数据治理与安全设计。</w:t>
            </w:r>
          </w:p>
        </w:tc>
      </w:tr>
      <w:tr w:rsidR="00702C9B" w:rsidTr="002F2A33">
        <w:trPr>
          <w:jc w:val="center"/>
        </w:trPr>
        <w:tc>
          <w:tcPr>
            <w:tcW w:w="1632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（待填写）</w:t>
            </w:r>
          </w:p>
        </w:tc>
        <w:tc>
          <w:tcPr>
            <w:tcW w:w="1664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产品与测试负责人</w:t>
            </w:r>
          </w:p>
        </w:tc>
        <w:tc>
          <w:tcPr>
            <w:tcW w:w="5294" w:type="dxa"/>
            <w:vAlign w:val="center"/>
          </w:tcPr>
          <w:p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>
              <w:rPr>
                <w:rFonts w:ascii="方正仿宋简体" w:hAnsi="方正仿宋简体" w:eastAsia="方正仿宋简体"/>
                <w:b w:val="0"/>
                <w:sz w:val="32"/>
              </w:rPr>
              <w:t>负责前端交互、场景验证、测试验收与推广材料整理。</w:t>
            </w:r>
          </w:p>
        </w:tc>
      </w:tr>
    </w:tbl>
    <w:p w:rsidR="00702C9B" w:rsidRPr="00702C9B" w:rsidRDefault="00702C9B" w:rsidP="00702C9B">
      <w:pPr>
        <w:spacing w:line="560" w:lineRule="exact"/>
        <w:rPr>
          <w:rFonts w:ascii="仿宋" w:eastAsia="仿宋" w:hAnsi="仿宋" w:cs="仿宋"/>
          <w:sz w:val="32"/>
          <w:szCs w:val="32"/>
        </w:rPr>
      </w:pPr>
    </w:p>
    <w:p w:rsidR="00702C9B" w:rsidRPr="00702C9B" w:rsidRDefault="00702C9B" w:rsidP="00702C9B">
      <w:pPr>
        <w:spacing w:line="560" w:lineRule="exact"/>
        <w:rPr>
          <w:rFonts w:ascii="仿宋" w:eastAsia="仿宋" w:hAnsi="仿宋" w:cs="仿宋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六、其它辅助材料</w:t>
      </w:r>
    </w:p>
    <w:p w:rsidR="00702C9B" w:rsidRPr="00702C9B" w:rsidRDefault="00702C9B" w:rsidP="00702C9B">
      <w:pPr>
        <w:spacing w:line="560" w:lineRule="exact"/>
        <w:rPr>
          <w:rFonts w:ascii="仿宋" w:eastAsia="仿宋" w:hAnsi="仿宋" w:cs="仿宋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  <w:t>可随申报书提供：项目需求与架构分析文档、数据库与接口设计文档、收银与运营操作说明、重点促销功能验收测试报告、系统演示环境及相关源代码材料。涉及业务数据、接口凭证和模型服务配置的内容，按公司数据安全和保密要求另行提供。</w:t>
      </w:r>
    </w:p>
    <w:p w:rsidR="00702C9B" w:rsidRPr="00702C9B" w:rsidRDefault="00702C9B" w:rsidP="00702C9B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  <w:r>
        <w:rPr>
          <w:rFonts w:ascii="方正仿宋简体" w:hAnsi="方正仿宋简体" w:eastAsia="方正仿宋简体"/>
          <w:b w:val="0"/>
          <w:sz w:val="32"/>
        </w:rPr>
      </w:r>
    </w:p>
    <w:sectPr w:rsidR="00702C9B" w:rsidRPr="00702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174" w:rsidRDefault="00E16174" w:rsidP="00702C9B">
      <w:r>
        <w:separator/>
      </w:r>
    </w:p>
  </w:endnote>
  <w:endnote w:type="continuationSeparator" w:id="0">
    <w:p w:rsidR="00E16174" w:rsidRDefault="00E16174" w:rsidP="0070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仿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174" w:rsidRDefault="00E16174" w:rsidP="00702C9B">
      <w:r>
        <w:separator/>
      </w:r>
    </w:p>
  </w:footnote>
  <w:footnote w:type="continuationSeparator" w:id="0">
    <w:p w:rsidR="00E16174" w:rsidRDefault="00E16174" w:rsidP="00702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442"/>
    <w:rsid w:val="000474B9"/>
    <w:rsid w:val="00047DD4"/>
    <w:rsid w:val="0007170E"/>
    <w:rsid w:val="00080B31"/>
    <w:rsid w:val="00092B23"/>
    <w:rsid w:val="000A1442"/>
    <w:rsid w:val="0014301F"/>
    <w:rsid w:val="001F5309"/>
    <w:rsid w:val="0022490A"/>
    <w:rsid w:val="0024042B"/>
    <w:rsid w:val="002C5007"/>
    <w:rsid w:val="002C65D9"/>
    <w:rsid w:val="002F64A6"/>
    <w:rsid w:val="00301225"/>
    <w:rsid w:val="00376E0C"/>
    <w:rsid w:val="0039689A"/>
    <w:rsid w:val="004E2839"/>
    <w:rsid w:val="004F5BD0"/>
    <w:rsid w:val="005252C4"/>
    <w:rsid w:val="00531097"/>
    <w:rsid w:val="005411A5"/>
    <w:rsid w:val="005E39F5"/>
    <w:rsid w:val="00677434"/>
    <w:rsid w:val="006C506D"/>
    <w:rsid w:val="00702C9B"/>
    <w:rsid w:val="00750FE3"/>
    <w:rsid w:val="007819B8"/>
    <w:rsid w:val="007C0FAA"/>
    <w:rsid w:val="008237DE"/>
    <w:rsid w:val="008B5386"/>
    <w:rsid w:val="009A3684"/>
    <w:rsid w:val="00A614A5"/>
    <w:rsid w:val="00AF69D1"/>
    <w:rsid w:val="00C04304"/>
    <w:rsid w:val="00C26C4A"/>
    <w:rsid w:val="00C82892"/>
    <w:rsid w:val="00D53B21"/>
    <w:rsid w:val="00D74127"/>
    <w:rsid w:val="00D91054"/>
    <w:rsid w:val="00D93DB3"/>
    <w:rsid w:val="00DA482E"/>
    <w:rsid w:val="00DA5582"/>
    <w:rsid w:val="00DB6516"/>
    <w:rsid w:val="00E16174"/>
    <w:rsid w:val="00E61719"/>
    <w:rsid w:val="00EC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97528"/>
  <w15:chartTrackingRefBased/>
  <w15:docId w15:val="{3F0CDF55-AFA2-4204-973D-7413087C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C9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2C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2C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2C9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2C9B"/>
    <w:rPr>
      <w:sz w:val="18"/>
      <w:szCs w:val="18"/>
    </w:rPr>
  </w:style>
  <w:style w:type="paragraph" w:styleId="a7">
    <w:name w:val="toa heading"/>
    <w:basedOn w:val="a"/>
    <w:next w:val="a"/>
    <w:qFormat/>
    <w:rsid w:val="00702C9B"/>
    <w:pPr>
      <w:spacing w:before="120"/>
    </w:pPr>
    <w:rPr>
      <w:rFonts w:ascii="Arial" w:hAnsi="Arial"/>
      <w:sz w:val="24"/>
    </w:rPr>
  </w:style>
  <w:style w:type="table" w:styleId="a8">
    <w:name w:val="Table Grid"/>
    <w:basedOn w:val="a1"/>
    <w:rsid w:val="00702C9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138</Words>
  <Characters>791</Characters>
  <Application>Microsoft Office Word</Application>
  <DocSecurity>0</DocSecurity>
  <Lines>6</Lines>
  <Paragraphs>1</Paragraphs>
  <ScaleCrop>false</ScaleCrop>
  <Company>神州网信技术有限公司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罗仕筱</dc:creator>
  <cp:keywords/>
  <dc:description/>
  <cp:lastModifiedBy>罗仕筱</cp:lastModifiedBy>
  <cp:revision>6</cp:revision>
  <dcterms:created xsi:type="dcterms:W3CDTF">2026-07-06T10:06:00Z</dcterms:created>
  <dcterms:modified xsi:type="dcterms:W3CDTF">2026-07-08T03:04:00Z</dcterms:modified>
</cp:coreProperties>
</file>