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97A50" w14:textId="6BCA0452" w:rsidR="009F1952" w:rsidRDefault="00DB403E" w:rsidP="00AC02B7">
      <w:pPr>
        <w:rPr>
          <w:b/>
          <w:bCs/>
          <w:sz w:val="26"/>
          <w:szCs w:val="28"/>
        </w:rPr>
      </w:pPr>
      <w:r>
        <w:rPr>
          <w:rFonts w:hint="eastAsia"/>
          <w:b/>
          <w:bCs/>
          <w:sz w:val="26"/>
          <w:szCs w:val="28"/>
        </w:rPr>
        <w:t>DFT 관련 툴 및 분석</w:t>
      </w:r>
    </w:p>
    <w:p w14:paraId="06109110" w14:textId="04855986" w:rsidR="00DB403E" w:rsidRPr="00DB403E" w:rsidRDefault="00DB403E" w:rsidP="00AC02B7">
      <w:pPr>
        <w:rPr>
          <w:rFonts w:hint="eastAsia"/>
          <w:b/>
          <w:bCs/>
        </w:rPr>
      </w:pPr>
      <w:r w:rsidRPr="00DB403E">
        <w:rPr>
          <w:rFonts w:hint="eastAsia"/>
          <w:b/>
          <w:bCs/>
        </w:rPr>
        <w:t>NBO &amp; NPA분석</w:t>
      </w:r>
    </w:p>
    <w:p w14:paraId="7B63D8FA" w14:textId="00445946" w:rsidR="00DB403E" w:rsidRDefault="00DB403E" w:rsidP="00AC02B7">
      <w:pPr>
        <w:rPr>
          <w:sz w:val="16"/>
          <w:szCs w:val="18"/>
        </w:rPr>
      </w:pPr>
      <w:r w:rsidRPr="00DB403E">
        <w:rPr>
          <w:sz w:val="16"/>
          <w:szCs w:val="18"/>
        </w:rPr>
        <w:t>NBO(Natural Bond Orbital)**와 **NPA(Natural Population Analysis)**는 모두 **자연 결합 이론(Natural Bonding Theory)**에 기반한 개념으로, 분자 내 전자 분포를 더 직관적이고 화학적으로 의미 있게 분석하기 위한 양자화학 도구입니다. 서로 깊이 연관되어 있으며, NBO가 "결합" 관점이라면 NPA는 "원자별 전자 분포"에 초점이 있습니다</w:t>
      </w:r>
      <w:r>
        <w:rPr>
          <w:rFonts w:hint="eastAsia"/>
          <w:sz w:val="16"/>
          <w:szCs w:val="18"/>
        </w:rPr>
        <w:t xml:space="preserve">. </w:t>
      </w:r>
    </w:p>
    <w:p w14:paraId="373EF9CB" w14:textId="4BD25683" w:rsidR="00DB403E" w:rsidRDefault="00DB403E" w:rsidP="00AC02B7">
      <w:pPr>
        <w:rPr>
          <w:sz w:val="16"/>
          <w:szCs w:val="18"/>
        </w:rPr>
      </w:pPr>
      <w:r w:rsidRPr="00DB403E">
        <w:rPr>
          <w:sz w:val="16"/>
          <w:szCs w:val="18"/>
        </w:rPr>
        <w:drawing>
          <wp:inline distT="0" distB="0" distL="0" distR="0" wp14:anchorId="4C099721" wp14:editId="43D8223F">
            <wp:extent cx="3187700" cy="2609850"/>
            <wp:effectExtent l="0" t="0" r="0" b="0"/>
            <wp:docPr id="1913722511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22511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876D" w14:textId="22A64221" w:rsidR="00DB403E" w:rsidRDefault="00DB403E" w:rsidP="00AC02B7">
      <w:pPr>
        <w:rPr>
          <w:sz w:val="16"/>
          <w:szCs w:val="18"/>
        </w:rPr>
      </w:pPr>
      <w:r w:rsidRPr="00DB403E">
        <w:rPr>
          <w:sz w:val="16"/>
          <w:szCs w:val="18"/>
        </w:rPr>
        <w:drawing>
          <wp:inline distT="0" distB="0" distL="0" distR="0" wp14:anchorId="1ECD6814" wp14:editId="2A5C6371">
            <wp:extent cx="3187700" cy="2308860"/>
            <wp:effectExtent l="0" t="0" r="0" b="0"/>
            <wp:docPr id="1000800459" name="그림 1" descr="텍스트, 스크린샷, 번호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00459" name="그림 1" descr="텍스트, 스크린샷, 번호, 폰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971C" w14:textId="27DF8D53" w:rsidR="00DB403E" w:rsidRPr="00DB403E" w:rsidRDefault="00DB403E" w:rsidP="00DB403E">
      <w:pPr>
        <w:rPr>
          <w:rFonts w:hint="eastAsia"/>
          <w:b/>
          <w:bCs/>
        </w:rPr>
      </w:pPr>
      <w:r>
        <w:rPr>
          <w:rFonts w:hint="eastAsia"/>
          <w:b/>
          <w:bCs/>
        </w:rPr>
        <w:t>NPA를 독립적으로 수행하는 오픈소스 JANPA소프트웨어</w:t>
      </w:r>
    </w:p>
    <w:p w14:paraId="78B31084" w14:textId="2F3E8A22" w:rsidR="00DB403E" w:rsidRDefault="00DB403E" w:rsidP="00DB403E">
      <w:pPr>
        <w:rPr>
          <w:sz w:val="16"/>
          <w:szCs w:val="18"/>
        </w:rPr>
      </w:pPr>
      <w:r w:rsidRPr="00DB403E">
        <w:rPr>
          <w:sz w:val="16"/>
          <w:szCs w:val="18"/>
        </w:rPr>
        <w:t xml:space="preserve">JANPA (Java-based Natural Population Analysis)**는 **Natural Population Analysis (NPA)**를 독립적으로 수행할 수 있도록 만든 오픈소스, 크로스플랫폼 소프트웨어입니다. </w:t>
      </w:r>
      <w:r w:rsidRPr="00DB403E">
        <w:rPr>
          <w:sz w:val="16"/>
          <w:szCs w:val="18"/>
        </w:rPr>
        <w:drawing>
          <wp:inline distT="0" distB="0" distL="0" distR="0" wp14:anchorId="20633D8C" wp14:editId="2A213DCD">
            <wp:extent cx="3187700" cy="1374775"/>
            <wp:effectExtent l="0" t="0" r="0" b="0"/>
            <wp:docPr id="1120927923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27923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DA0A" w14:textId="2754A2F0" w:rsidR="00DB403E" w:rsidRDefault="00DB403E" w:rsidP="00DB403E">
      <w:pPr>
        <w:rPr>
          <w:sz w:val="16"/>
          <w:szCs w:val="18"/>
        </w:rPr>
      </w:pPr>
      <w:r w:rsidRPr="00DB403E">
        <w:rPr>
          <w:sz w:val="16"/>
          <w:szCs w:val="18"/>
        </w:rPr>
        <w:drawing>
          <wp:inline distT="0" distB="0" distL="0" distR="0" wp14:anchorId="6395A4DF" wp14:editId="7FDDFAF2">
            <wp:extent cx="3187700" cy="1191895"/>
            <wp:effectExtent l="0" t="0" r="0" b="8255"/>
            <wp:docPr id="121469635" name="그림 1" descr="텍스트, 스크린샷, 폰트, 대수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9635" name="그림 1" descr="텍스트, 스크린샷, 폰트, 대수학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34A7" w14:textId="65B5BF1D" w:rsidR="00DB403E" w:rsidRDefault="00DB403E" w:rsidP="00DB403E">
      <w:pPr>
        <w:rPr>
          <w:sz w:val="16"/>
          <w:szCs w:val="18"/>
        </w:rPr>
      </w:pPr>
      <w:r w:rsidRPr="00DB403E">
        <w:rPr>
          <w:sz w:val="16"/>
          <w:szCs w:val="18"/>
        </w:rPr>
        <w:drawing>
          <wp:inline distT="0" distB="0" distL="0" distR="0" wp14:anchorId="0871AF9B" wp14:editId="6A6FFAD9">
            <wp:extent cx="3187700" cy="2127885"/>
            <wp:effectExtent l="0" t="0" r="0" b="5715"/>
            <wp:docPr id="378474213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74213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F9AB" w14:textId="77777777" w:rsidR="00DB403E" w:rsidRDefault="00DB403E" w:rsidP="00DB403E">
      <w:pPr>
        <w:rPr>
          <w:sz w:val="16"/>
          <w:szCs w:val="18"/>
        </w:rPr>
      </w:pPr>
    </w:p>
    <w:p w14:paraId="0C2EA5BF" w14:textId="210A6AD4" w:rsidR="00DB403E" w:rsidRDefault="00DB403E" w:rsidP="00DB403E">
      <w:pPr>
        <w:rPr>
          <w:b/>
          <w:bCs/>
          <w:sz w:val="20"/>
          <w:szCs w:val="22"/>
        </w:rPr>
      </w:pPr>
      <w:r w:rsidRPr="00DB403E">
        <w:rPr>
          <w:rFonts w:hint="eastAsia"/>
          <w:b/>
          <w:bCs/>
          <w:sz w:val="20"/>
          <w:szCs w:val="22"/>
        </w:rPr>
        <w:t>MEP 맵</w:t>
      </w:r>
      <w:r w:rsidRPr="00DB403E">
        <w:t xml:space="preserve"> </w:t>
      </w:r>
      <w:r w:rsidRPr="00DB403E">
        <w:rPr>
          <w:b/>
          <w:bCs/>
          <w:sz w:val="20"/>
          <w:szCs w:val="22"/>
        </w:rPr>
        <w:t>(Molecular Electrostatic Potential Map)</w:t>
      </w:r>
    </w:p>
    <w:p w14:paraId="4F7A57EC" w14:textId="22669B8C" w:rsidR="00DB403E" w:rsidRDefault="00DB403E" w:rsidP="00DB403E">
      <w:pPr>
        <w:rPr>
          <w:b/>
          <w:bCs/>
          <w:sz w:val="14"/>
          <w:szCs w:val="16"/>
        </w:rPr>
      </w:pPr>
      <w:r w:rsidRPr="00DB403E">
        <w:rPr>
          <w:b/>
          <w:bCs/>
          <w:sz w:val="14"/>
          <w:szCs w:val="16"/>
        </w:rPr>
        <w:drawing>
          <wp:inline distT="0" distB="0" distL="0" distR="0" wp14:anchorId="556A04AD" wp14:editId="64A234C7">
            <wp:extent cx="3187700" cy="1205230"/>
            <wp:effectExtent l="0" t="0" r="0" b="0"/>
            <wp:docPr id="300169489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69489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35E4" w14:textId="47B601ED" w:rsidR="001B5067" w:rsidRPr="001B5067" w:rsidRDefault="001B5067" w:rsidP="00DB403E">
      <w:pPr>
        <w:rPr>
          <w:rFonts w:hint="eastAsia"/>
          <w:sz w:val="14"/>
          <w:szCs w:val="16"/>
        </w:rPr>
      </w:pPr>
      <w:r w:rsidRPr="001B5067">
        <w:rPr>
          <w:sz w:val="14"/>
          <w:szCs w:val="16"/>
        </w:rPr>
        <w:drawing>
          <wp:anchor distT="0" distB="0" distL="114300" distR="114300" simplePos="0" relativeHeight="251659264" behindDoc="1" locked="0" layoutInCell="1" allowOverlap="1" wp14:anchorId="2C74B6F8" wp14:editId="516775F4">
            <wp:simplePos x="0" y="0"/>
            <wp:positionH relativeFrom="column">
              <wp:posOffset>-1143</wp:posOffset>
            </wp:positionH>
            <wp:positionV relativeFrom="paragraph">
              <wp:posOffset>-3734</wp:posOffset>
            </wp:positionV>
            <wp:extent cx="1126541" cy="1196782"/>
            <wp:effectExtent l="0" t="0" r="0" b="3810"/>
            <wp:wrapTight wrapText="bothSides">
              <wp:wrapPolygon edited="0">
                <wp:start x="0" y="0"/>
                <wp:lineTo x="0" y="21325"/>
                <wp:lineTo x="21186" y="21325"/>
                <wp:lineTo x="21186" y="0"/>
                <wp:lineTo x="0" y="0"/>
              </wp:wrapPolygon>
            </wp:wrapTight>
            <wp:docPr id="1484204249" name="그림 1" descr="그래픽, 창의성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9" name="그림 1" descr="그래픽, 창의성이(가) 표시된 사진&#10;&#10;AI가 생성한 콘텐츠는 부정확할 수 있습니다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541" cy="1196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5067">
        <w:rPr>
          <w:rFonts w:hint="eastAsia"/>
          <w:sz w:val="14"/>
          <w:szCs w:val="16"/>
        </w:rPr>
        <w:t>분자</w:t>
      </w:r>
      <w:r w:rsidRPr="001B5067">
        <w:rPr>
          <w:sz w:val="14"/>
          <w:szCs w:val="16"/>
        </w:rPr>
        <w:t xml:space="preserve"> 정전기 퍼텐셜(Molecular Electrostatic Potential, MEP)은 ORCA 패키지의 orca_plot 유틸리티를 통해 계산된 전자밀도 및 퍼텐셜 데이터를 기반으로 생성할 수 있으며, 이렇게 생성된 .cube 파일은 UCSF Chimera(버전 1.10.2)를 활용하여 직관적으로 시각화할 수 있다. ORCA에서 수행한 계산 결과를 orca_plot으로 후처리함으로써 전기적 퍼텐셜의 공간 분포를 3차원으로 표현할 수 있으며, Chimera에서는 이를 분자의 표면에 컬러맵 형태로 입혀 시각적으로 이해하기 쉽게 보여줄 수 있어 분자의 반응성이나 상호작용 부위를 해석하는 데 유용하게 활용된다.</w:t>
      </w:r>
    </w:p>
    <w:p w14:paraId="63E99FB2" w14:textId="52EEE63F" w:rsidR="00DB403E" w:rsidRPr="00DB403E" w:rsidRDefault="00DB403E" w:rsidP="00DB403E">
      <w:pPr>
        <w:rPr>
          <w:b/>
          <w:bCs/>
          <w:sz w:val="20"/>
          <w:szCs w:val="22"/>
        </w:rPr>
      </w:pPr>
      <w:r w:rsidRPr="00DB403E">
        <w:rPr>
          <w:rFonts w:hint="eastAsia"/>
          <w:b/>
          <w:bCs/>
          <w:sz w:val="20"/>
          <w:szCs w:val="22"/>
        </w:rPr>
        <w:t>원자</w:t>
      </w:r>
      <w:r w:rsidRPr="00DB403E">
        <w:rPr>
          <w:b/>
          <w:bCs/>
          <w:sz w:val="20"/>
          <w:szCs w:val="22"/>
        </w:rPr>
        <w:t xml:space="preserve"> 전하 (Atomic Charges)</w:t>
      </w:r>
    </w:p>
    <w:p w14:paraId="01C80EFF" w14:textId="22058B5A" w:rsidR="00DB403E" w:rsidRDefault="00DB403E" w:rsidP="00DB403E">
      <w:pPr>
        <w:rPr>
          <w:b/>
          <w:bCs/>
          <w:sz w:val="14"/>
          <w:szCs w:val="16"/>
        </w:rPr>
      </w:pPr>
      <w:r w:rsidRPr="00DB403E">
        <w:rPr>
          <w:b/>
          <w:bCs/>
          <w:sz w:val="14"/>
          <w:szCs w:val="16"/>
        </w:rPr>
        <w:drawing>
          <wp:inline distT="0" distB="0" distL="0" distR="0" wp14:anchorId="65CCA093" wp14:editId="5C8A1BCE">
            <wp:extent cx="3187700" cy="1090930"/>
            <wp:effectExtent l="0" t="0" r="0" b="0"/>
            <wp:docPr id="1733543328" name="그림 1" descr="텍스트, 스크린샷, 폰트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43328" name="그림 1" descr="텍스트, 스크린샷, 폰트, 소프트웨어이(가) 표시된 사진&#10;&#10;AI가 생성한 콘텐츠는 부정확할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2D2E" w14:textId="3203E577" w:rsidR="001B5067" w:rsidRPr="001B5067" w:rsidRDefault="001B5067" w:rsidP="00DB403E">
      <w:pPr>
        <w:rPr>
          <w:rFonts w:hint="eastAsia"/>
          <w:sz w:val="14"/>
          <w:szCs w:val="16"/>
        </w:rPr>
      </w:pPr>
      <w:r w:rsidRPr="001B5067">
        <w:rPr>
          <w:sz w:val="14"/>
          <w:szCs w:val="16"/>
        </w:rPr>
        <w:drawing>
          <wp:anchor distT="0" distB="0" distL="114300" distR="114300" simplePos="0" relativeHeight="251660288" behindDoc="1" locked="0" layoutInCell="1" allowOverlap="1" wp14:anchorId="08D7F9F5" wp14:editId="7E95BC58">
            <wp:simplePos x="0" y="0"/>
            <wp:positionH relativeFrom="column">
              <wp:posOffset>108585</wp:posOffset>
            </wp:positionH>
            <wp:positionV relativeFrom="paragraph">
              <wp:posOffset>12065</wp:posOffset>
            </wp:positionV>
            <wp:extent cx="848360" cy="916305"/>
            <wp:effectExtent l="0" t="0" r="8890" b="0"/>
            <wp:wrapTight wrapText="bothSides">
              <wp:wrapPolygon edited="0">
                <wp:start x="0" y="0"/>
                <wp:lineTo x="0" y="21106"/>
                <wp:lineTo x="21341" y="21106"/>
                <wp:lineTo x="21341" y="0"/>
                <wp:lineTo x="0" y="0"/>
              </wp:wrapPolygon>
            </wp:wrapTight>
            <wp:docPr id="1995243399" name="그림 1" descr="스크린샷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43399" name="그림 1" descr="스크린샷, 도표이(가) 표시된 사진&#10;&#10;AI가 생성한 콘텐츠는 부정확할 수 있습니다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5067">
        <w:rPr>
          <w:rFonts w:hint="eastAsia"/>
          <w:sz w:val="14"/>
          <w:szCs w:val="16"/>
        </w:rPr>
        <w:t>원자의</w:t>
      </w:r>
      <w:r w:rsidRPr="001B5067">
        <w:rPr>
          <w:sz w:val="14"/>
          <w:szCs w:val="16"/>
        </w:rPr>
        <w:t xml:space="preserve"> 부분 전하는 JANPA 소프트웨어 패키지(JAVA 기반의 Natural Population Analysis 도구)[55]를 이용하여 자연 집단 분석(Natural Population Analysis, NPA) 접근법으로 계산할 수 있다. NPA는 분자의 전자밀도 분포를 기반으로 자연 원자 궤도함수(Natural Atomic Orbitals, </w:t>
      </w:r>
      <w:r w:rsidRPr="001B5067">
        <w:rPr>
          <w:sz w:val="14"/>
          <w:szCs w:val="16"/>
        </w:rPr>
        <w:lastRenderedPageBreak/>
        <w:t>NAOs)를 생성하고, 이를 통해 각 원자에 귀속된 전자 수를 정량화함으로써 부분 전하를 산출하는 방법이다. JANPA는 Gaussian, ORCA, NWChem 등 다양한 양자화학 계산 프로그램의 출력 파일로부터 데이터를 변환하여 MOLDEN 포맷을 생성한 뒤, 이를 바탕으로 NPA 계산을 수행할 수 있는 기능을 제공하며, 직관적이고 신뢰도 높은 원자 전하 해석을 가능하게 한다.</w:t>
      </w:r>
    </w:p>
    <w:p w14:paraId="1507B82B" w14:textId="1A7B5CA3" w:rsidR="00DB403E" w:rsidRDefault="00DB403E" w:rsidP="00DB403E">
      <w:pPr>
        <w:rPr>
          <w:b/>
          <w:bCs/>
          <w:sz w:val="14"/>
          <w:szCs w:val="16"/>
        </w:rPr>
      </w:pPr>
      <w:r w:rsidRPr="00DB403E">
        <w:rPr>
          <w:b/>
          <w:bCs/>
          <w:sz w:val="14"/>
          <w:szCs w:val="16"/>
        </w:rPr>
        <w:drawing>
          <wp:inline distT="0" distB="0" distL="0" distR="0" wp14:anchorId="099D8A4C" wp14:editId="632EE0CA">
            <wp:extent cx="3187700" cy="1043940"/>
            <wp:effectExtent l="0" t="0" r="0" b="3810"/>
            <wp:docPr id="646795376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95376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211D" w14:textId="6EC0F2E8" w:rsidR="00DB403E" w:rsidRDefault="00DB403E" w:rsidP="00DB403E">
      <w:pPr>
        <w:rPr>
          <w:b/>
          <w:bCs/>
          <w:sz w:val="14"/>
          <w:szCs w:val="16"/>
        </w:rPr>
      </w:pPr>
      <w:r w:rsidRPr="00DB403E">
        <w:rPr>
          <w:b/>
          <w:bCs/>
          <w:sz w:val="14"/>
          <w:szCs w:val="16"/>
        </w:rPr>
        <w:drawing>
          <wp:inline distT="0" distB="0" distL="0" distR="0" wp14:anchorId="7B339C93" wp14:editId="465144CF">
            <wp:extent cx="3187700" cy="476250"/>
            <wp:effectExtent l="0" t="0" r="0" b="0"/>
            <wp:docPr id="261295333" name="그림 1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95333" name="그림 1" descr="텍스트, 폰트, 스크린샷, 라인이(가) 표시된 사진&#10;&#10;AI가 생성한 콘텐츠는 부정확할 수 있습니다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6088" w14:textId="77777777" w:rsidR="001B5067" w:rsidRDefault="001B5067" w:rsidP="00DB403E">
      <w:pPr>
        <w:rPr>
          <w:b/>
          <w:bCs/>
          <w:sz w:val="14"/>
          <w:szCs w:val="16"/>
        </w:rPr>
      </w:pPr>
    </w:p>
    <w:p w14:paraId="424B685F" w14:textId="0066CD07" w:rsidR="001B5067" w:rsidRDefault="001B5067" w:rsidP="00DB403E">
      <w:pPr>
        <w:rPr>
          <w:b/>
          <w:bCs/>
          <w:sz w:val="14"/>
          <w:szCs w:val="16"/>
        </w:rPr>
      </w:pPr>
      <w:r w:rsidRPr="001B5067">
        <w:rPr>
          <w:sz w:val="14"/>
          <w:szCs w:val="16"/>
        </w:rPr>
        <w:drawing>
          <wp:anchor distT="0" distB="0" distL="114300" distR="114300" simplePos="0" relativeHeight="251658240" behindDoc="1" locked="0" layoutInCell="1" allowOverlap="1" wp14:anchorId="6B25D0F6" wp14:editId="3A0F78B0">
            <wp:simplePos x="0" y="0"/>
            <wp:positionH relativeFrom="column">
              <wp:posOffset>-85536</wp:posOffset>
            </wp:positionH>
            <wp:positionV relativeFrom="paragraph">
              <wp:posOffset>258834</wp:posOffset>
            </wp:positionV>
            <wp:extent cx="1365250" cy="1484630"/>
            <wp:effectExtent l="0" t="0" r="6350" b="1270"/>
            <wp:wrapTight wrapText="bothSides">
              <wp:wrapPolygon edited="0">
                <wp:start x="0" y="0"/>
                <wp:lineTo x="0" y="21341"/>
                <wp:lineTo x="21399" y="21341"/>
                <wp:lineTo x="21399" y="0"/>
                <wp:lineTo x="0" y="0"/>
              </wp:wrapPolygon>
            </wp:wrapTight>
            <wp:docPr id="1765130497" name="그림 1" descr="텍스트, 만화 영화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30497" name="그림 1" descr="텍스트, 만화 영화이(가) 표시된 사진&#10;&#10;AI가 생성한 콘텐츠는 부정확할 수 있습니다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14"/>
          <w:szCs w:val="16"/>
        </w:rPr>
        <w:t>FUKUI Maps</w:t>
      </w:r>
    </w:p>
    <w:p w14:paraId="7AD4B016" w14:textId="593A7F5F" w:rsidR="001B5067" w:rsidRDefault="001B5067" w:rsidP="00DB403E">
      <w:pPr>
        <w:rPr>
          <w:sz w:val="14"/>
          <w:szCs w:val="16"/>
        </w:rPr>
      </w:pPr>
      <w:r w:rsidRPr="001B5067">
        <w:rPr>
          <w:sz w:val="14"/>
          <w:szCs w:val="16"/>
        </w:rPr>
        <w:t>Fukui isosurface map은 분자의 반응성(reactivity) 를 시각적으로 나타내기 위한 3D 지도입니다. 이 지도는 Fukui function이라 불리는 양자화학적 반응 지표를 기반으로 만들어지며, 주로 어디서 전자가 추가되거나 제거될 가능성이 높은지, 즉 친핵성(nucleophilic)·전기성(electrophilic) 공격이 일어날 위치를 보여줍니다.</w:t>
      </w:r>
    </w:p>
    <w:p w14:paraId="2075B017" w14:textId="51EB6857" w:rsidR="001B5067" w:rsidRDefault="001B5067" w:rsidP="00DB403E">
      <w:pPr>
        <w:rPr>
          <w:sz w:val="14"/>
          <w:szCs w:val="16"/>
        </w:rPr>
      </w:pPr>
    </w:p>
    <w:p w14:paraId="26C840A2" w14:textId="4D14FF03" w:rsidR="001B5067" w:rsidRDefault="001B5067" w:rsidP="00DB403E">
      <w:pPr>
        <w:rPr>
          <w:sz w:val="14"/>
          <w:szCs w:val="16"/>
        </w:rPr>
      </w:pPr>
      <w:r w:rsidRPr="001B5067">
        <w:rPr>
          <w:sz w:val="14"/>
          <w:szCs w:val="16"/>
        </w:rPr>
        <w:drawing>
          <wp:inline distT="0" distB="0" distL="0" distR="0" wp14:anchorId="3987F9AC" wp14:editId="7D86D040">
            <wp:extent cx="3187700" cy="2508250"/>
            <wp:effectExtent l="0" t="0" r="0" b="6350"/>
            <wp:docPr id="978700150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00150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7CE5" w14:textId="7756BE62" w:rsidR="001B5067" w:rsidRPr="001B5067" w:rsidRDefault="001B5067" w:rsidP="00DB403E">
      <w:pPr>
        <w:rPr>
          <w:rFonts w:hint="eastAsia"/>
          <w:sz w:val="14"/>
          <w:szCs w:val="16"/>
        </w:rPr>
      </w:pPr>
      <w:r w:rsidRPr="001B5067">
        <w:rPr>
          <w:sz w:val="14"/>
          <w:szCs w:val="16"/>
        </w:rPr>
        <w:drawing>
          <wp:inline distT="0" distB="0" distL="0" distR="0" wp14:anchorId="55D2ABB0" wp14:editId="7532D482">
            <wp:extent cx="3187700" cy="588010"/>
            <wp:effectExtent l="0" t="0" r="0" b="2540"/>
            <wp:docPr id="1773908911" name="그림 1" descr="텍스트, 스크린샷, 폰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08911" name="그림 1" descr="텍스트, 스크린샷, 폰트, 라인이(가) 표시된 사진&#10;&#10;AI가 생성한 콘텐츠는 부정확할 수 있습니다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067" w:rsidRPr="001B5067" w:rsidSect="00F53504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AFBE7" w14:textId="77777777" w:rsidR="00A54E00" w:rsidRDefault="00A54E00" w:rsidP="003359A0">
      <w:pPr>
        <w:spacing w:after="0"/>
      </w:pPr>
      <w:r>
        <w:separator/>
      </w:r>
    </w:p>
  </w:endnote>
  <w:endnote w:type="continuationSeparator" w:id="0">
    <w:p w14:paraId="201B0FE5" w14:textId="77777777" w:rsidR="00A54E00" w:rsidRDefault="00A54E00" w:rsidP="003359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9D051" w14:textId="77777777" w:rsidR="00A54E00" w:rsidRDefault="00A54E00" w:rsidP="003359A0">
      <w:pPr>
        <w:spacing w:after="0"/>
      </w:pPr>
      <w:r>
        <w:separator/>
      </w:r>
    </w:p>
  </w:footnote>
  <w:footnote w:type="continuationSeparator" w:id="0">
    <w:p w14:paraId="18507CAC" w14:textId="77777777" w:rsidR="00A54E00" w:rsidRDefault="00A54E00" w:rsidP="003359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72BFF"/>
    <w:multiLevelType w:val="hybridMultilevel"/>
    <w:tmpl w:val="13923CCA"/>
    <w:lvl w:ilvl="0" w:tplc="E7CADC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93321C6"/>
    <w:multiLevelType w:val="hybridMultilevel"/>
    <w:tmpl w:val="2C6217B2"/>
    <w:lvl w:ilvl="0" w:tplc="91D2B52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7731AE5"/>
    <w:multiLevelType w:val="hybridMultilevel"/>
    <w:tmpl w:val="FBFC7F1E"/>
    <w:lvl w:ilvl="0" w:tplc="D982EC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53438881">
    <w:abstractNumId w:val="0"/>
  </w:num>
  <w:num w:numId="2" w16cid:durableId="323558760">
    <w:abstractNumId w:val="1"/>
  </w:num>
  <w:num w:numId="3" w16cid:durableId="1164122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04"/>
    <w:rsid w:val="000220E3"/>
    <w:rsid w:val="000441DC"/>
    <w:rsid w:val="000B42A5"/>
    <w:rsid w:val="000F4C98"/>
    <w:rsid w:val="00111B11"/>
    <w:rsid w:val="001B5067"/>
    <w:rsid w:val="001D539E"/>
    <w:rsid w:val="00201BC6"/>
    <w:rsid w:val="002121C4"/>
    <w:rsid w:val="002278F6"/>
    <w:rsid w:val="00244233"/>
    <w:rsid w:val="002C47F0"/>
    <w:rsid w:val="002E062A"/>
    <w:rsid w:val="003359A0"/>
    <w:rsid w:val="00382803"/>
    <w:rsid w:val="003868CE"/>
    <w:rsid w:val="00391223"/>
    <w:rsid w:val="00397C9C"/>
    <w:rsid w:val="004350C4"/>
    <w:rsid w:val="004613E8"/>
    <w:rsid w:val="004C427C"/>
    <w:rsid w:val="00502CE8"/>
    <w:rsid w:val="005507E7"/>
    <w:rsid w:val="005C1275"/>
    <w:rsid w:val="005D47E8"/>
    <w:rsid w:val="005E2754"/>
    <w:rsid w:val="006E5BA3"/>
    <w:rsid w:val="006F30C9"/>
    <w:rsid w:val="006F4605"/>
    <w:rsid w:val="00785B34"/>
    <w:rsid w:val="007A38F8"/>
    <w:rsid w:val="007B1224"/>
    <w:rsid w:val="007E0689"/>
    <w:rsid w:val="008036A3"/>
    <w:rsid w:val="00836A02"/>
    <w:rsid w:val="00842774"/>
    <w:rsid w:val="00890F4B"/>
    <w:rsid w:val="008D70FC"/>
    <w:rsid w:val="00900090"/>
    <w:rsid w:val="0091393C"/>
    <w:rsid w:val="00946F58"/>
    <w:rsid w:val="009746FB"/>
    <w:rsid w:val="00977D5A"/>
    <w:rsid w:val="009B7DEB"/>
    <w:rsid w:val="009F1952"/>
    <w:rsid w:val="00A54E00"/>
    <w:rsid w:val="00AA7503"/>
    <w:rsid w:val="00AC02B7"/>
    <w:rsid w:val="00AE521B"/>
    <w:rsid w:val="00B62F49"/>
    <w:rsid w:val="00B87CCC"/>
    <w:rsid w:val="00B95BBB"/>
    <w:rsid w:val="00C27C00"/>
    <w:rsid w:val="00C341C8"/>
    <w:rsid w:val="00C96469"/>
    <w:rsid w:val="00CC460C"/>
    <w:rsid w:val="00DB403E"/>
    <w:rsid w:val="00DF62C2"/>
    <w:rsid w:val="00E767FD"/>
    <w:rsid w:val="00EA1924"/>
    <w:rsid w:val="00EE1ECB"/>
    <w:rsid w:val="00F41A77"/>
    <w:rsid w:val="00F5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811C1"/>
  <w15:chartTrackingRefBased/>
  <w15:docId w15:val="{177F6BEC-49BA-46E3-B8C7-27D5F7B5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03E"/>
  </w:style>
  <w:style w:type="paragraph" w:styleId="1">
    <w:name w:val="heading 1"/>
    <w:basedOn w:val="a"/>
    <w:next w:val="a"/>
    <w:link w:val="1Char"/>
    <w:uiPriority w:val="9"/>
    <w:qFormat/>
    <w:rsid w:val="00F5350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3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35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350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5350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5350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5350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5350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5350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350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5350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5350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535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535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535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535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535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5350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535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53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535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535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53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5350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5350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5350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53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5350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53504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53504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53504"/>
    <w:rPr>
      <w:color w:val="605E5C"/>
      <w:shd w:val="clear" w:color="auto" w:fill="E1DFDD"/>
    </w:rPr>
  </w:style>
  <w:style w:type="character" w:customStyle="1" w:styleId="link-annotation-unknown-block-id--1986677958">
    <w:name w:val="link-annotation-unknown-block-id--1986677958"/>
    <w:basedOn w:val="a0"/>
    <w:rsid w:val="006E5BA3"/>
  </w:style>
  <w:style w:type="paragraph" w:styleId="ac">
    <w:name w:val="header"/>
    <w:basedOn w:val="a"/>
    <w:link w:val="Char3"/>
    <w:uiPriority w:val="99"/>
    <w:unhideWhenUsed/>
    <w:rsid w:val="003359A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3359A0"/>
  </w:style>
  <w:style w:type="paragraph" w:styleId="ad">
    <w:name w:val="footer"/>
    <w:basedOn w:val="a"/>
    <w:link w:val="Char4"/>
    <w:uiPriority w:val="99"/>
    <w:unhideWhenUsed/>
    <w:rsid w:val="003359A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3359A0"/>
  </w:style>
  <w:style w:type="table" w:styleId="ae">
    <w:name w:val="Table Grid"/>
    <w:basedOn w:val="a1"/>
    <w:uiPriority w:val="39"/>
    <w:rsid w:val="00AE521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4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3058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19</cp:revision>
  <dcterms:created xsi:type="dcterms:W3CDTF">2025-03-07T07:08:00Z</dcterms:created>
  <dcterms:modified xsi:type="dcterms:W3CDTF">2025-03-31T13:22:00Z</dcterms:modified>
</cp:coreProperties>
</file>