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line="276" w:lineRule="auto"/>
        <w:jc w:val="left"/>
      </w:pPr>
      <w:r>
        <w:rPr>
          <w:rFonts w:ascii="Segoe UI" w:hAnsi="Segoe UI"/>
          <w:b/>
          <w:color w:val="0F172A"/>
          <w:sz w:val="48"/>
        </w:rPr>
        <w:t>STORAGE AUDITOR &amp; SAFE MOVER</w:t>
      </w:r>
    </w:p>
    <w:p>
      <w:pPr>
        <w:spacing w:after="280" w:before="0" w:line="276" w:lineRule="auto"/>
        <w:jc w:val="left"/>
      </w:pPr>
      <w:r>
        <w:rPr>
          <w:rFonts w:ascii="Segoe UI" w:hAnsi="Segoe UI"/>
          <w:color w:val="2563EB"/>
          <w:sz w:val="26"/>
        </w:rPr>
        <w:t>Especificação Arquitetural de Engenharia, Auditoria C: vs D: e Diretrizes de Execução</w:t>
      </w:r>
    </w:p>
    <w:tbl>
      <w:tblPr>
        <w:tblW w:type="auto" w:w="0"/>
        <w:jc w:val="center"/>
        <w:tblLayout w:type="fixed"/>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2304"/>
            <w:shd w:fill="F1F5F9"/>
            <w:tcMar>
              <w:top w:w="80" w:type="dxa"/>
              <w:bottom w:w="80" w:type="dxa"/>
              <w:left w:w="100" w:type="dxa"/>
              <w:right w:w="100" w:type="dxa"/>
            </w:tcMar>
          </w:tcPr>
          <w:p>
            <w:pPr>
              <w:spacing w:before="0" w:after="20"/>
            </w:pPr>
            <w:r>
              <w:rPr>
                <w:rFonts w:ascii="Segoe UI" w:hAnsi="Segoe UI"/>
                <w:b/>
                <w:color w:val="64748B"/>
                <w:sz w:val="15"/>
              </w:rPr>
              <w:t>Autor / Responsável</w:t>
              <w:br/>
            </w:r>
            <w:r>
              <w:rPr>
                <w:rFonts w:ascii="Calibri" w:hAnsi="Calibri"/>
                <w:b/>
                <w:color w:val="0F172A"/>
                <w:sz w:val="17"/>
              </w:rPr>
              <w:t>Eduardo Borborema (dyduq12)</w:t>
            </w:r>
          </w:p>
        </w:tc>
        <w:tc>
          <w:tcPr>
            <w:tcW w:type="dxa" w:w="2304"/>
            <w:shd w:fill="F1F5F9"/>
            <w:tcMar>
              <w:top w:w="80" w:type="dxa"/>
              <w:bottom w:w="80" w:type="dxa"/>
              <w:left w:w="100" w:type="dxa"/>
              <w:right w:w="100" w:type="dxa"/>
            </w:tcMar>
          </w:tcPr>
          <w:p>
            <w:pPr>
              <w:spacing w:before="0" w:after="20"/>
            </w:pPr>
            <w:r>
              <w:rPr>
                <w:rFonts w:ascii="Segoe UI" w:hAnsi="Segoe UI"/>
                <w:b/>
                <w:color w:val="64748B"/>
                <w:sz w:val="15"/>
              </w:rPr>
              <w:t>Ambiente Operacional</w:t>
              <w:br/>
            </w:r>
            <w:r>
              <w:rPr>
                <w:rFonts w:ascii="Calibri" w:hAnsi="Calibri"/>
                <w:b/>
                <w:color w:val="0F172A"/>
                <w:sz w:val="17"/>
              </w:rPr>
              <w:t>Windows 11 x64 (NTFS)</w:t>
            </w:r>
          </w:p>
        </w:tc>
        <w:tc>
          <w:tcPr>
            <w:tcW w:type="dxa" w:w="2304"/>
            <w:shd w:fill="F1F5F9"/>
            <w:tcMar>
              <w:top w:w="80" w:type="dxa"/>
              <w:bottom w:w="80" w:type="dxa"/>
              <w:left w:w="100" w:type="dxa"/>
              <w:right w:w="100" w:type="dxa"/>
            </w:tcMar>
          </w:tcPr>
          <w:p>
            <w:pPr>
              <w:spacing w:before="0" w:after="20"/>
            </w:pPr>
            <w:r>
              <w:rPr>
                <w:rFonts w:ascii="Segoe UI" w:hAnsi="Segoe UI"/>
                <w:b/>
                <w:color w:val="64748B"/>
                <w:sz w:val="15"/>
              </w:rPr>
              <w:t>Discos Alvo</w:t>
              <w:br/>
            </w:r>
            <w:r>
              <w:rPr>
                <w:rFonts w:ascii="Calibri" w:hAnsi="Calibri"/>
                <w:b/>
                <w:color w:val="0F172A"/>
                <w:sz w:val="17"/>
              </w:rPr>
              <w:t>SSD C: (500GB) | D: (1TB)</w:t>
            </w:r>
          </w:p>
        </w:tc>
        <w:tc>
          <w:tcPr>
            <w:tcW w:type="dxa" w:w="2448"/>
            <w:shd w:fill="F1F5F9"/>
            <w:tcMar>
              <w:top w:w="80" w:type="dxa"/>
              <w:bottom w:w="80" w:type="dxa"/>
              <w:left w:w="100" w:type="dxa"/>
              <w:right w:w="100" w:type="dxa"/>
            </w:tcMar>
          </w:tcPr>
          <w:p>
            <w:pPr>
              <w:spacing w:before="0" w:after="20"/>
            </w:pPr>
            <w:r>
              <w:rPr>
                <w:rFonts w:ascii="Segoe UI" w:hAnsi="Segoe UI"/>
                <w:b/>
                <w:color w:val="64748B"/>
                <w:sz w:val="15"/>
              </w:rPr>
              <w:t>Versão da Especificação</w:t>
              <w:br/>
            </w:r>
            <w:r>
              <w:rPr>
                <w:rFonts w:ascii="Calibri" w:hAnsi="Calibri"/>
                <w:b/>
                <w:color w:val="0F172A"/>
                <w:sz w:val="17"/>
              </w:rPr>
              <w:t>v1.0 (Consenso Arquitetural)</w:t>
            </w:r>
          </w:p>
        </w:tc>
      </w:tr>
      <w:tr>
        <w:tc>
          <w:tcPr>
            <w:tcW w:type="dxa" w:w="2304"/>
            <w:shd w:fill="F8FAFC"/>
            <w:tcMar>
              <w:top w:w="80" w:type="dxa"/>
              <w:bottom w:w="80" w:type="dxa"/>
              <w:left w:w="100" w:type="dxa"/>
              <w:right w:w="100" w:type="dxa"/>
            </w:tcMar>
          </w:tcPr>
          <w:p>
            <w:pPr>
              <w:spacing w:before="0" w:after="20"/>
            </w:pPr>
            <w:r>
              <w:rPr>
                <w:rFonts w:ascii="Segoe UI" w:hAnsi="Segoe UI"/>
                <w:b/>
                <w:color w:val="64748B"/>
                <w:sz w:val="15"/>
              </w:rPr>
              <w:t>Metodologia</w:t>
              <w:br/>
            </w:r>
            <w:r>
              <w:rPr>
                <w:rFonts w:ascii="Calibri" w:hAnsi="Calibri"/>
                <w:b/>
                <w:color w:val="0F172A"/>
                <w:sz w:val="17"/>
              </w:rPr>
              <w:t>Project Phase Architect</w:t>
            </w:r>
          </w:p>
        </w:tc>
        <w:tc>
          <w:tcPr>
            <w:tcW w:type="dxa" w:w="2304"/>
            <w:shd w:fill="F8FAFC"/>
            <w:tcMar>
              <w:top w:w="80" w:type="dxa"/>
              <w:bottom w:w="80" w:type="dxa"/>
              <w:left w:w="100" w:type="dxa"/>
              <w:right w:w="100" w:type="dxa"/>
            </w:tcMar>
          </w:tcPr>
          <w:p>
            <w:pPr>
              <w:spacing w:before="0" w:after="20"/>
            </w:pPr>
            <w:r>
              <w:rPr>
                <w:rFonts w:ascii="Segoe UI" w:hAnsi="Segoe UI"/>
                <w:b/>
                <w:color w:val="64748B"/>
                <w:sz w:val="15"/>
              </w:rPr>
              <w:t>Stack Core</w:t>
              <w:br/>
            </w:r>
            <w:r>
              <w:rPr>
                <w:rFonts w:ascii="Calibri" w:hAnsi="Calibri"/>
                <w:b/>
                <w:color w:val="0F172A"/>
                <w:sz w:val="17"/>
              </w:rPr>
              <w:t>Python 3.11+ / CustomTkinter</w:t>
            </w:r>
          </w:p>
        </w:tc>
        <w:tc>
          <w:tcPr>
            <w:tcW w:type="dxa" w:w="2304"/>
            <w:shd w:fill="F8FAFC"/>
            <w:tcMar>
              <w:top w:w="80" w:type="dxa"/>
              <w:bottom w:w="80" w:type="dxa"/>
              <w:left w:w="100" w:type="dxa"/>
              <w:right w:w="100" w:type="dxa"/>
            </w:tcMar>
          </w:tcPr>
          <w:p>
            <w:pPr>
              <w:spacing w:before="0" w:after="20"/>
            </w:pPr>
            <w:r>
              <w:rPr>
                <w:rFonts w:ascii="Segoe UI" w:hAnsi="Segoe UI"/>
                <w:b/>
                <w:color w:val="64748B"/>
                <w:sz w:val="15"/>
              </w:rPr>
              <w:t>IA Orquestradora</w:t>
              <w:br/>
            </w:r>
            <w:r>
              <w:rPr>
                <w:rFonts w:ascii="Calibri" w:hAnsi="Calibri"/>
                <w:b/>
                <w:color w:val="0F172A"/>
                <w:sz w:val="17"/>
              </w:rPr>
              <w:t>Gemini Spark (Planejamento)</w:t>
            </w:r>
          </w:p>
        </w:tc>
        <w:tc>
          <w:tcPr>
            <w:tcW w:type="dxa" w:w="2448"/>
            <w:shd w:fill="F8FAFC"/>
            <w:tcMar>
              <w:top w:w="80" w:type="dxa"/>
              <w:bottom w:w="80" w:type="dxa"/>
              <w:left w:w="100" w:type="dxa"/>
              <w:right w:w="100" w:type="dxa"/>
            </w:tcMar>
          </w:tcPr>
          <w:p>
            <w:pPr>
              <w:spacing w:before="0" w:after="20"/>
            </w:pPr>
            <w:r>
              <w:rPr>
                <w:rFonts w:ascii="Segoe UI" w:hAnsi="Segoe UI"/>
                <w:b/>
                <w:color w:val="64748B"/>
                <w:sz w:val="15"/>
              </w:rPr>
              <w:t>IA Executora Alvo</w:t>
              <w:br/>
            </w:r>
            <w:r>
              <w:rPr>
                <w:rFonts w:ascii="Calibri" w:hAnsi="Calibri"/>
                <w:b/>
                <w:color w:val="0F172A"/>
                <w:sz w:val="17"/>
              </w:rPr>
              <w:t>Claude Sonnet (via Perplexity)</w:t>
            </w:r>
          </w:p>
        </w:tc>
      </w:tr>
    </w:tbl>
    <w:p>
      <w:pPr>
        <w:spacing w:after="280" w:before="200" w:line="276" w:lineRule="auto"/>
        <w:jc w:val="left"/>
      </w:pPr>
      <w:r>
        <w:rPr>
          <w:color w:val="CBD5E1"/>
        </w:rPr>
        <w:t>――――――――――――――――――――――――――――――――――――――――――――――――――――――――――</w:t>
      </w:r>
    </w:p>
    <w:p>
      <w:pPr>
        <w:spacing w:after="120" w:before="320" w:line="276" w:lineRule="auto"/>
        <w:jc w:val="left"/>
      </w:pPr>
      <w:r>
        <w:rPr>
          <w:rFonts w:ascii="Segoe UI" w:hAnsi="Segoe UI"/>
          <w:b/>
          <w:color w:val="0F172A"/>
          <w:sz w:val="32"/>
        </w:rPr>
        <w:t>1. Contexto Operacional e Diagnóstico Crítico do Armazenamento</w:t>
      </w:r>
    </w:p>
    <w:p>
      <w:pPr>
        <w:spacing w:after="160" w:before="0" w:line="288" w:lineRule="auto"/>
        <w:jc w:val="left"/>
      </w:pPr>
      <w:r>
        <w:rPr>
          <w:rFonts w:ascii="Calibri" w:hAnsi="Calibri"/>
          <w:color w:val="334155"/>
          <w:sz w:val="20"/>
        </w:rPr>
        <w:t>O projeto Storage Auditor &amp; Safe Mover nasce da necessidade crítica de reorganização e mitigação de saturação de dados em um ambiente Windows 11 de alta densidade técnica, composto por duas unidades físicas de armazenamento com funções e restrições assimétricas: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Disco C: (SSD NVMe ~500 GB): </w:t>
      </w:r>
      <w:r>
        <w:rPr>
          <w:rFonts w:ascii="Calibri" w:hAnsi="Calibri"/>
          <w:color w:val="334155"/>
          <w:sz w:val="20"/>
        </w:rPr>
        <w:t>Unidade do Sistema Operacional. Contém o diretório do Windows, Program Files, perfis de usuário completos (%USERPROFILE%), incluindo as pastas Documents, Downloads, Desktop, Pictures, Videos e pastas ocultas de dados de aplicativos (%APPDATA%, %LOCALAPPDATA%). Apresenta alta concorrência de I/O e acúmulo de arquivos vitais e temporários misturados.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Disco D: (Armazenamento Secundário ~1 TB): </w:t>
      </w:r>
      <w:r>
        <w:rPr>
          <w:rFonts w:ascii="Calibri" w:hAnsi="Calibri"/>
          <w:color w:val="334155"/>
          <w:sz w:val="20"/>
        </w:rPr>
        <w:t>Unidade destinada a bibliotecas de jogos pesados, instaladores, arquivos de mídia e grandes volumes. Encontra-se em estado crítico de capacidade: apenas ~80 GB livres restantes (menos de 8% de folga), o que impede novas instalações e ameaça a estabilidade operacional de descompressão de arquivos.</w:t>
      </w:r>
    </w:p>
    <w:tbl>
      <w:tblPr>
        <w:tblW w:type="auto" w:w="0"/>
        <w:jc w:val="center"/>
        <w:tblLayout w:type="fixed"/>
        <w:tblLook w:firstColumn="1" w:firstRow="1" w:lastColumn="0" w:lastRow="0" w:noHBand="0" w:noVBand="1" w:val="04A0"/>
      </w:tblPr>
      <w:tblGrid>
        <w:gridCol w:w="9360"/>
      </w:tblGrid>
      <w:tr>
        <w:tc>
          <w:tcPr>
            <w:tcW w:type="dxa" w:w="9360"/>
            <w:shd w:fill="FFFBEB"/>
            <w:tcBorders>
              <w:left w:val="single" w:sz="28" w:space="0" w:color="D97706"/>
              <w:top w:val="none"/>
              <w:right w:val="none"/>
              <w:bottom w:val="none"/>
            </w:tcBorders>
            <w:tcMar>
              <w:top w:w="140" w:type="dxa"/>
              <w:bottom w:w="140" w:type="dxa"/>
              <w:left w:w="200" w:type="dxa"/>
              <w:right w:w="160" w:type="dxa"/>
            </w:tcMar>
          </w:tcPr>
          <w:p>
            <w:pPr>
              <w:spacing w:before="0" w:after="80"/>
            </w:pPr>
            <w:r>
              <w:rPr>
                <w:rFonts w:ascii="Segoe UI" w:hAnsi="Segoe UI"/>
                <w:b/>
                <w:color w:val="0F172A"/>
                <w:sz w:val="21"/>
              </w:rPr>
              <w:t>DIAGNÓSTICO DO PROBLEMA: O DILEMA DA FAXINA CEGA</w:t>
            </w:r>
          </w:p>
          <w:p>
            <w:pPr>
              <w:spacing w:before="40" w:after="60" w:line="276" w:lineRule="auto"/>
            </w:pPr>
            <w:r>
              <w:rPr>
                <w:rFonts w:ascii="Calibri" w:hAnsi="Calibri"/>
                <w:color w:val="334155"/>
                <w:sz w:val="19"/>
              </w:rPr>
              <w:t>Para liberar espaço na unidade D:, é mandatório desinstalar jogos volumosos e remover redundâncias.</w:t>
            </w:r>
          </w:p>
          <w:p>
            <w:pPr>
              <w:spacing w:before="40" w:after="60" w:line="276" w:lineRule="auto"/>
            </w:pPr>
            <w:r>
              <w:rPr>
                <w:rFonts w:ascii="Calibri" w:hAnsi="Calibri"/>
                <w:color w:val="334155"/>
                <w:sz w:val="19"/>
              </w:rPr>
              <w:t>Entretanto, muitos desses jogos (sejam instalados via Steam, Epic Games, Hydra Launcher, FitGirl Repacks ou pastas portáteis avulsas) gravam seus dados mais sensíveis — saves de dezenas de horas, perfis de configuração, binds e mods — silenciosamente dentro do disco C: (%USERPROFILE%\Documents e %LOCALAPPDATA%).</w:t>
            </w:r>
          </w:p>
          <w:p>
            <w:pPr>
              <w:spacing w:before="40" w:after="60" w:line="276" w:lineRule="auto"/>
            </w:pPr>
            <w:r>
              <w:rPr>
                <w:rFonts w:ascii="Calibri" w:hAnsi="Calibri"/>
                <w:color w:val="334155"/>
                <w:sz w:val="19"/>
              </w:rPr>
              <w:t>A desinstalação ou deleção precipitada em D: sem o devido mapeamento prévio de dependências em C: acarreta perda irreversível de progresso ou deixa centenas de gigabytes de resíduos órfãos em C:.</w:t>
            </w:r>
          </w:p>
          <w:p>
            <w:pPr>
              <w:spacing w:before="40" w:after="60" w:line="276" w:lineRule="auto"/>
            </w:pPr>
            <w:r>
              <w:rPr>
                <w:rFonts w:ascii="Calibri" w:hAnsi="Calibri"/>
                <w:color w:val="334155"/>
                <w:sz w:val="19"/>
              </w:rPr>
              <w:t>Adicionalmente, existem centenas de arquivos na pasta Downloads e Vídeos de C: que já possuem cópias na unidade D:, muitas vezes armazenados sob nomes ligeiramente diferentes ou pastas com estruturas alteradas. Tentar comparar apenas pelo nome do arquivo geraria dezenas de falsos negativos e falsos positivos.</w:t>
            </w:r>
          </w:p>
        </w:tc>
      </w:tr>
    </w:tbl>
    <w:p>
      <w:pPr>
        <w:spacing w:before="0" w:after="120"/>
      </w:pPr>
    </w:p>
    <w:p>
      <w:pPr>
        <w:spacing w:after="120" w:before="320" w:line="276" w:lineRule="auto"/>
        <w:jc w:val="left"/>
      </w:pPr>
      <w:r>
        <w:rPr>
          <w:rFonts w:ascii="Segoe UI" w:hAnsi="Segoe UI"/>
          <w:b/>
          <w:color w:val="0F172A"/>
          <w:sz w:val="32"/>
        </w:rPr>
        <w:t>2. Decisões Arquiteturais Validadas e Princípios Fundamentais</w:t>
      </w:r>
    </w:p>
    <w:p>
      <w:pPr>
        <w:spacing w:after="160" w:before="0" w:line="288" w:lineRule="auto"/>
        <w:jc w:val="left"/>
      </w:pPr>
      <w:r>
        <w:rPr>
          <w:rFonts w:ascii="Calibri" w:hAnsi="Calibri"/>
          <w:color w:val="334155"/>
          <w:sz w:val="20"/>
        </w:rPr>
        <w:t>Durante as sessões de diagnóstico e arquitetura prévia (Fase 0 a Fase 2 do Project Phase Architect), foram estabelecidos pilares inegociáveis que norteiam todo o projeto de software:</w:t>
      </w:r>
    </w:p>
    <w:p>
      <w:pPr>
        <w:spacing w:after="80" w:before="240" w:line="276" w:lineRule="auto"/>
        <w:jc w:val="left"/>
      </w:pPr>
      <w:r>
        <w:rPr>
          <w:rFonts w:ascii="Segoe UI" w:hAnsi="Segoe UI"/>
          <w:b/>
          <w:color w:val="2563EB"/>
          <w:sz w:val="25"/>
        </w:rPr>
        <w:t>2.1. Princípio da Separação Estrita (Auditor vs. Executor)</w:t>
      </w:r>
    </w:p>
    <w:p>
      <w:pPr>
        <w:spacing w:after="160" w:before="0" w:line="288" w:lineRule="auto"/>
        <w:jc w:val="left"/>
      </w:pPr>
      <w:r>
        <w:rPr>
          <w:rFonts w:ascii="Calibri" w:hAnsi="Calibri"/>
          <w:color w:val="334155"/>
          <w:sz w:val="20"/>
        </w:rPr>
        <w:t>O software NÃO deve ser um script monolítico que lê e apaga simultaneamente. Ele é estritamente bifurcado em dois motores independentes: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Motor 1 (Auditor &amp; Reporter - Read-Only): </w:t>
      </w:r>
      <w:r>
        <w:rPr>
          <w:rFonts w:ascii="Calibri" w:hAnsi="Calibri"/>
          <w:color w:val="334155"/>
          <w:sz w:val="20"/>
        </w:rPr>
        <w:t>Executa varreduras exclusivamente em modo de leitura. Mapeia metadados, calcula fingerprints, cruza dados entre C: e D:, mapeia jogos e gera arquivos estruturados de saída (.json e .xlsx). Jamais altera, move ou deleta um único byte do sistema.</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Motor 2 (Safe Mover - Executor com Verificação de Integridade): </w:t>
      </w:r>
      <w:r>
        <w:rPr>
          <w:rFonts w:ascii="Calibri" w:hAnsi="Calibri"/>
          <w:color w:val="334155"/>
          <w:sz w:val="20"/>
        </w:rPr>
        <w:t>Executa apenas sob uma lista de ordens validadas (Action Plan). Implementa a lógica Move Segura: copia o arquivo para o destino, verifica se o tamanho e o hash parcial conferem 100% com a origem e, somente após a confirmação criptográfica, remove o arquivo original da origem. O software NUNCA deleta arquivos marcados para exclusão definitiva: ele apenas os isola ou lista para que o usuário execute a deleção manualmente.</w:t>
      </w:r>
    </w:p>
    <w:p>
      <w:pPr>
        <w:spacing w:after="80" w:before="240" w:line="276" w:lineRule="auto"/>
        <w:jc w:val="left"/>
      </w:pPr>
      <w:r>
        <w:rPr>
          <w:rFonts w:ascii="Segoe UI" w:hAnsi="Segoe UI"/>
          <w:b/>
          <w:color w:val="2563EB"/>
          <w:sz w:val="25"/>
        </w:rPr>
        <w:t>2.2. Algoritmo Fast Fingerprint (Hashing em 4 Estágios)</w:t>
      </w:r>
    </w:p>
    <w:p>
      <w:pPr>
        <w:spacing w:after="160" w:before="0" w:line="288" w:lineRule="auto"/>
        <w:jc w:val="left"/>
      </w:pPr>
      <w:r>
        <w:rPr>
          <w:rFonts w:ascii="Calibri" w:hAnsi="Calibri"/>
          <w:color w:val="334155"/>
          <w:sz w:val="20"/>
        </w:rPr>
        <w:t>Comparar milhares de arquivos somando centenas de gigabytes lendo hashes completos (como SHA-256 total) causaria estrangulamento térmico e lentidão extrema de I/O em discos magnéticos ou SSDs SATA. A arquitetura valida uma verificação escalonada de impressão digital:</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Estágio 0 (Filtro Zero / Pré-descarte): </w:t>
      </w:r>
      <w:r>
        <w:rPr>
          <w:rFonts w:ascii="Calibri" w:hAnsi="Calibri"/>
          <w:color w:val="334155"/>
          <w:sz w:val="20"/>
        </w:rPr>
        <w:t>Descarta automaticamente arquivos de sistema e transitórios irrelevantes para backup (.dll, .tmp, .sys, .log, .cab, caches de shaders DirectX/Vulkan).</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Estágio 1 (Agrupamento por Tamanho Exato em Bytes): </w:t>
      </w:r>
      <w:r>
        <w:rPr>
          <w:rFonts w:ascii="Calibri" w:hAnsi="Calibri"/>
          <w:color w:val="334155"/>
          <w:sz w:val="20"/>
        </w:rPr>
        <w:t>Obtido diretamente da tabela de diretórios NTFS via os.scandir (sem invocar os.stat repetidamente). Se o tamanho em bytes de um arquivo em C: não coincide com nenhum tamanho em D:, ele é imediatamente classificado como único, com ZERO leitura de dados no disco.</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Estágio 2 (Amostragem Rápida em Colisão): </w:t>
      </w:r>
      <w:r>
        <w:rPr>
          <w:rFonts w:ascii="Calibri" w:hAnsi="Calibri"/>
          <w:color w:val="334155"/>
          <w:sz w:val="20"/>
        </w:rPr>
        <w:t>Quando dois ou mais arquivos possuem exatamente o mesmo tamanho em bytes, lê-se apenas os primeiros 64 KB (offset 0) e os últimos 64 KB (fim do arquivo). Gera-se um hash SHA-256 amostral. Se as amostras forem divergentes, os arquivos são declarados distintos.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Estágio 3 (Hash Completo Criptográfico): </w:t>
      </w:r>
      <w:r>
        <w:rPr>
          <w:rFonts w:ascii="Calibri" w:hAnsi="Calibri"/>
          <w:color w:val="334155"/>
          <w:sz w:val="20"/>
        </w:rPr>
        <w:t>Apenas para arquivos onde tanto o tamanho quanto o hash amostral colidirem, executa-se o SHA-256 completo em blocos de 1 MB. Para arquivos acima de 2 GB, a amostragem amostral é expandida com amostragem central.</w:t>
      </w:r>
    </w:p>
    <w:p>
      <w:pPr>
        <w:spacing w:after="80" w:before="240" w:line="276" w:lineRule="auto"/>
        <w:jc w:val="left"/>
      </w:pPr>
      <w:r>
        <w:rPr>
          <w:rFonts w:ascii="Segoe UI" w:hAnsi="Segoe UI"/>
          <w:b/>
          <w:color w:val="2563EB"/>
          <w:sz w:val="25"/>
        </w:rPr>
        <w:t>2.3. Mapeamento Heurístico de Jogos, Saves e Resolução de WindowsApps</w:t>
      </w:r>
    </w:p>
    <w:p>
      <w:pPr>
        <w:spacing w:after="160" w:before="0" w:line="288" w:lineRule="auto"/>
        <w:jc w:val="left"/>
      </w:pPr>
      <w:r>
        <w:rPr>
          <w:rFonts w:ascii="Calibri" w:hAnsi="Calibri"/>
          <w:color w:val="334155"/>
          <w:sz w:val="20"/>
        </w:rPr>
        <w:t>O sistema reconhece de forma agnóstica as quatro formas como jogos estão distribuídos na máquina:</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Steam: </w:t>
      </w:r>
      <w:r>
        <w:rPr>
          <w:rFonts w:ascii="Calibri" w:hAnsi="Calibri"/>
          <w:color w:val="334155"/>
          <w:sz w:val="20"/>
        </w:rPr>
        <w:t>Lê o arquivo de manifesto VDF padrão (libraryfolders.vdf) e os manifestos appmanifest_*.acf em D: para identificar títulos, AppIDs e pastas de instalação oficiais.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Epic Games &amp; Launchers Conhecidos: </w:t>
      </w:r>
      <w:r>
        <w:rPr>
          <w:rFonts w:ascii="Calibri" w:hAnsi="Calibri"/>
          <w:color w:val="334155"/>
          <w:sz w:val="20"/>
        </w:rPr>
        <w:t>Varre diretórios de instalação de programas e manifestos (.item) da Epic Games Launcher.</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Instalações Avulsas (Hydra Launcher, FitGirl Repacks, D:\Games): </w:t>
      </w:r>
      <w:r>
        <w:rPr>
          <w:rFonts w:ascii="Calibri" w:hAnsi="Calibri"/>
          <w:color w:val="334155"/>
          <w:sz w:val="20"/>
        </w:rPr>
        <w:t>Varre diretórios em D:\Games e diretórios customizados, identificando os executáveis principais (.exe), tamanho em disco e nomes de pastas higienizados.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WindowsApps &amp; Jogos da Microsoft Store / Xbox (Permissão Especial): </w:t>
      </w:r>
      <w:r>
        <w:rPr>
          <w:rFonts w:ascii="Calibri" w:hAnsi="Calibri"/>
          <w:color w:val="334155"/>
          <w:sz w:val="20"/>
        </w:rPr>
        <w:t>A pasta WindowsApps é protegida pelo TrustedInstaller do Windows. Acessar via Python comum gera PermissionError. A solução validada é utilizar chamadas assíncronas PowerShell nativas via Get-AppxPackage e Get-AppxVolume. Isso obtém nomes de aplicativos, IDs do pacote e diretórios sem quebrar o isolamento de segurança do sistema operacional.</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Heurística Reversa de Saves: </w:t>
      </w:r>
      <w:r>
        <w:rPr>
          <w:rFonts w:ascii="Calibri" w:hAnsi="Calibri"/>
          <w:color w:val="334155"/>
          <w:sz w:val="20"/>
        </w:rPr>
        <w:t>Cruza o nome do jogo e seu executável contra padrões em %USERPROFILE%\Documents, %LOCALAPPDATA%, %APPDATA% e %USERPROFILE%\Saved Games, identificando onde residem os dados de progresso e indicando seu tamanho antes que o jogo seja desinstalado de D:.</w:t>
      </w:r>
    </w:p>
    <w:p>
      <w:pPr>
        <w:spacing w:after="80" w:before="240" w:line="276" w:lineRule="auto"/>
        <w:jc w:val="left"/>
      </w:pPr>
      <w:r>
        <w:rPr>
          <w:rFonts w:ascii="Segoe UI" w:hAnsi="Segoe UI"/>
          <w:b/>
          <w:color w:val="2563EB"/>
          <w:sz w:val="25"/>
        </w:rPr>
        <w:t>2.4. Interface Gráfica Responsiva (CustomTkinter)</w:t>
      </w:r>
    </w:p>
    <w:p>
      <w:pPr>
        <w:spacing w:after="160" w:before="0" w:line="288" w:lineRule="auto"/>
        <w:jc w:val="left"/>
      </w:pPr>
      <w:r>
        <w:rPr>
          <w:rFonts w:ascii="Calibri" w:hAnsi="Calibri"/>
          <w:color w:val="334155"/>
          <w:sz w:val="20"/>
        </w:rPr>
        <w:t>A interface deve ser desktop nativa em Python puro, com suporte a tema escuro moderno:</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Modo Híbrido de Seleção: </w:t>
      </w:r>
      <w:r>
        <w:rPr>
          <w:rFonts w:ascii="Calibri" w:hAnsi="Calibri"/>
          <w:color w:val="334155"/>
          <w:sz w:val="20"/>
        </w:rPr>
        <w:t>Checkboxes pré-marcados para pastas padrão do usuário (Desktop, Documents, Downloads, Videos, Pictures) somados a um painel de inserção dinâmica de pastas manuais através de caixa de diálogo nativa do Windows (filedialog.askdirectory).</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Thread-Safety e Zero Congelamento: </w:t>
      </w:r>
      <w:r>
        <w:rPr>
          <w:rFonts w:ascii="Calibri" w:hAnsi="Calibri"/>
          <w:color w:val="334155"/>
          <w:sz w:val="20"/>
        </w:rPr>
        <w:t>Toda a varredura e processamento de I/O de disco opera em uma thread secundária (threading.Thread). A interface gráfica se comunica via filas de eventos thread-safe (queue.Queue), garantindo que a barra de progresso, status de arquivo e botões respondam a 60 FPS sem congelar o Windows.</w:t>
      </w:r>
    </w:p>
    <w:p>
      <w:pPr>
        <w:spacing w:after="120" w:before="320" w:line="276" w:lineRule="auto"/>
        <w:jc w:val="left"/>
      </w:pPr>
      <w:r>
        <w:rPr>
          <w:rFonts w:ascii="Segoe UI" w:hAnsi="Segoe UI"/>
          <w:b/>
          <w:color w:val="0F172A"/>
          <w:sz w:val="32"/>
        </w:rPr>
        <w:t>3. Estrutura Modular Proposta e Contratos de Dados</w:t>
      </w:r>
    </w:p>
    <w:p>
      <w:pPr>
        <w:spacing w:after="160" w:before="0" w:line="288" w:lineRule="auto"/>
        <w:jc w:val="left"/>
      </w:pPr>
      <w:r>
        <w:rPr>
          <w:rFonts w:ascii="Calibri" w:hAnsi="Calibri"/>
          <w:color w:val="334155"/>
          <w:sz w:val="20"/>
        </w:rPr>
        <w:t>A base de código deve ser estritamente desacoplada em módulos com responsabilidade única (Single Responsibility Principle):</w:t>
      </w:r>
    </w:p>
    <w:tbl>
      <w:tblPr>
        <w:tblW w:type="auto" w:w="0"/>
        <w:jc w:val="center"/>
        <w:tblLayout w:type="fixed"/>
        <w:tblLook w:firstColumn="1" w:firstRow="1" w:lastColumn="0" w:lastRow="0" w:noHBand="0" w:noVBand="1" w:val="04A0"/>
      </w:tblPr>
      <w:tblGrid>
        <w:gridCol w:w="9360"/>
      </w:tblGrid>
      <w:tr>
        <w:tc>
          <w:tcPr>
            <w:tcW w:type="dxa" w:w="9360"/>
            <w:shd w:fill="0F172A"/>
            <w:tcBorders>
              <w:left w:val="single" w:sz="20" w:space="0" w:color="38BDF8"/>
              <w:top w:val="none"/>
              <w:right w:val="none"/>
              <w:bottom w:val="none"/>
            </w:tcBorders>
            <w:tcMar>
              <w:top w:w="120" w:type="dxa"/>
              <w:bottom w:w="120" w:type="dxa"/>
              <w:left w:w="160" w:type="dxa"/>
              <w:right w:w="140" w:type="dxa"/>
            </w:tcMar>
          </w:tcPr>
          <w:p>
            <w:pPr>
              <w:spacing w:before="0" w:after="20" w:line="252" w:lineRule="auto"/>
            </w:pPr>
            <w:r>
              <w:rPr>
                <w:rFonts w:ascii="Consolas" w:hAnsi="Consolas"/>
                <w:color w:val="F1F5F9"/>
                <w:sz w:val="17"/>
              </w:rPr>
              <w:t>storage_auditor/</w:t>
            </w:r>
          </w:p>
          <w:p>
            <w:pPr>
              <w:spacing w:before="0" w:after="20" w:line="252" w:lineRule="auto"/>
            </w:pPr>
            <w:r>
              <w:rPr>
                <w:rFonts w:ascii="Consolas" w:hAnsi="Consolas"/>
                <w:color w:val="F1F5F9"/>
                <w:sz w:val="17"/>
              </w:rPr>
              <w:t>│</w:t>
            </w:r>
          </w:p>
          <w:p>
            <w:pPr>
              <w:spacing w:before="0" w:after="20" w:line="252" w:lineRule="auto"/>
            </w:pPr>
            <w:r>
              <w:rPr>
                <w:rFonts w:ascii="Consolas" w:hAnsi="Consolas"/>
                <w:color w:val="F1F5F9"/>
                <w:sz w:val="17"/>
              </w:rPr>
              <w:t>├── main.py                     # Ponto de entrada que inicializa a GUI e a injeção de dependências</w:t>
            </w:r>
          </w:p>
          <w:p>
            <w:pPr>
              <w:spacing w:before="0" w:after="20" w:line="252" w:lineRule="auto"/>
            </w:pPr>
            <w:r>
              <w:rPr>
                <w:rFonts w:ascii="Consolas" w:hAnsi="Consolas"/>
                <w:color w:val="F1F5F9"/>
                <w:sz w:val="17"/>
              </w:rPr>
              <w:t>├── config.py                   # Constantes, pastas padrão do Windows, extensões ignoradas</w:t>
            </w:r>
          </w:p>
          <w:p>
            <w:pPr>
              <w:spacing w:before="0" w:after="20" w:line="252" w:lineRule="auto"/>
            </w:pPr>
            <w:r>
              <w:rPr>
                <w:rFonts w:ascii="Consolas" w:hAnsi="Consolas"/>
                <w:color w:val="F1F5F9"/>
                <w:sz w:val="17"/>
              </w:rPr>
              <w:t>│</w:t>
            </w:r>
          </w:p>
          <w:p>
            <w:pPr>
              <w:spacing w:before="0" w:after="20" w:line="252" w:lineRule="auto"/>
            </w:pPr>
            <w:r>
              <w:rPr>
                <w:rFonts w:ascii="Consolas" w:hAnsi="Consolas"/>
                <w:color w:val="F1F5F9"/>
                <w:sz w:val="17"/>
              </w:rPr>
              <w:t>├── core/</w:t>
            </w:r>
          </w:p>
          <w:p>
            <w:pPr>
              <w:spacing w:before="0" w:after="20" w:line="252" w:lineRule="auto"/>
            </w:pPr>
            <w:r>
              <w:rPr>
                <w:rFonts w:ascii="Consolas" w:hAnsi="Consolas"/>
                <w:color w:val="F1F5F9"/>
                <w:sz w:val="17"/>
              </w:rPr>
              <w:t>│   ├── __init__.py</w:t>
            </w:r>
          </w:p>
          <w:p>
            <w:pPr>
              <w:spacing w:before="0" w:after="20" w:line="252" w:lineRule="auto"/>
            </w:pPr>
            <w:r>
              <w:rPr>
                <w:rFonts w:ascii="Consolas" w:hAnsi="Consolas"/>
                <w:color w:val="F1F5F9"/>
                <w:sz w:val="17"/>
              </w:rPr>
              <w:t>│   ├── scanner.py              # Motor assíncrono de varredura NTFS via os.scandir</w:t>
            </w:r>
          </w:p>
          <w:p>
            <w:pPr>
              <w:spacing w:before="0" w:after="20" w:line="252" w:lineRule="auto"/>
            </w:pPr>
            <w:r>
              <w:rPr>
                <w:rFonts w:ascii="Consolas" w:hAnsi="Consolas"/>
                <w:color w:val="F1F5F9"/>
                <w:sz w:val="17"/>
              </w:rPr>
              <w:t>│   ├── fingerprint.py          # Implementação da checagem em 4 estágios (Size -&gt; Sample -&gt; SHA256)</w:t>
            </w:r>
          </w:p>
          <w:p>
            <w:pPr>
              <w:spacing w:before="0" w:after="20" w:line="252" w:lineRule="auto"/>
            </w:pPr>
            <w:r>
              <w:rPr>
                <w:rFonts w:ascii="Consolas" w:hAnsi="Consolas"/>
                <w:color w:val="F1F5F9"/>
                <w:sz w:val="17"/>
              </w:rPr>
              <w:t>│   ├── game_mapper.py          # Heurística de jogos (Steam, Epic, Hydra, FitGirl) e saves</w:t>
            </w:r>
          </w:p>
          <w:p>
            <w:pPr>
              <w:spacing w:before="0" w:after="20" w:line="252" w:lineRule="auto"/>
            </w:pPr>
            <w:r>
              <w:rPr>
                <w:rFonts w:ascii="Consolas" w:hAnsi="Consolas"/>
                <w:color w:val="F1F5F9"/>
                <w:sz w:val="17"/>
              </w:rPr>
              <w:t>│   ├── windows_apps.py         # Wrapper PowerShell para extração segura de apps da MS Store</w:t>
            </w:r>
          </w:p>
          <w:p>
            <w:pPr>
              <w:spacing w:before="0" w:after="20" w:line="252" w:lineRule="auto"/>
            </w:pPr>
            <w:r>
              <w:rPr>
                <w:rFonts w:ascii="Consolas" w:hAnsi="Consolas"/>
                <w:color w:val="F1F5F9"/>
                <w:sz w:val="17"/>
              </w:rPr>
              <w:t>│   ├── comparator.py           # Cruzamento relacional dos dados entre C: e D:</w:t>
            </w:r>
          </w:p>
          <w:p>
            <w:pPr>
              <w:spacing w:before="0" w:after="20" w:line="252" w:lineRule="auto"/>
            </w:pPr>
            <w:r>
              <w:rPr>
                <w:rFonts w:ascii="Consolas" w:hAnsi="Consolas"/>
                <w:color w:val="F1F5F9"/>
                <w:sz w:val="17"/>
              </w:rPr>
              <w:t>│   └── mover.py                # Safe Mover: verificação de integridade pós-cópia e log seguro</w:t>
            </w:r>
          </w:p>
          <w:p>
            <w:pPr>
              <w:spacing w:before="0" w:after="20" w:line="252" w:lineRule="auto"/>
            </w:pPr>
            <w:r>
              <w:rPr>
                <w:rFonts w:ascii="Consolas" w:hAnsi="Consolas"/>
                <w:color w:val="F1F5F9"/>
                <w:sz w:val="17"/>
              </w:rPr>
              <w:t>│</w:t>
            </w:r>
          </w:p>
          <w:p>
            <w:pPr>
              <w:spacing w:before="0" w:after="20" w:line="252" w:lineRule="auto"/>
            </w:pPr>
            <w:r>
              <w:rPr>
                <w:rFonts w:ascii="Consolas" w:hAnsi="Consolas"/>
                <w:color w:val="F1F5F9"/>
                <w:sz w:val="17"/>
              </w:rPr>
              <w:t>├── exporters/</w:t>
            </w:r>
          </w:p>
          <w:p>
            <w:pPr>
              <w:spacing w:before="0" w:after="20" w:line="252" w:lineRule="auto"/>
            </w:pPr>
            <w:r>
              <w:rPr>
                <w:rFonts w:ascii="Consolas" w:hAnsi="Consolas"/>
                <w:color w:val="F1F5F9"/>
                <w:sz w:val="17"/>
              </w:rPr>
              <w:t>│   ├── __init__.py</w:t>
            </w:r>
          </w:p>
          <w:p>
            <w:pPr>
              <w:spacing w:before="0" w:after="20" w:line="252" w:lineRule="auto"/>
            </w:pPr>
            <w:r>
              <w:rPr>
                <w:rFonts w:ascii="Consolas" w:hAnsi="Consolas"/>
                <w:color w:val="F1F5F9"/>
                <w:sz w:val="17"/>
              </w:rPr>
              <w:t>│   ├── json_exporter.py        # Segmentação dos dados em múltiplos JSONs especializados</w:t>
            </w:r>
          </w:p>
          <w:p>
            <w:pPr>
              <w:spacing w:before="0" w:after="20" w:line="252" w:lineRule="auto"/>
            </w:pPr>
            <w:r>
              <w:rPr>
                <w:rFonts w:ascii="Consolas" w:hAnsi="Consolas"/>
                <w:color w:val="F1F5F9"/>
                <w:sz w:val="17"/>
              </w:rPr>
              <w:t>│   └── excel_exporter.py       # Planilha formatada multi-abas com openpyxl</w:t>
            </w:r>
          </w:p>
          <w:p>
            <w:pPr>
              <w:spacing w:before="0" w:after="20" w:line="252" w:lineRule="auto"/>
            </w:pPr>
            <w:r>
              <w:rPr>
                <w:rFonts w:ascii="Consolas" w:hAnsi="Consolas"/>
                <w:color w:val="F1F5F9"/>
                <w:sz w:val="17"/>
              </w:rPr>
              <w:t>│</w:t>
            </w:r>
          </w:p>
          <w:p>
            <w:pPr>
              <w:spacing w:before="0" w:after="20" w:line="252" w:lineRule="auto"/>
            </w:pPr>
            <w:r>
              <w:rPr>
                <w:rFonts w:ascii="Consolas" w:hAnsi="Consolas"/>
                <w:color w:val="F1F5F9"/>
                <w:sz w:val="17"/>
              </w:rPr>
              <w:t>├── gui/</w:t>
            </w:r>
          </w:p>
          <w:p>
            <w:pPr>
              <w:spacing w:before="0" w:after="20" w:line="252" w:lineRule="auto"/>
            </w:pPr>
            <w:r>
              <w:rPr>
                <w:rFonts w:ascii="Consolas" w:hAnsi="Consolas"/>
                <w:color w:val="F1F5F9"/>
                <w:sz w:val="17"/>
              </w:rPr>
              <w:t>│   ├── __init__.py</w:t>
            </w:r>
          </w:p>
          <w:p>
            <w:pPr>
              <w:spacing w:before="0" w:after="20" w:line="252" w:lineRule="auto"/>
            </w:pPr>
            <w:r>
              <w:rPr>
                <w:rFonts w:ascii="Consolas" w:hAnsi="Consolas"/>
                <w:color w:val="F1F5F9"/>
                <w:sz w:val="17"/>
              </w:rPr>
              <w:t>│   ├── app.py                  # Janela principal CustomTkinter e orquestração de threads</w:t>
            </w:r>
          </w:p>
          <w:p>
            <w:pPr>
              <w:spacing w:before="0" w:after="20" w:line="252" w:lineRule="auto"/>
            </w:pPr>
            <w:r>
              <w:rPr>
                <w:rFonts w:ascii="Consolas" w:hAnsi="Consolas"/>
                <w:color w:val="F1F5F9"/>
                <w:sz w:val="17"/>
              </w:rPr>
              <w:t>│   ├── components.py           # Widgets reutilizáveis (Card de pasta, barra de progresso, tabela)</w:t>
            </w:r>
          </w:p>
          <w:p>
            <w:pPr>
              <w:spacing w:before="0" w:after="20" w:line="252" w:lineRule="auto"/>
            </w:pPr>
            <w:r>
              <w:rPr>
                <w:rFonts w:ascii="Consolas" w:hAnsi="Consolas"/>
                <w:color w:val="F1F5F9"/>
                <w:sz w:val="17"/>
              </w:rPr>
              <w:t>│   └── styles.py               # Paleta de cores, tipografia e temas escuros</w:t>
            </w:r>
          </w:p>
          <w:p>
            <w:pPr>
              <w:spacing w:before="0" w:after="20" w:line="252" w:lineRule="auto"/>
            </w:pPr>
            <w:r>
              <w:rPr>
                <w:rFonts w:ascii="Consolas" w:hAnsi="Consolas"/>
                <w:color w:val="F1F5F9"/>
                <w:sz w:val="17"/>
              </w:rPr>
              <w:t>│</w:t>
            </w:r>
          </w:p>
          <w:p>
            <w:pPr>
              <w:spacing w:before="0" w:after="20" w:line="252" w:lineRule="auto"/>
            </w:pPr>
            <w:r>
              <w:rPr>
                <w:rFonts w:ascii="Consolas" w:hAnsi="Consolas"/>
                <w:color w:val="F1F5F9"/>
                <w:sz w:val="17"/>
              </w:rPr>
              <w:t>└── reports/                    # Diretório gerado contendo os artefatos de saída</w:t>
            </w:r>
          </w:p>
        </w:tc>
      </w:tr>
    </w:tbl>
    <w:p>
      <w:pPr>
        <w:spacing w:before="0" w:after="120"/>
      </w:pPr>
    </w:p>
    <w:p>
      <w:pPr>
        <w:spacing w:after="80" w:before="240" w:line="276" w:lineRule="auto"/>
        <w:jc w:val="left"/>
      </w:pPr>
      <w:r>
        <w:rPr>
          <w:rFonts w:ascii="Segoe UI" w:hAnsi="Segoe UI"/>
          <w:b/>
          <w:color w:val="2563EB"/>
          <w:sz w:val="25"/>
        </w:rPr>
        <w:t>3.1. Especificação dos Relatórios de Saída</w:t>
      </w:r>
    </w:p>
    <w:p>
      <w:pPr>
        <w:spacing w:after="160" w:before="0" w:line="288" w:lineRule="auto"/>
        <w:jc w:val="left"/>
      </w:pPr>
      <w:r>
        <w:rPr>
          <w:rFonts w:ascii="Calibri" w:hAnsi="Calibri"/>
          <w:color w:val="334155"/>
          <w:sz w:val="20"/>
        </w:rPr>
        <w:t>Ao concluir a varredura, o módulo de exportação deve segmentar os dados na pasta reports/ em quatro arquivos JSON específicos, além de uma planilha consolidada:</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duplicatas_confirmadas.json: </w:t>
      </w:r>
      <w:r>
        <w:rPr>
          <w:rFonts w:ascii="Calibri" w:hAnsi="Calibri"/>
          <w:color w:val="334155"/>
          <w:sz w:val="20"/>
        </w:rPr>
        <w:t>Lista de arquivos cujo tamanho e fingerprint coincidem exatamente entre C: e D:. Contém caminho_origem, caminho_destino, tamanho_bytes, hash_amostral e espaço_recuperavel.</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pendentes_de_backup_para_d.json: </w:t>
      </w:r>
      <w:r>
        <w:rPr>
          <w:rFonts w:ascii="Calibri" w:hAnsi="Calibri"/>
          <w:color w:val="334155"/>
          <w:sz w:val="20"/>
        </w:rPr>
        <w:t>Lista de arquivos exclusivos de C: que pertencem às pastas importantes e ainda não possuem nenhuma réplica em D:. Essencial para planejar o que deve ser transferido.</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inventario_jogos_e_saves.json: </w:t>
      </w:r>
      <w:r>
        <w:rPr>
          <w:rFonts w:ascii="Calibri" w:hAnsi="Calibri"/>
          <w:color w:val="334155"/>
          <w:sz w:val="20"/>
        </w:rPr>
        <w:t>Inventário completo de jogos detectados em D: com tamanho em disco, launcher detectado, e uma lista com os caminhos absolutos e tamanhos dos seus respectivos saves/dados em C:.</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documentos_avulsos.json: </w:t>
      </w:r>
      <w:r>
        <w:rPr>
          <w:rFonts w:ascii="Calibri" w:hAnsi="Calibri"/>
          <w:color w:val="334155"/>
          <w:sz w:val="20"/>
        </w:rPr>
        <w:t>Filtro especializado na pasta Downloads e Desktop para documentos cruciais (.pdf, .docx, .xlsx, .pptx, .txt, .zip) com data de modificação e prioridade de preservação.</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auditoria_completa.xlsx: </w:t>
      </w:r>
      <w:r>
        <w:rPr>
          <w:rFonts w:ascii="Calibri" w:hAnsi="Calibri"/>
          <w:color w:val="334155"/>
          <w:sz w:val="20"/>
        </w:rPr>
        <w:t>Planilha Excel com abas separadas: 'Dashboard Geral', 'Duplicatas em C e D', 'Pendentes para Backup', e 'Jogos &amp; Saves', com colunas coloridas, totais calculados e filtros automáticos.</w:t>
      </w:r>
    </w:p>
    <w:p>
      <w:pPr>
        <w:spacing w:after="120" w:before="320" w:line="276" w:lineRule="auto"/>
        <w:jc w:val="left"/>
      </w:pPr>
      <w:r>
        <w:rPr>
          <w:rFonts w:ascii="Segoe UI" w:hAnsi="Segoe UI"/>
          <w:b/>
          <w:color w:val="0F172A"/>
          <w:sz w:val="32"/>
        </w:rPr>
        <w:t>4. Plano de Execução por Fases e Versões</w:t>
      </w:r>
    </w:p>
    <w:p>
      <w:pPr>
        <w:spacing w:after="160" w:before="0" w:line="288" w:lineRule="auto"/>
        <w:jc w:val="left"/>
      </w:pPr>
      <w:r>
        <w:rPr>
          <w:rFonts w:ascii="Calibri" w:hAnsi="Calibri"/>
          <w:color w:val="334155"/>
          <w:sz w:val="20"/>
        </w:rPr>
        <w:t>O desenvolvimento é escalonado em versões incrementais funcionais, garantindo que o núcleo computacional de I/O esteja 100% testado antes do acoplamento visual:</w:t>
      </w:r>
    </w:p>
    <w:tbl>
      <w:tblPr>
        <w:tblW w:type="auto" w:w="0"/>
        <w:jc w:val="center"/>
        <w:tblLayout w:type="fixed"/>
        <w:tblLook w:firstColumn="1" w:firstRow="1" w:lastColumn="0" w:lastRow="0" w:noHBand="0" w:noVBand="1" w:val="04A0"/>
        <w:tblBorders>
          <w:top w:val="single" w:sz="4" w:space="0" w:color="CBD5E1"/>
          <w:bottom w:val="single" w:sz="8" w:space="0" w:color="CBD5E1"/>
          <w:insideH w:val="single" w:sz="4" w:space="0" w:color="CBD5E1"/>
          <w:insideV w:val="none"/>
          <w:left w:val="none"/>
          <w:right w:val="none"/>
        </w:tblBorders>
      </w:tblPr>
      <w:tblGrid>
        <w:gridCol w:w="2340"/>
        <w:gridCol w:w="2340"/>
        <w:gridCol w:w="2340"/>
        <w:gridCol w:w="2340"/>
      </w:tblGrid>
      <w:tr>
        <w:tc>
          <w:tcPr>
            <w:tcW w:type="dxa" w:w="1584"/>
            <w:shd w:fill="0F172A"/>
            <w:tcMar>
              <w:top w:w="100" w:type="dxa"/>
              <w:bottom w:w="100" w:type="dxa"/>
              <w:left w:w="100" w:type="dxa"/>
              <w:right w:w="100" w:type="dxa"/>
            </w:tcMar>
          </w:tcPr>
          <w:p>
            <w:pPr>
              <w:spacing w:before="0" w:after="0"/>
            </w:pPr>
            <w:r>
              <w:rPr>
                <w:rFonts w:ascii="Segoe UI" w:hAnsi="Segoe UI"/>
                <w:b/>
                <w:color w:val="FFFFFF"/>
                <w:sz w:val="17"/>
              </w:rPr>
              <w:t>Versão</w:t>
            </w:r>
          </w:p>
        </w:tc>
        <w:tc>
          <w:tcPr>
            <w:tcW w:type="dxa" w:w="2592"/>
            <w:shd w:fill="0F172A"/>
            <w:tcMar>
              <w:top w:w="100" w:type="dxa"/>
              <w:bottom w:w="100" w:type="dxa"/>
              <w:left w:w="100" w:type="dxa"/>
              <w:right w:w="100" w:type="dxa"/>
            </w:tcMar>
          </w:tcPr>
          <w:p>
            <w:pPr>
              <w:spacing w:before="0" w:after="0"/>
            </w:pPr>
            <w:r>
              <w:rPr>
                <w:rFonts w:ascii="Segoe UI" w:hAnsi="Segoe UI"/>
                <w:b/>
                <w:color w:val="FFFFFF"/>
                <w:sz w:val="17"/>
              </w:rPr>
              <w:t>Foco Técnico</w:t>
            </w:r>
          </w:p>
        </w:tc>
        <w:tc>
          <w:tcPr>
            <w:tcW w:type="dxa" w:w="3168"/>
            <w:shd w:fill="0F172A"/>
            <w:tcMar>
              <w:top w:w="100" w:type="dxa"/>
              <w:bottom w:w="100" w:type="dxa"/>
              <w:left w:w="100" w:type="dxa"/>
              <w:right w:w="100" w:type="dxa"/>
            </w:tcMar>
          </w:tcPr>
          <w:p>
            <w:pPr>
              <w:spacing w:before="0" w:after="0"/>
            </w:pPr>
            <w:r>
              <w:rPr>
                <w:rFonts w:ascii="Segoe UI" w:hAnsi="Segoe UI"/>
                <w:b/>
                <w:color w:val="FFFFFF"/>
                <w:sz w:val="17"/>
              </w:rPr>
              <w:t>Módulos Entregáveis</w:t>
            </w:r>
          </w:p>
        </w:tc>
        <w:tc>
          <w:tcPr>
            <w:tcW w:type="dxa" w:w="2016"/>
            <w:shd w:fill="0F172A"/>
            <w:tcMar>
              <w:top w:w="100" w:type="dxa"/>
              <w:bottom w:w="100" w:type="dxa"/>
              <w:left w:w="100" w:type="dxa"/>
              <w:right w:w="100" w:type="dxa"/>
            </w:tcMar>
          </w:tcPr>
          <w:p>
            <w:pPr>
              <w:spacing w:before="0" w:after="0"/>
            </w:pPr>
            <w:r>
              <w:rPr>
                <w:rFonts w:ascii="Segoe UI" w:hAnsi="Segoe UI"/>
                <w:b/>
                <w:color w:val="FFFFFF"/>
                <w:sz w:val="17"/>
              </w:rPr>
              <w:t>Objetivo Prático</w:t>
            </w:r>
          </w:p>
        </w:tc>
      </w:tr>
      <w:tr>
        <w:tc>
          <w:tcPr>
            <w:tcW w:type="dxa" w:w="1584"/>
            <w:shd w:fill="F8FAFC"/>
            <w:tcMar>
              <w:top w:w="90" w:type="dxa"/>
              <w:bottom w:w="90" w:type="dxa"/>
              <w:left w:w="100" w:type="dxa"/>
              <w:right w:w="100" w:type="dxa"/>
            </w:tcMar>
          </w:tcPr>
          <w:p>
            <w:pPr>
              <w:spacing w:before="0" w:after="0"/>
            </w:pPr>
            <w:r>
              <w:rPr>
                <w:rFonts w:ascii="Calibri" w:hAnsi="Calibri"/>
                <w:b/>
                <w:color w:val="0F172A"/>
                <w:sz w:val="17"/>
              </w:rPr>
              <w:t>v0.0.1 (Fase 1)</w:t>
            </w:r>
          </w:p>
        </w:tc>
        <w:tc>
          <w:tcPr>
            <w:tcW w:type="dxa" w:w="2592"/>
            <w:shd w:fill="F8FAFC"/>
            <w:tcMar>
              <w:top w:w="90" w:type="dxa"/>
              <w:bottom w:w="90" w:type="dxa"/>
              <w:left w:w="100" w:type="dxa"/>
              <w:right w:w="100" w:type="dxa"/>
            </w:tcMar>
          </w:tcPr>
          <w:p>
            <w:pPr>
              <w:spacing w:before="0" w:after="0"/>
            </w:pPr>
            <w:r>
              <w:rPr>
                <w:rFonts w:ascii="Calibri" w:hAnsi="Calibri"/>
                <w:b w:val="0"/>
                <w:color w:val="0F172A"/>
                <w:sz w:val="17"/>
              </w:rPr>
              <w:t>Core Engines &amp; Varredura Otimizada</w:t>
            </w:r>
          </w:p>
        </w:tc>
        <w:tc>
          <w:tcPr>
            <w:tcW w:type="dxa" w:w="3168"/>
            <w:shd w:fill="F8FAFC"/>
            <w:tcMar>
              <w:top w:w="90" w:type="dxa"/>
              <w:bottom w:w="90" w:type="dxa"/>
              <w:left w:w="100" w:type="dxa"/>
              <w:right w:w="100" w:type="dxa"/>
            </w:tcMar>
          </w:tcPr>
          <w:p>
            <w:pPr>
              <w:spacing w:before="0" w:after="0"/>
            </w:pPr>
            <w:r>
              <w:rPr>
                <w:rFonts w:ascii="Consolas" w:hAnsi="Consolas"/>
                <w:b w:val="0"/>
                <w:color w:val="0F172A"/>
                <w:sz w:val="16"/>
              </w:rPr>
              <w:t>core/scanner.py</w:t>
              <w:br/>
              <w:t>core/fingerprint.py</w:t>
              <w:br/>
              <w:t>core/game_mapper.py</w:t>
              <w:br/>
              <w:t>core/windows_apps.py</w:t>
              <w:br/>
              <w:t>core/comparator.py</w:t>
              <w:br/>
              <w:t>exporters/json_exporter.py</w:t>
            </w:r>
          </w:p>
        </w:tc>
        <w:tc>
          <w:tcPr>
            <w:tcW w:type="dxa" w:w="2016"/>
            <w:shd w:fill="F8FAFC"/>
            <w:tcMar>
              <w:top w:w="90" w:type="dxa"/>
              <w:bottom w:w="90" w:type="dxa"/>
              <w:left w:w="100" w:type="dxa"/>
              <w:right w:w="100" w:type="dxa"/>
            </w:tcMar>
          </w:tcPr>
          <w:p>
            <w:pPr>
              <w:spacing w:before="0" w:after="0"/>
            </w:pPr>
            <w:r>
              <w:rPr>
                <w:rFonts w:ascii="Calibri" w:hAnsi="Calibri"/>
                <w:b w:val="0"/>
                <w:color w:val="0F172A"/>
                <w:sz w:val="17"/>
              </w:rPr>
              <w:t>Execução via terminal que realiza o mapeamento completo, fingerprint rápido e gera os 4 arquivos JSON.</w:t>
            </w:r>
          </w:p>
        </w:tc>
      </w:tr>
      <w:tr>
        <w:tc>
          <w:tcPr>
            <w:tcW w:type="dxa" w:w="1584"/>
            <w:shd w:fill="FFFFFF"/>
            <w:tcMar>
              <w:top w:w="90" w:type="dxa"/>
              <w:bottom w:w="90" w:type="dxa"/>
              <w:left w:w="100" w:type="dxa"/>
              <w:right w:w="100" w:type="dxa"/>
            </w:tcMar>
          </w:tcPr>
          <w:p>
            <w:pPr>
              <w:spacing w:before="0" w:after="0"/>
            </w:pPr>
            <w:r>
              <w:rPr>
                <w:rFonts w:ascii="Calibri" w:hAnsi="Calibri"/>
                <w:b/>
                <w:color w:val="0F172A"/>
                <w:sz w:val="17"/>
              </w:rPr>
              <w:t>v0.1.0 (Fase 2)</w:t>
            </w:r>
          </w:p>
        </w:tc>
        <w:tc>
          <w:tcPr>
            <w:tcW w:type="dxa" w:w="2592"/>
            <w:shd w:fill="FFFFFF"/>
            <w:tcMar>
              <w:top w:w="90" w:type="dxa"/>
              <w:bottom w:w="90" w:type="dxa"/>
              <w:left w:w="100" w:type="dxa"/>
              <w:right w:w="100" w:type="dxa"/>
            </w:tcMar>
          </w:tcPr>
          <w:p>
            <w:pPr>
              <w:spacing w:before="0" w:after="0"/>
            </w:pPr>
            <w:r>
              <w:rPr>
                <w:rFonts w:ascii="Calibri" w:hAnsi="Calibri"/>
                <w:b w:val="0"/>
                <w:color w:val="0F172A"/>
                <w:sz w:val="17"/>
              </w:rPr>
              <w:t>Interface Gráfica &amp; Relatórios Excel</w:t>
            </w:r>
          </w:p>
        </w:tc>
        <w:tc>
          <w:tcPr>
            <w:tcW w:type="dxa" w:w="3168"/>
            <w:shd w:fill="FFFFFF"/>
            <w:tcMar>
              <w:top w:w="90" w:type="dxa"/>
              <w:bottom w:w="90" w:type="dxa"/>
              <w:left w:w="100" w:type="dxa"/>
              <w:right w:w="100" w:type="dxa"/>
            </w:tcMar>
          </w:tcPr>
          <w:p>
            <w:pPr>
              <w:spacing w:before="0" w:after="0"/>
            </w:pPr>
            <w:r>
              <w:rPr>
                <w:rFonts w:ascii="Consolas" w:hAnsi="Consolas"/>
                <w:b w:val="0"/>
                <w:color w:val="0F172A"/>
                <w:sz w:val="16"/>
              </w:rPr>
              <w:t>gui/app.py</w:t>
              <w:br/>
              <w:t>gui/components.py</w:t>
              <w:br/>
              <w:t>gui/styles.py</w:t>
              <w:br/>
              <w:t>exporters/excel_exporter.py</w:t>
              <w:br/>
              <w:t>main.py</w:t>
            </w:r>
          </w:p>
        </w:tc>
        <w:tc>
          <w:tcPr>
            <w:tcW w:type="dxa" w:w="2016"/>
            <w:shd w:fill="FFFFFF"/>
            <w:tcMar>
              <w:top w:w="90" w:type="dxa"/>
              <w:bottom w:w="90" w:type="dxa"/>
              <w:left w:w="100" w:type="dxa"/>
              <w:right w:w="100" w:type="dxa"/>
            </w:tcMar>
          </w:tcPr>
          <w:p>
            <w:pPr>
              <w:spacing w:before="0" w:after="0"/>
            </w:pPr>
            <w:r>
              <w:rPr>
                <w:rFonts w:ascii="Calibri" w:hAnsi="Calibri"/>
                <w:b w:val="0"/>
                <w:color w:val="0F172A"/>
                <w:sz w:val="17"/>
              </w:rPr>
              <w:t>Janela moderna em CustomTkinter, seleção dinâmica de pastas, progresso em tempo real e geração do Excel.</w:t>
            </w:r>
          </w:p>
        </w:tc>
      </w:tr>
      <w:tr>
        <w:tc>
          <w:tcPr>
            <w:tcW w:type="dxa" w:w="1584"/>
            <w:shd w:fill="F8FAFC"/>
            <w:tcMar>
              <w:top w:w="90" w:type="dxa"/>
              <w:bottom w:w="90" w:type="dxa"/>
              <w:left w:w="100" w:type="dxa"/>
              <w:right w:w="100" w:type="dxa"/>
            </w:tcMar>
          </w:tcPr>
          <w:p>
            <w:pPr>
              <w:spacing w:before="0" w:after="0"/>
            </w:pPr>
            <w:r>
              <w:rPr>
                <w:rFonts w:ascii="Calibri" w:hAnsi="Calibri"/>
                <w:b/>
                <w:color w:val="0F172A"/>
                <w:sz w:val="17"/>
              </w:rPr>
              <w:t>v1.0.0 (Fase 3)</w:t>
            </w:r>
          </w:p>
        </w:tc>
        <w:tc>
          <w:tcPr>
            <w:tcW w:type="dxa" w:w="2592"/>
            <w:shd w:fill="F8FAFC"/>
            <w:tcMar>
              <w:top w:w="90" w:type="dxa"/>
              <w:bottom w:w="90" w:type="dxa"/>
              <w:left w:w="100" w:type="dxa"/>
              <w:right w:w="100" w:type="dxa"/>
            </w:tcMar>
          </w:tcPr>
          <w:p>
            <w:pPr>
              <w:spacing w:before="0" w:after="0"/>
            </w:pPr>
            <w:r>
              <w:rPr>
                <w:rFonts w:ascii="Calibri" w:hAnsi="Calibri"/>
                <w:b w:val="0"/>
                <w:color w:val="0F172A"/>
                <w:sz w:val="17"/>
              </w:rPr>
              <w:t>Safe Mover &amp; Motor de Integridade</w:t>
            </w:r>
          </w:p>
        </w:tc>
        <w:tc>
          <w:tcPr>
            <w:tcW w:type="dxa" w:w="3168"/>
            <w:shd w:fill="F8FAFC"/>
            <w:tcMar>
              <w:top w:w="90" w:type="dxa"/>
              <w:bottom w:w="90" w:type="dxa"/>
              <w:left w:w="100" w:type="dxa"/>
              <w:right w:w="100" w:type="dxa"/>
            </w:tcMar>
          </w:tcPr>
          <w:p>
            <w:pPr>
              <w:spacing w:before="0" w:after="0"/>
            </w:pPr>
            <w:r>
              <w:rPr>
                <w:rFonts w:ascii="Consolas" w:hAnsi="Consolas"/>
                <w:b w:val="0"/>
                <w:color w:val="0F172A"/>
                <w:sz w:val="16"/>
              </w:rPr>
              <w:t>core/mover.py</w:t>
              <w:br/>
              <w:t>core/action_planner.py</w:t>
              <w:br/>
              <w:t>Interface de Execução Segura</w:t>
            </w:r>
          </w:p>
        </w:tc>
        <w:tc>
          <w:tcPr>
            <w:tcW w:type="dxa" w:w="2016"/>
            <w:shd w:fill="F8FAFC"/>
            <w:tcMar>
              <w:top w:w="90" w:type="dxa"/>
              <w:bottom w:w="90" w:type="dxa"/>
              <w:left w:w="100" w:type="dxa"/>
              <w:right w:w="100" w:type="dxa"/>
            </w:tcMar>
          </w:tcPr>
          <w:p>
            <w:pPr>
              <w:spacing w:before="0" w:after="0"/>
            </w:pPr>
            <w:r>
              <w:rPr>
                <w:rFonts w:ascii="Calibri" w:hAnsi="Calibri"/>
                <w:b w:val="0"/>
                <w:color w:val="0F172A"/>
                <w:sz w:val="17"/>
              </w:rPr>
              <w:t>Lê o plano aprovado pelo usuário/IA, executa movimentação com validação de hash e preservação de metadados.</w:t>
            </w:r>
          </w:p>
        </w:tc>
      </w:tr>
    </w:tbl>
    <w:p>
      <w:pPr>
        <w:spacing w:after="160"/>
      </w:pPr>
    </w:p>
    <w:p>
      <w:pPr>
        <w:spacing w:after="120" w:before="320" w:line="276" w:lineRule="auto"/>
        <w:jc w:val="left"/>
      </w:pPr>
      <w:r>
        <w:rPr>
          <w:rFonts w:ascii="Segoe UI" w:hAnsi="Segoe UI"/>
          <w:b/>
          <w:color w:val="0F172A"/>
          <w:sz w:val="32"/>
        </w:rPr>
        <w:t>5. Diretrizes de Engenharia para a IA Executora (Claude via Perplexity / IDE)</w:t>
      </w:r>
    </w:p>
    <w:p>
      <w:pPr>
        <w:spacing w:after="160" w:before="0" w:line="288" w:lineRule="auto"/>
        <w:jc w:val="left"/>
      </w:pPr>
      <w:r>
        <w:rPr>
          <w:rFonts w:ascii="Calibri" w:hAnsi="Calibri"/>
          <w:color w:val="334155"/>
          <w:sz w:val="20"/>
        </w:rPr>
        <w:t>Ao receber este documento, a IA executora (Claude 3.7 Sonnet ou similar) deve observar rigorosamente as seguintes restrições de ambiente e robustez de código:</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Tratamento de Caminhos Longos no Windows (MAX_PATH): </w:t>
      </w:r>
      <w:r>
        <w:rPr>
          <w:rFonts w:ascii="Calibri" w:hAnsi="Calibri"/>
          <w:color w:val="334155"/>
          <w:sz w:val="20"/>
        </w:rPr>
        <w:t>No Windows, caminhos que excedem 260 caracteres disparam exceções se manipulados ingenuamente. O código deve suportar caminhos longos prefixando o namespace estendido (\\?\) quando necessário, ou utilizando pathlib.Path moderno compilado para Windows 11.</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Tratamento Resiliente de Exceções de I/O: </w:t>
      </w:r>
      <w:r>
        <w:rPr>
          <w:rFonts w:ascii="Calibri" w:hAnsi="Calibri"/>
          <w:color w:val="334155"/>
          <w:sz w:val="20"/>
        </w:rPr>
        <w:t>Durante a varredura de diretórios de usuário e pastas de jogos, é garantido que o sistema encontrará arquivos bloqueados (bloqueios exclusivos por antivírus, navegadores abertos ou arquivos de paginação) e pastas protegidas. O scanner DEVE capturar PermissionError, FileNotFoundError e OSError de forma cirúrgica, registrando o caminho ignorado em um log sem jamais abortar a execução do loop principal.</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Amostragem Segura de Arquivos Abertos: </w:t>
      </w:r>
      <w:r>
        <w:rPr>
          <w:rFonts w:ascii="Calibri" w:hAnsi="Calibri"/>
          <w:color w:val="334155"/>
          <w:sz w:val="20"/>
        </w:rPr>
        <w:t>Ao calcular o hash amostral de 64 KB no fim de arquivos grandes, utilizar seek(filesize - 65536) com modo de leitura binária estrita (rb). Garantir fechamento de handles através de gerenciadores de contexto (with open(...) as f).</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PowerShell Executada sem Elevação Arriscada: </w:t>
      </w:r>
      <w:r>
        <w:rPr>
          <w:rFonts w:ascii="Calibri" w:hAnsi="Calibri"/>
          <w:color w:val="334155"/>
          <w:sz w:val="20"/>
        </w:rPr>
        <w:t>O módulo windows_apps.py deve invocar powershell.exe via subprocess.run com criação de processo oculta (creationflags=subprocess.CREATE_NO_WINDOW), codificação UTF-8 e parâmetros -NoProfile -NonInteractive -Command, extraindo dados em formato JSON nativo (ConvertTo-Json -Compress) para deserialização direta em Python.</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Não Gerar 'Mockups' ou Esqueletos Ocos: </w:t>
      </w:r>
      <w:r>
        <w:rPr>
          <w:rFonts w:ascii="Calibri" w:hAnsi="Calibri"/>
          <w:color w:val="334155"/>
          <w:sz w:val="20"/>
        </w:rPr>
        <w:t>Cada arquivo entregue deve ser funcional, robusto, tipado com Type Hints do Python (typing) e com docstrings claras.</w:t>
      </w:r>
    </w:p>
    <w:p>
      <w:pPr>
        <w:spacing w:after="120" w:before="320" w:line="276" w:lineRule="auto"/>
        <w:jc w:val="left"/>
      </w:pPr>
      <w:r>
        <w:rPr>
          <w:rFonts w:ascii="Segoe UI" w:hAnsi="Segoe UI"/>
          <w:b/>
          <w:color w:val="0F172A"/>
          <w:sz w:val="32"/>
        </w:rPr>
        <w:t>6. Prompt Mestre de Execução Imediata (Para Perplexity / Claude Sonnet)</w:t>
      </w:r>
    </w:p>
    <w:p>
      <w:pPr>
        <w:spacing w:after="160" w:before="0" w:line="288" w:lineRule="auto"/>
        <w:jc w:val="left"/>
      </w:pPr>
      <w:r>
        <w:rPr>
          <w:rFonts w:ascii="Calibri" w:hAnsi="Calibri"/>
          <w:color w:val="334155"/>
          <w:sz w:val="20"/>
        </w:rPr>
        <w:t>Abaixo está o texto exato formatado para ser copiado e enviado diretamente para a IA executora (Claude Sonnet via Perplexity ou IDE). O prompt foi estruturado com instrução explícita para que a IA analise esta especificação técnica, raciocine com autonomia arquitetural e inicie imediatamente a implementação da Fase 1:</w:t>
      </w:r>
    </w:p>
    <w:tbl>
      <w:tblPr>
        <w:tblW w:type="auto" w:w="0"/>
        <w:jc w:val="center"/>
        <w:tblLayout w:type="fixed"/>
        <w:tblLook w:firstColumn="1" w:firstRow="1" w:lastColumn="0" w:lastRow="0" w:noHBand="0" w:noVBand="1" w:val="04A0"/>
      </w:tblPr>
      <w:tblGrid>
        <w:gridCol w:w="9360"/>
      </w:tblGrid>
      <w:tr>
        <w:tc>
          <w:tcPr>
            <w:tcW w:type="dxa" w:w="9360"/>
            <w:shd w:fill="F0FDF4"/>
            <w:tcBorders>
              <w:left w:val="single" w:sz="28" w:space="0" w:color="10B981"/>
              <w:top w:val="none"/>
              <w:right w:val="none"/>
              <w:bottom w:val="none"/>
            </w:tcBorders>
            <w:tcMar>
              <w:top w:w="140" w:type="dxa"/>
              <w:bottom w:w="140" w:type="dxa"/>
              <w:left w:w="200" w:type="dxa"/>
              <w:right w:w="160" w:type="dxa"/>
            </w:tcMar>
          </w:tcPr>
          <w:p>
            <w:pPr>
              <w:spacing w:before="0" w:after="80"/>
            </w:pPr>
            <w:r>
              <w:rPr>
                <w:rFonts w:ascii="Segoe UI" w:hAnsi="Segoe UI"/>
                <w:b/>
                <w:color w:val="0F172A"/>
                <w:sz w:val="21"/>
              </w:rPr>
              <w:t>PROMPT MESTRE PARA COPIAR E COLAR NA IA EXTERNA</w:t>
            </w:r>
          </w:p>
          <w:p>
            <w:pPr>
              <w:spacing w:before="40" w:after="60" w:line="276" w:lineRule="auto"/>
            </w:pPr>
            <w:r>
              <w:rPr>
                <w:rFonts w:ascii="Calibri" w:hAnsi="Calibri"/>
                <w:color w:val="334155"/>
                <w:sz w:val="19"/>
              </w:rPr>
              <w:t>Você é um Engenheiro de Software Principal especializado em desenvolvimento de sistemas Windows, manipulação de arquivos de alta performance em Python e arquitetura de software limpa.</w:t>
              <w:br/>
              <w:br/>
              <w:t>Eu preciso que você analise detalhadamente o documento técnico que anexei ('Storage Auditor &amp; Safe Mover - Especificação Arquitetural de Engenharia') e implemente a Fase 1 (v0.0.1 - Core Engines &amp; Varredura Otimizada) com a máxima qualidade, velocidade e precisão técnica.</w:t>
              <w:br/>
              <w:br/>
              <w:t>DIRETRIZES FUNDAMENTAIS PARA SEU TRABALHO:</w:t>
              <w:br/>
              <w:t>1. Pense e Projete com Autonomia: Não tente resumir ou criar exemplos triviais de 'brinquedo'. Projete o código com base nos requisitos, contratos e restrições descritos no documento, aplicando seus melhores padrões de engenharia de software (Clean Architecture, tipagem estrita com Type Hints, tratamento robusto de exceções e separação de preocupações).</w:t>
              <w:br/>
              <w:t>2. Foco da Entrega Imediata (Fase 1 - v0.0.1):</w:t>
              <w:br/>
              <w:t xml:space="preserve">   - config.py: Constantes, extensões ignoradas, pastas padrão e limites de buffer.</w:t>
              <w:br/>
              <w:t xml:space="preserve">   - core/fingerprint.py: Motor de amostragem rápida e hash em estágios (Tamanho -&gt; Amostra de 64KB -&gt; SHA-256).</w:t>
              <w:br/>
              <w:t xml:space="preserve">   - core/scanner.py: Varredor de diretórios NTFS ultraveloz baseado em os.scandir com suporte a filtros e cancelamento.</w:t>
              <w:br/>
              <w:t xml:space="preserve">   - core/windows_apps.py: Wrapper assíncrono PowerShell para mapear apps da Microsoft Store/Xbox sem violar travas do TrustedInstaller.</w:t>
              <w:br/>
              <w:t xml:space="preserve">   - core/game_mapper.py: Heurística para catalogar jogos em D: (Steam, Epic, Hydra, FitGirl, portáteis) e localizar os respectivos diretórios de saves em %USERPROFILE%\Documents e AppData.</w:t>
              <w:br/>
              <w:t xml:space="preserve">   - core/comparator.py: Cruzamento dos metadados de C: e D: para detectar duplicatas reais e arquivos pendentes de backup.</w:t>
              <w:br/>
              <w:t xml:space="preserve">   - exporters/json_exporter.py: Exportador dos 4 JSONs especializados descritos na especificação.</w:t>
              <w:br/>
              <w:t>3. Resiliência: Trate explicitamente PermissionError, caminhos longos (&gt;260 caracteres) e arquivos bloqueados pelo Windows sem nunca quebrar o fluxo.</w:t>
              <w:br/>
              <w:t>4. Ordem de Ação: Inicie confirmando o entendimento dos requisitos e gere a implementação completa, modular e pronta para execução da Fase 1.</w:t>
            </w:r>
          </w:p>
        </w:tc>
      </w:tr>
    </w:tbl>
    <w:p>
      <w:pPr>
        <w:spacing w:before="0" w:after="120"/>
      </w:pPr>
    </w:p>
    <w:p>
      <w:pPr>
        <w:spacing w:after="120" w:before="320" w:line="276" w:lineRule="auto"/>
        <w:jc w:val="left"/>
      </w:pPr>
      <w:r>
        <w:rPr>
          <w:rFonts w:ascii="Segoe UI" w:hAnsi="Segoe UI"/>
          <w:b/>
          <w:color w:val="0F172A"/>
          <w:sz w:val="32"/>
        </w:rPr>
        <w:t>7. Por que Isso Funciona (Fundamentação Técnica)</w:t>
      </w:r>
    </w:p>
    <w:p>
      <w:pPr>
        <w:spacing w:after="160" w:before="0" w:line="288" w:lineRule="auto"/>
        <w:jc w:val="left"/>
      </w:pPr>
      <w:r>
        <w:rPr>
          <w:rFonts w:ascii="Calibri" w:hAnsi="Calibri"/>
          <w:color w:val="334155"/>
          <w:sz w:val="20"/>
        </w:rPr>
        <w:t>A estrutura do prompt mestre e da especificação técnica não é acidental. Ela foi construída com base em quatro princípios comprovados de engenharia de contexto e orquestração de LLMs: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1. Ancoragem em Especificação Arquitetural Fechada (System Framing): </w:t>
      </w:r>
      <w:r>
        <w:rPr>
          <w:rFonts w:ascii="Calibri" w:hAnsi="Calibri"/>
          <w:color w:val="334155"/>
          <w:sz w:val="20"/>
        </w:rPr>
        <w:t>Modelos de linguagem de alto raciocínio (como Claude 3.7 Sonnet) perdem eficiência quando recebem ordens genéricas ('faça um script para liberar espaço'). Ao fornecer um documento com decisões arquiteturais já consensadas, limites de escopo e esquemas de dados definidos, o modelo não gasta seu orçamento cognitivo adivinhando o que você quer, mas sim direcionando 100% da sua capacidade para a excelência do código e detalhes de baixo nível do Windows.</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2. Princípio da Autonomia Orientada a Restrições (Constraint-Driven Generation): </w:t>
      </w:r>
      <w:r>
        <w:rPr>
          <w:rFonts w:ascii="Calibri" w:hAnsi="Calibri"/>
          <w:color w:val="334155"/>
          <w:sz w:val="20"/>
        </w:rPr>
        <w:t>Forçar um código pré-fabricado ou mandar a IA 'preencher lacunas' limita a capacidade do modelo. Em contrapartida, fornecer as restrições operacionais rígidas (evitar os.stat redundante, ler amostras de 64KB via seek, usar subprocess para Get-AppxPackage com json nativo) permite que o modelo utilize sua vasta base de padrões de produção para escolher os melhores designs patterns, estruturas de dados e otimizações de memória.</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3. Desacoplamento Temporal e Redução de Alucinação (Staged Delivery): </w:t>
      </w:r>
      <w:r>
        <w:rPr>
          <w:rFonts w:ascii="Calibri" w:hAnsi="Calibri"/>
          <w:color w:val="334155"/>
          <w:sz w:val="20"/>
        </w:rPr>
        <w:t>Exigir da IA todo o sistema de uma vez (Scanner + GUI CustomTkinter + Excel + Safe Mover) gera truncamento de contexto, simplificações preguiçosas (TODOs) e erros de importação cruzada. Ao focar estritamente na Fase 1 (Core Engines e saída em JSON), a IA entrega um núcleo computacional sem falhas, facilmente testável no terminal.</w:t>
      </w:r>
    </w:p>
    <w:p>
      <w:pPr>
        <w:spacing w:after="80" w:before="20" w:line="276" w:lineRule="auto"/>
        <w:ind w:left="360"/>
        <w:jc w:val="left"/>
      </w:pPr>
      <w:r>
        <w:rPr>
          <w:rFonts w:ascii="Segoe UI" w:hAnsi="Segoe UI"/>
          <w:b/>
          <w:color w:val="2563EB"/>
        </w:rPr>
        <w:t xml:space="preserve">•  </w:t>
      </w:r>
      <w:r>
        <w:rPr>
          <w:rFonts w:ascii="Calibri" w:hAnsi="Calibri"/>
          <w:b/>
          <w:color w:val="0F172A"/>
          <w:sz w:val="20"/>
        </w:rPr>
        <w:t xml:space="preserve">4. Fechamento de Ciclo com Saída em JSON para Análise Assistida: </w:t>
      </w:r>
      <w:r>
        <w:rPr>
          <w:rFonts w:ascii="Calibri" w:hAnsi="Calibri"/>
          <w:color w:val="334155"/>
          <w:sz w:val="20"/>
        </w:rPr>
        <w:t>Ao orientar a Fase 1 a gerar arquivos JSON estruturados, estabelecemos a ponte perfeita: você roda a Fase 1 no seu PC, gera os relatórios reais do seu SSD e traz os JSONs aqui no chat. Assim, analisamos juntos a lista real dos seus jogos e arquivos antes de disparar qualquer movimentação física.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94A3B8"/>
        <w:sz w:val="17"/>
      </w:rPr>
      <w:t>Engenharia de Software &amp; Arquitetura de Sistemas — dyduq12 | Documento de Especificação Técnica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Storage Auditor &amp; Safe Mover | Arquitetura de Engenharia de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