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774020" cy="47740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020" cy="477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  <w:br w:type="textWrapping"/>
        <w:br w:type="textWrapping"/>
        <w:t xml:space="preserve">Kelompok C-02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Daffa M. Azhar</w:t>
        <w:tab/>
        <w:tab/>
        <w:t xml:space="preserve">05111940000037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Kirana Zea S. M. </w:t>
        <w:tab/>
        <w:tab/>
        <w:t xml:space="preserve">05111940000081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Dyandra P.</w:t>
        <w:tab/>
        <w:tab/>
        <w:tab/>
        <w:t xml:space="preserve">05111940000119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Akmal Zaki A.</w:t>
        <w:tab/>
        <w:tab/>
        <w:t xml:space="preserve">05111940000154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24.10204081632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530"/>
        <w:gridCol w:w="1095"/>
        <w:gridCol w:w="1413.5510204081631"/>
        <w:gridCol w:w="1413.5510204081631"/>
        <w:tblGridChange w:id="0">
          <w:tblGrid>
            <w:gridCol w:w="1872"/>
            <w:gridCol w:w="1530"/>
            <w:gridCol w:w="1095"/>
            <w:gridCol w:w="1413.5510204081631"/>
            <w:gridCol w:w="1413.5510204081631"/>
          </w:tblGrid>
        </w:tblGridChange>
      </w:tblGrid>
      <w:tr>
        <w:trPr>
          <w:cantSplit w:val="0"/>
          <w:trHeight w:val="949.98046875" w:hRule="atLeast"/>
          <w:tblHeader w:val="0"/>
        </w:trPr>
        <w:tc>
          <w:tcPr>
            <w:gridSpan w:val="5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Charter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Name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Informasi Ruang Baca TC</w:t>
            </w:r>
          </w:p>
        </w:tc>
      </w:tr>
      <w:tr>
        <w:trPr>
          <w:cantSplit w:val="0"/>
          <w:trHeight w:val="904.98046875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Sponsor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Yulia Niza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Zakiya Azizah Cahyaningtyas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Akmal Zaki A.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of Project Approval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Revision Date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Description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Untuk memudahkan dosen dan mahasiswa untuk mengakses sumber belajar yang disediakan oleh Teknik Informatika ITS, menyumbangkan sumber belajar lain untuk kepentingan akademis.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Scope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Informasi Ruang Baca TC ini membantu mahasiswa dan dosen Teknik Informatika ITS untuk mengakses arsip RBTC seperti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textbook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majalah, publikasi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serta tugas akhir melalui integrasi dengan monTA IF ITS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 Case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Memudahkan akses mahasiswa dan dosen dalam mengakses RBTC</w:t>
              <w:br w:type="textWrapping"/>
              <w:t xml:space="preserve">- Sistem pengarsipan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resources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yang lebih rapi</w:t>
            </w:r>
          </w:p>
        </w:tc>
      </w:tr>
      <w:tr>
        <w:trPr>
          <w:cantSplit w:val="0"/>
          <w:trHeight w:val="679.98046875" w:hRule="atLeast"/>
          <w:tblHeader w:val="0"/>
        </w:trPr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Constraints (in priority order)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Bulan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Budget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Rp. 42.000.000,00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KPI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Scope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TENDIK dan Mahasiswa Teknik Informatika ITS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Pengguna website RBTC naik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Quality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Prioritas Kualitas Sistem Informasi Ruang Baca TC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Deliverables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Dokumentasi (SKPL &amp; DPPL)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Website Sistem Informasi RBTC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system interface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source code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Benefits</w:t>
              <w:br w:type="textWrapping"/>
              <w:t xml:space="preserve">(measurable results)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Dapat Dilihat di tabel KPI dibawah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 Eva Mursidah 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KPI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Baseline</w:t>
            </w:r>
          </w:p>
        </w:tc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Ir. Ary Mazharuddin Shiddiqi, S.Kom., M.Comp.Sc., Ph.D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Pengguna website RBTC naik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Kepuasan pengguna website RBTC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Steering Committee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Dr. Eng. Chastine Fatichah, S.Kom., M.Kom</w:t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Team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Daffa M. Azhar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Manager, System Analyst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Quality Assurance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Dr. Eng. Chastine Fatichah, S.Kom.,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M.Kom.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 Eva Mursidah </w:t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Kirana Zea S. M.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Manager, UI/UX Designer, Quality Assurance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Ir. Ary Mazharuddin Shiddiqi, S.Kom., M.Comp.Sc., Ph.D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Ir. Ary Mazharuddin Shiddiqi, S.Kom., M.Comp.Sc., Ph.D</w:t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Dyandra P.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Manager, System Analyst, Quality Assurance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 Eva Mursidah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Sarwosri, S.Kom. M.T</w:t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Akmal Zaki A.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Manager, Programmer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Stakeholder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3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Role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Yulia Niza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Manajemen Sistem Informasi RBTC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Zakiya Azizah Cahyaningtyas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Manajemen Sistem Informasi RBTC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 Criteria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 dapat berjalan bug seminimal mungkin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 memiliki fungsionalitas yang sesuai dengan permintaan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key stakeholder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Risks</w:t>
            </w:r>
          </w:p>
        </w:tc>
        <w:tc>
          <w:tcPr>
            <w:gridSpan w:val="4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nya pimpinan pusat terhadap Ruang Baca Departemen, karena adanya perubahan kebijakan, sehingga keberadaan RBTC yang ada terabaikan.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Milestones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Milestones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Due 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Web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Planning Selesai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27/9/2021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Analisis kebutuhan selesai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28/9/2021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Desain sistem selesai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13/10/2021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 Selesai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22/11/2021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Perangkat Lunak Siap Deploy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6/12/2021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Identifikasi 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Pengurus/Administrator/Manajemen Ruang Baca TC (RBTC)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pengguna (admin) dan pemelihara Sistem Informasi RBTC 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pemilik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 Informasi RBTC sebelumnya. 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penanggungjawab dari segala aktivitas pengaksesan buku maupun pengarsipan tugas akhir mahasiswa.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Metode Komunikasi dengan 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Koordinasi melalui grup Whatsapp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keseharian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stakeholder/project sponsor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minggu sekal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HSUVwZ9mQDdGt8Zl/xLh3AUpRA==">AMUW2mXCZFT58Af4mtOY0DJfbfJGQGEFVqo9UAAU9XuH1woVa38PhPC4nP8k7mg6Bbsu5rxGpTM+utBx7t4W/5U974bQYauOJx4SEdF6c1J+gDpQnauTFhA=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