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CORRESPONDENCE</w:t>
      </w:r>
    </w:p>
    <w:p>
      <w:r>
        <w:t>Edwards Family Law</w:t>
      </w:r>
    </w:p>
    <w:p>
      <w:r>
        <w:t>March 30, 2026</w:t>
      </w:r>
    </w:p>
    <w:p/>
    <w:p>
      <w:r>
        <w:t>Danielle R. Voss, Esq.</w:t>
      </w:r>
    </w:p>
    <w:p>
      <w:r>
        <w:t>Marchetti &amp; Voss, LLC</w:t>
      </w:r>
    </w:p>
    <w:p/>
    <w:p>
      <w:r>
        <w:t>RE: Doe v. Doe, CAFN 26-A-01234-5</w:t>
      </w:r>
    </w:p>
    <w:p/>
    <w:p>
      <w:r>
        <w:t>Dear Ms. Voss:</w:t>
      </w:r>
    </w:p>
    <w:p/>
    <w:p>
      <w:r>
        <w:t>Enclosed please find Plaintiff's production of documents responsive to Defendant's First Continuing Notice to Produce and Request for Production of Documents. The production is being made on a rolling basis and is Bates numbered DOE 000001 through DOE 004412.</w:t>
      </w:r>
    </w:p>
    <w:p/>
    <w:p>
      <w:r>
        <w:t>Plaintiff reserves all objections stated in his written response. Certain documents have been withheld on the basis of the attorney-client privilege and the work product doctrine, and a privilege log will follow within ten days.</w:t>
      </w:r>
    </w:p>
    <w:p/>
    <w:p>
      <w:r>
        <w:t>Very truly yours,</w:t>
      </w:r>
    </w:p>
    <w:p>
      <w:r>
        <w:t>Regina I.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