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SETTLEMENT PROPOSAL - CONFIDENTIAL</w:t>
      </w:r>
    </w:p>
    <w:p>
      <w:r>
        <w:t>Prepared for discussion purposes only. Subject to O.C.G.A. Sec. 24-4-408.</w:t>
      </w:r>
    </w:p>
    <w:p/>
    <w:p>
      <w:r>
        <w:t>1. The marital residence at 4127 Sable Ridge Lane shall be awarded to Wife, who shall refinance the first mortgage within 120 days and remove Husband from the note.</w:t>
      </w:r>
    </w:p>
    <w:p>
      <w:r>
        <w:t>2. Husband shall retain the Fidelity 401(k) in its entirety. Wife shall retain her TRS account in its entirety. No QDRO shall be required.</w:t>
      </w:r>
    </w:p>
    <w:p>
      <w:r>
        <w:t>3. Husband shall retain the 2022 Ford F-150 and the boat. Wife shall retain the 2023 Honda Pilot.</w:t>
      </w:r>
    </w:p>
    <w:p>
      <w:r>
        <w:t>4. Each party shall retain the accounts held in that party's individual name.</w:t>
      </w:r>
    </w:p>
    <w:p>
      <w:r>
        <w:t>5. Husband shall pay child support of $1,842 per month pursuant to the attached worksheet.</w:t>
      </w:r>
    </w:p>
    <w:p>
      <w:r>
        <w:t>6. Neither party shall pay alimony to the other.</w:t>
      </w:r>
    </w:p>
    <w:p/>
    <w:p>
      <w:r>
        <w:t>NOTE FOR THE REVIEWER: paragraph 4 would sweep in the Ally, Coinbase, Robinhood and Schwab accounts without ever naming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