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ПРАКТИЧЕСКОЙ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 Отладка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